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1C73" w:rsidP="001D1C73" w:rsidRDefault="001D1C73" w14:paraId="6A2FA238" w14:textId="55C31CEF">
      <w:pPr>
        <w:spacing w:after="0"/>
        <w:jc w:val="center"/>
        <w:rPr>
          <w:b/>
          <w:sz w:val="40"/>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D92B99" w14:paraId="5C437A34" w14:textId="492CE4A9">
      <w:pPr>
        <w:pStyle w:val="ReportCover-Title"/>
        <w:jc w:val="center"/>
        <w:rPr>
          <w:rFonts w:ascii="Arial" w:hAnsi="Arial" w:cs="Arial"/>
          <w:color w:val="auto"/>
        </w:rPr>
      </w:pPr>
      <w:r>
        <w:rPr>
          <w:rFonts w:ascii="Arial" w:hAnsi="Arial" w:eastAsia="Arial Unicode MS" w:cs="Arial"/>
          <w:noProof/>
          <w:color w:val="auto"/>
        </w:rPr>
        <w:t>Evaluation of Employment Coaching for TANF and Related Populations</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D92B99" w14:paraId="195B12A0" w14:textId="19F5589D">
      <w:pPr>
        <w:pStyle w:val="ReportCover-Title"/>
        <w:jc w:val="center"/>
        <w:rPr>
          <w:rFonts w:ascii="Arial" w:hAnsi="Arial" w:cs="Arial"/>
          <w:color w:val="auto"/>
          <w:sz w:val="32"/>
          <w:szCs w:val="32"/>
        </w:rPr>
      </w:pPr>
      <w:r>
        <w:rPr>
          <w:rFonts w:ascii="Arial" w:hAnsi="Arial" w:cs="Arial"/>
          <w:color w:val="auto"/>
          <w:sz w:val="32"/>
          <w:szCs w:val="32"/>
        </w:rPr>
        <w:t>0970-0506</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9A22A4" w14:paraId="25EC0787" w14:textId="1598F781">
      <w:pPr>
        <w:pStyle w:val="ReportCover-Date"/>
        <w:spacing w:after="0"/>
        <w:jc w:val="center"/>
        <w:rPr>
          <w:rFonts w:ascii="Arial" w:hAnsi="Arial" w:cs="Arial"/>
          <w:color w:val="auto"/>
        </w:rPr>
      </w:pPr>
      <w:r>
        <w:rPr>
          <w:rFonts w:ascii="Arial" w:hAnsi="Arial" w:cs="Arial"/>
          <w:color w:val="auto"/>
        </w:rPr>
        <w:t xml:space="preserve">April </w:t>
      </w:r>
      <w:r w:rsidR="00084902">
        <w:rPr>
          <w:rFonts w:ascii="Arial" w:hAnsi="Arial" w:cs="Arial"/>
          <w:color w:val="auto"/>
        </w:rPr>
        <w:t>202</w:t>
      </w:r>
      <w:r w:rsidR="00D92B99">
        <w:rPr>
          <w:rFonts w:ascii="Arial" w:hAnsi="Arial" w:cs="Arial"/>
          <w:color w:val="auto"/>
        </w:rPr>
        <w:t>2</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A5366B">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D92B99" w:rsidP="001D1C73" w:rsidRDefault="001D1C73" w14:paraId="74C1DF4B" w14:textId="2EB2B637">
      <w:pPr>
        <w:spacing w:after="0" w:line="240" w:lineRule="auto"/>
        <w:jc w:val="center"/>
        <w:rPr>
          <w:rFonts w:ascii="Arial" w:hAnsi="Arial" w:cs="Arial"/>
        </w:rPr>
      </w:pPr>
      <w:r w:rsidRPr="009139B3">
        <w:rPr>
          <w:rFonts w:ascii="Arial" w:hAnsi="Arial" w:cs="Arial"/>
        </w:rPr>
        <w:t>Project Officer:</w:t>
      </w:r>
    </w:p>
    <w:p w:rsidRPr="009139B3" w:rsidR="00D92B99" w:rsidP="001D1C73" w:rsidRDefault="000776C9" w14:paraId="04E8D3DD" w14:textId="2C7E761A">
      <w:pPr>
        <w:spacing w:after="0" w:line="240" w:lineRule="auto"/>
        <w:jc w:val="center"/>
        <w:rPr>
          <w:rFonts w:ascii="Arial" w:hAnsi="Arial" w:cs="Arial"/>
        </w:rPr>
      </w:pPr>
      <w:r>
        <w:rPr>
          <w:rFonts w:ascii="Arial" w:hAnsi="Arial" w:cs="Arial"/>
        </w:rPr>
        <w:t>Lauren Deutsch</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lastRenderedPageBreak/>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5638D8" w:rsidR="00B24BDB" w:rsidP="00575821" w:rsidRDefault="001D1C73" w14:paraId="094E313A" w14:textId="5CA9FA08">
      <w:pPr>
        <w:pStyle w:val="ListParagraph"/>
        <w:numPr>
          <w:ilvl w:val="0"/>
          <w:numId w:val="20"/>
        </w:numPr>
        <w:spacing w:after="240" w:line="240" w:lineRule="auto"/>
        <w:ind w:left="720"/>
        <w:contextualSpacing w:val="0"/>
        <w:rPr>
          <w:iCs/>
          <w:szCs w:val="24"/>
        </w:rPr>
      </w:pPr>
      <w:r w:rsidRPr="0081558D">
        <w:rPr>
          <w:b/>
        </w:rPr>
        <w:t xml:space="preserve">Type of Request: </w:t>
      </w:r>
      <w:r w:rsidRPr="005638D8" w:rsidR="009447A6">
        <w:rPr>
          <w:bCs/>
        </w:rPr>
        <w:t xml:space="preserve">This Information Collection Request </w:t>
      </w:r>
      <w:r w:rsidR="005A0E8D">
        <w:rPr>
          <w:bCs/>
        </w:rPr>
        <w:t xml:space="preserve">(ICR) </w:t>
      </w:r>
      <w:r w:rsidRPr="005638D8" w:rsidR="009447A6">
        <w:rPr>
          <w:bCs/>
        </w:rPr>
        <w:t xml:space="preserve">is </w:t>
      </w:r>
      <w:r w:rsidR="0067776C">
        <w:rPr>
          <w:bCs/>
        </w:rPr>
        <w:t xml:space="preserve">for an </w:t>
      </w:r>
      <w:r w:rsidR="006D4A6D">
        <w:rPr>
          <w:bCs/>
        </w:rPr>
        <w:t>extension</w:t>
      </w:r>
      <w:r w:rsidR="006D4A6D">
        <w:rPr>
          <w:szCs w:val="24"/>
        </w:rPr>
        <w:t xml:space="preserve"> to</w:t>
      </w:r>
      <w:r w:rsidRPr="005638D8" w:rsidR="009447A6">
        <w:rPr>
          <w:szCs w:val="24"/>
        </w:rPr>
        <w:t xml:space="preserve"> continue ongoing approved data collection activities and add additional activities for the sample enrolled in the Evaluation of Employment Coaching for T</w:t>
      </w:r>
      <w:r w:rsidR="008D3BA0">
        <w:rPr>
          <w:szCs w:val="24"/>
        </w:rPr>
        <w:t>emporary Assistance for Need</w:t>
      </w:r>
      <w:r w:rsidR="000C218D">
        <w:rPr>
          <w:szCs w:val="24"/>
        </w:rPr>
        <w:t>y</w:t>
      </w:r>
      <w:r w:rsidR="008D3BA0">
        <w:rPr>
          <w:szCs w:val="24"/>
        </w:rPr>
        <w:t xml:space="preserve"> Families (T</w:t>
      </w:r>
      <w:r w:rsidRPr="005638D8" w:rsidR="009447A6">
        <w:rPr>
          <w:szCs w:val="24"/>
        </w:rPr>
        <w:t>ANF</w:t>
      </w:r>
      <w:r w:rsidR="008D3BA0">
        <w:rPr>
          <w:szCs w:val="24"/>
        </w:rPr>
        <w:t>)</w:t>
      </w:r>
      <w:r w:rsidRPr="005638D8" w:rsidR="009447A6">
        <w:rPr>
          <w:szCs w:val="24"/>
        </w:rPr>
        <w:t xml:space="preserve"> and Related Populations</w:t>
      </w:r>
      <w:r w:rsidRPr="005638D8" w:rsidR="005638D8">
        <w:rPr>
          <w:szCs w:val="24"/>
        </w:rPr>
        <w:t xml:space="preserve"> </w:t>
      </w:r>
      <w:r w:rsidRPr="005638D8" w:rsidR="009447A6">
        <w:rPr>
          <w:szCs w:val="24"/>
        </w:rPr>
        <w:t>(OMB#: 0970-0506</w:t>
      </w:r>
      <w:r w:rsidRPr="005638D8" w:rsidR="005638D8">
        <w:rPr>
          <w:szCs w:val="24"/>
        </w:rPr>
        <w:t>)</w:t>
      </w:r>
      <w:r w:rsidRPr="005638D8" w:rsidR="00B24BDB">
        <w:rPr>
          <w:szCs w:val="24"/>
        </w:rPr>
        <w:t xml:space="preserve">. We are requesting </w:t>
      </w:r>
      <w:r w:rsidRPr="005638D8" w:rsidR="00B24BDB">
        <w:rPr>
          <w:iCs/>
          <w:szCs w:val="24"/>
        </w:rPr>
        <w:t xml:space="preserve">1) An extension for the previously approved second follow-up survey data collection; 2) New data collection through a third follow-up survey; and 3) New data collection through follow-up semi-structured interviews with management, staff, supervisors, and participants. </w:t>
      </w:r>
      <w:r w:rsidRPr="005638D8" w:rsidR="00B24BDB">
        <w:rPr>
          <w:szCs w:val="24"/>
        </w:rPr>
        <w:t xml:space="preserve">We are requesting </w:t>
      </w:r>
      <w:r w:rsidRPr="005638D8" w:rsidR="005638D8">
        <w:rPr>
          <w:szCs w:val="24"/>
        </w:rPr>
        <w:t>three</w:t>
      </w:r>
      <w:r w:rsidRPr="005638D8" w:rsidR="00B24BDB">
        <w:rPr>
          <w:szCs w:val="24"/>
        </w:rPr>
        <w:t xml:space="preserve"> years of approval. </w:t>
      </w:r>
    </w:p>
    <w:p w:rsidRPr="00856258" w:rsidR="00856258" w:rsidP="00575821" w:rsidRDefault="00B24BDB" w14:paraId="3BE1DCD0" w14:textId="7D085FB6">
      <w:pPr>
        <w:pStyle w:val="ListParagraph"/>
        <w:numPr>
          <w:ilvl w:val="0"/>
          <w:numId w:val="20"/>
        </w:numPr>
        <w:spacing w:after="240" w:line="240" w:lineRule="auto"/>
        <w:ind w:left="720"/>
        <w:contextualSpacing w:val="0"/>
      </w:pPr>
      <w:r w:rsidRPr="009139B3">
        <w:rPr>
          <w:b/>
        </w:rPr>
        <w:t xml:space="preserve">Progress to Date: </w:t>
      </w:r>
      <w:bookmarkStart w:name="_Hlk94258981" w:id="0"/>
      <w:r w:rsidRPr="00575821" w:rsidR="00347D9B">
        <w:rPr>
          <w:rFonts w:eastAsia="Times New Roman" w:cstheme="minorHAnsi"/>
          <w:iCs/>
          <w:color w:val="000000"/>
        </w:rPr>
        <w:t>Study enrollment is complete;</w:t>
      </w:r>
      <w:r w:rsidRPr="00575821" w:rsidDel="00C07BD8" w:rsidR="00347D9B">
        <w:rPr>
          <w:rFonts w:eastAsia="Times New Roman" w:cstheme="minorHAnsi"/>
          <w:iCs/>
          <w:color w:val="000000"/>
        </w:rPr>
        <w:t xml:space="preserve"> </w:t>
      </w:r>
      <w:r w:rsidRPr="00575821" w:rsidR="00347D9B">
        <w:rPr>
          <w:rFonts w:eastAsia="Times New Roman" w:cstheme="minorHAnsi"/>
          <w:iCs/>
          <w:color w:val="000000"/>
        </w:rPr>
        <w:t xml:space="preserve">the programs have recruited </w:t>
      </w:r>
      <w:r w:rsidR="00474648">
        <w:rPr>
          <w:rFonts w:eastAsia="Times New Roman" w:cstheme="minorHAnsi"/>
          <w:iCs/>
          <w:color w:val="000000"/>
        </w:rPr>
        <w:t>5,02</w:t>
      </w:r>
      <w:r w:rsidR="00A64DC0">
        <w:rPr>
          <w:rFonts w:eastAsia="Times New Roman" w:cstheme="minorHAnsi"/>
          <w:iCs/>
          <w:color w:val="000000"/>
        </w:rPr>
        <w:t>6</w:t>
      </w:r>
      <w:r w:rsidRPr="00575821" w:rsidR="00347D9B">
        <w:rPr>
          <w:rFonts w:eastAsia="Times New Roman" w:cstheme="minorHAnsi"/>
          <w:iCs/>
          <w:color w:val="000000"/>
        </w:rPr>
        <w:t xml:space="preserve"> people eligible for their programs to participate in the study. Approved data collection activities related to the implementation study are complete and analysis is ongoing. The approved first follow-up survey data collection is complete and resulted in</w:t>
      </w:r>
      <w:r w:rsidR="00FB1BB6">
        <w:t xml:space="preserve"> </w:t>
      </w:r>
      <w:r w:rsidR="00DE7145">
        <w:t>3,255</w:t>
      </w:r>
      <w:r w:rsidR="00FB1BB6">
        <w:t xml:space="preserve"> respondents</w:t>
      </w:r>
      <w:r w:rsidR="00347D9B">
        <w:t xml:space="preserve"> for a response rate of 6</w:t>
      </w:r>
      <w:r w:rsidR="00DE7145">
        <w:t>8</w:t>
      </w:r>
      <w:r w:rsidR="00347D9B">
        <w:t xml:space="preserve"> percent. The approved second follow-up survey</w:t>
      </w:r>
      <w:r w:rsidR="00A73C4D">
        <w:t>, which is ongoing,</w:t>
      </w:r>
      <w:r w:rsidR="00347D9B">
        <w:t xml:space="preserve"> has </w:t>
      </w:r>
      <w:r w:rsidR="00FB1BB6">
        <w:t>3,</w:t>
      </w:r>
      <w:r w:rsidR="00DE7145">
        <w:t>579</w:t>
      </w:r>
      <w:r w:rsidR="00FB1BB6">
        <w:t xml:space="preserve"> </w:t>
      </w:r>
      <w:r w:rsidR="00347D9B">
        <w:t>respondents to date</w:t>
      </w:r>
      <w:r w:rsidR="00FB1BB6">
        <w:t xml:space="preserve">. </w:t>
      </w:r>
    </w:p>
    <w:bookmarkEnd w:id="0"/>
    <w:p w:rsidR="004E4C1D" w:rsidP="00575821" w:rsidRDefault="00B24BDB" w14:paraId="13955DC3" w14:textId="1FECC9A2">
      <w:pPr>
        <w:pStyle w:val="ListParagraph"/>
        <w:numPr>
          <w:ilvl w:val="0"/>
          <w:numId w:val="20"/>
        </w:numPr>
        <w:spacing w:after="240" w:line="240" w:lineRule="auto"/>
        <w:ind w:left="720"/>
        <w:contextualSpacing w:val="0"/>
      </w:pPr>
      <w:r w:rsidRPr="005638D8">
        <w:rPr>
          <w:b/>
        </w:rPr>
        <w:t xml:space="preserve">Timeline: </w:t>
      </w:r>
      <w:r w:rsidR="00D65BF9">
        <w:t>The</w:t>
      </w:r>
      <w:r w:rsidR="00EC39C1">
        <w:t xml:space="preserve"> study enrollment</w:t>
      </w:r>
      <w:r w:rsidR="00D65BF9">
        <w:t xml:space="preserve"> period</w:t>
      </w:r>
      <w:r w:rsidR="00EC39C1">
        <w:t xml:space="preserve"> </w:t>
      </w:r>
      <w:r w:rsidR="00160C87">
        <w:t xml:space="preserve">was </w:t>
      </w:r>
      <w:r w:rsidR="00D7456E">
        <w:t>extended through</w:t>
      </w:r>
      <w:r w:rsidR="00EC39C1">
        <w:t xml:space="preserve"> Februa</w:t>
      </w:r>
      <w:r w:rsidR="002B06A5">
        <w:t>r</w:t>
      </w:r>
      <w:r w:rsidR="00EC39C1">
        <w:t>y 2020</w:t>
      </w:r>
      <w:r w:rsidR="00D77C35">
        <w:t xml:space="preserve">. </w:t>
      </w:r>
      <w:r w:rsidR="00D65BF9">
        <w:t xml:space="preserve">Study participants are released for second follow-up </w:t>
      </w:r>
      <w:r w:rsidR="005A0E8D">
        <w:t xml:space="preserve">survey </w:t>
      </w:r>
      <w:r w:rsidR="00D65BF9">
        <w:t xml:space="preserve">data collection 21 </w:t>
      </w:r>
      <w:r w:rsidR="00575821">
        <w:t xml:space="preserve">to 24 </w:t>
      </w:r>
      <w:r w:rsidR="00D65BF9">
        <w:t>months after study enrollment.</w:t>
      </w:r>
      <w:r w:rsidR="00A73C4D">
        <w:t xml:space="preserve"> </w:t>
      </w:r>
      <w:r w:rsidR="00575821">
        <w:t>All study participants w</w:t>
      </w:r>
      <w:r w:rsidR="005A0E8D">
        <w:t>ere</w:t>
      </w:r>
      <w:r w:rsidR="00575821">
        <w:t xml:space="preserve"> released for second follow-up </w:t>
      </w:r>
      <w:r w:rsidR="005A0E8D">
        <w:t xml:space="preserve">survey </w:t>
      </w:r>
      <w:r w:rsidR="00575821">
        <w:t>data collection in February 2022. After release,</w:t>
      </w:r>
      <w:r w:rsidR="00C57EF8">
        <w:t xml:space="preserve"> i</w:t>
      </w:r>
      <w:r w:rsidR="00A73C4D">
        <w:t xml:space="preserve">t may take six months </w:t>
      </w:r>
      <w:r w:rsidR="00C57EF8">
        <w:t xml:space="preserve">for </w:t>
      </w:r>
      <w:r w:rsidR="00BC0181">
        <w:t xml:space="preserve">survey data collection </w:t>
      </w:r>
      <w:r w:rsidR="00C57EF8">
        <w:t xml:space="preserve">to be completed with these second follow-up survey participants. </w:t>
      </w:r>
      <w:r w:rsidR="00D65BF9">
        <w:t>Therefore, we will not be able to complete the second follow-up survey data collection</w:t>
      </w:r>
      <w:r w:rsidR="00110200">
        <w:t xml:space="preserve"> </w:t>
      </w:r>
      <w:r w:rsidR="00D65BF9">
        <w:t xml:space="preserve">by the current end of the approval period in April 2022. </w:t>
      </w:r>
      <w:r w:rsidR="00BC0181">
        <w:t xml:space="preserve">The proposed third follow-up survey data collection will take place from </w:t>
      </w:r>
      <w:r w:rsidR="005B0C84">
        <w:t>September 2022</w:t>
      </w:r>
      <w:r w:rsidR="00BC0181">
        <w:t xml:space="preserve"> to </w:t>
      </w:r>
      <w:r w:rsidR="005B0C84">
        <w:t>August 2024</w:t>
      </w:r>
      <w:r w:rsidR="00BC0181">
        <w:t xml:space="preserve">. The proposed semi-structured interview data collection will take place </w:t>
      </w:r>
      <w:r w:rsidR="00BD4BD7">
        <w:t xml:space="preserve">approximately </w:t>
      </w:r>
      <w:r w:rsidR="00BC0181">
        <w:t xml:space="preserve">from </w:t>
      </w:r>
      <w:r w:rsidR="00BD4BD7">
        <w:t>August 2022</w:t>
      </w:r>
      <w:r w:rsidR="00BC0181">
        <w:t xml:space="preserve"> to </w:t>
      </w:r>
      <w:r w:rsidR="00BD4BD7">
        <w:t>October 2022</w:t>
      </w:r>
      <w:r w:rsidR="00BC0181">
        <w:t xml:space="preserve">. </w:t>
      </w:r>
    </w:p>
    <w:p w:rsidR="003F5243" w:rsidP="00575821" w:rsidRDefault="00B24BDB" w14:paraId="2ED52F25" w14:textId="30CD3B61">
      <w:pPr>
        <w:pStyle w:val="ListParagraph"/>
        <w:numPr>
          <w:ilvl w:val="0"/>
          <w:numId w:val="20"/>
        </w:numPr>
        <w:spacing w:after="240" w:line="240" w:lineRule="auto"/>
        <w:ind w:left="720"/>
        <w:contextualSpacing w:val="0"/>
      </w:pPr>
      <w:r w:rsidRPr="009139B3">
        <w:rPr>
          <w:b/>
        </w:rPr>
        <w:t>Previous Terms of Clearance:</w:t>
      </w:r>
      <w:r w:rsidR="005638D8">
        <w:rPr>
          <w:b/>
        </w:rPr>
        <w:t xml:space="preserve"> </w:t>
      </w:r>
      <w:r w:rsidR="00D65BF9">
        <w:t>The initial ICR approval required a</w:t>
      </w:r>
      <w:r w:rsidR="003F5243">
        <w:t xml:space="preserve"> memo </w:t>
      </w:r>
      <w:r w:rsidR="007C7361">
        <w:t>detailing</w:t>
      </w:r>
      <w:r w:rsidR="003F5243">
        <w:t xml:space="preserve"> </w:t>
      </w:r>
      <w:r w:rsidR="00D65BF9">
        <w:t xml:space="preserve">response </w:t>
      </w:r>
      <w:r w:rsidR="00C36A33">
        <w:t xml:space="preserve">rate patterns under the initially approved </w:t>
      </w:r>
      <w:r w:rsidR="003F5243">
        <w:t xml:space="preserve">two-tiered </w:t>
      </w:r>
      <w:r w:rsidR="00C36A33">
        <w:t xml:space="preserve">follow-up survey </w:t>
      </w:r>
      <w:r w:rsidR="003F5243">
        <w:t>incentive</w:t>
      </w:r>
      <w:r w:rsidR="00C36A33">
        <w:t xml:space="preserve">. </w:t>
      </w:r>
      <w:r w:rsidR="002C7DE3">
        <w:t>We anticipate submission of t</w:t>
      </w:r>
      <w:r w:rsidR="00C36A33">
        <w:t>hat memo</w:t>
      </w:r>
      <w:r w:rsidR="003F5243">
        <w:t xml:space="preserve"> </w:t>
      </w:r>
      <w:r w:rsidR="004E1640">
        <w:t xml:space="preserve">in </w:t>
      </w:r>
      <w:r w:rsidR="002C7DE3">
        <w:t>spring</w:t>
      </w:r>
      <w:r w:rsidR="004E1640">
        <w:t xml:space="preserve"> 2022</w:t>
      </w:r>
      <w:r w:rsidR="003F5243">
        <w:t xml:space="preserve">. </w:t>
      </w:r>
    </w:p>
    <w:p w:rsidRPr="005638D8" w:rsidR="00C36A33" w:rsidP="00575821" w:rsidRDefault="00B24BDB" w14:paraId="33D03146" w14:textId="6F4861A8">
      <w:pPr>
        <w:pStyle w:val="ListParagraph"/>
        <w:numPr>
          <w:ilvl w:val="0"/>
          <w:numId w:val="20"/>
        </w:numPr>
        <w:spacing w:after="240" w:line="240" w:lineRule="auto"/>
        <w:ind w:left="720"/>
        <w:contextualSpacing w:val="0"/>
        <w:rPr>
          <w:rFonts w:cs="Calibri"/>
        </w:rPr>
      </w:pPr>
      <w:r w:rsidRPr="009139B3">
        <w:rPr>
          <w:b/>
        </w:rPr>
        <w:t xml:space="preserve">Summary of </w:t>
      </w:r>
      <w:r w:rsidR="005A0E8D">
        <w:rPr>
          <w:b/>
        </w:rPr>
        <w:t>C</w:t>
      </w:r>
      <w:r w:rsidRPr="009139B3">
        <w:rPr>
          <w:b/>
        </w:rPr>
        <w:t xml:space="preserve">hanges </w:t>
      </w:r>
      <w:r w:rsidR="005A0E8D">
        <w:rPr>
          <w:b/>
        </w:rPr>
        <w:t>R</w:t>
      </w:r>
      <w:r w:rsidRPr="009139B3">
        <w:rPr>
          <w:b/>
        </w:rPr>
        <w:t xml:space="preserve">equested: </w:t>
      </w:r>
      <w:r w:rsidRPr="005638D8" w:rsidR="00C36A33">
        <w:rPr>
          <w:iCs/>
          <w:szCs w:val="24"/>
        </w:rPr>
        <w:t xml:space="preserve">We are </w:t>
      </w:r>
      <w:r w:rsidRPr="005638D8" w:rsidR="005E7706">
        <w:rPr>
          <w:iCs/>
          <w:szCs w:val="24"/>
        </w:rPr>
        <w:t>requesting</w:t>
      </w:r>
      <w:r w:rsidRPr="005638D8" w:rsidR="00C36A33">
        <w:rPr>
          <w:iCs/>
          <w:szCs w:val="24"/>
        </w:rPr>
        <w:t xml:space="preserve"> an extension </w:t>
      </w:r>
      <w:r w:rsidR="0067776C">
        <w:rPr>
          <w:iCs/>
          <w:szCs w:val="24"/>
        </w:rPr>
        <w:t xml:space="preserve">with no changes </w:t>
      </w:r>
      <w:r w:rsidRPr="005638D8" w:rsidR="00C36A33">
        <w:rPr>
          <w:iCs/>
          <w:szCs w:val="24"/>
        </w:rPr>
        <w:t>for the previously approved second follow-up survey data collection</w:t>
      </w:r>
      <w:r w:rsidRPr="005638D8" w:rsidR="00C36A33">
        <w:rPr>
          <w:rFonts w:cs="Calibri"/>
        </w:rPr>
        <w:t xml:space="preserve"> to allow </w:t>
      </w:r>
      <w:r w:rsidRPr="005638D8" w:rsidR="004E7C86">
        <w:rPr>
          <w:rFonts w:cs="Calibri"/>
        </w:rPr>
        <w:t>sample members who enrolled at the end of the study intake period to complete the second follow-up survey</w:t>
      </w:r>
      <w:r w:rsidRPr="005638D8" w:rsidR="00C36A33">
        <w:rPr>
          <w:rFonts w:cs="Calibri"/>
        </w:rPr>
        <w:t xml:space="preserve">. </w:t>
      </w:r>
    </w:p>
    <w:p w:rsidRPr="0067776C" w:rsidR="00C36A33" w:rsidP="0067776C" w:rsidRDefault="00C36A33" w14:paraId="3B9B3A45" w14:textId="531882FE">
      <w:pPr>
        <w:pStyle w:val="ListParagraph"/>
        <w:spacing w:after="240" w:line="240" w:lineRule="auto"/>
        <w:contextualSpacing w:val="0"/>
        <w:rPr>
          <w:rFonts w:cs="Calibri"/>
        </w:rPr>
      </w:pPr>
      <w:r>
        <w:rPr>
          <w:szCs w:val="24"/>
        </w:rPr>
        <w:t xml:space="preserve">We are </w:t>
      </w:r>
      <w:r w:rsidR="0067776C">
        <w:rPr>
          <w:szCs w:val="24"/>
        </w:rPr>
        <w:t xml:space="preserve">proposing </w:t>
      </w:r>
      <w:r w:rsidRPr="007A7455" w:rsidR="0067776C">
        <w:t xml:space="preserve">new instruments </w:t>
      </w:r>
      <w:r w:rsidR="0067776C">
        <w:t>to</w:t>
      </w:r>
      <w:r w:rsidRPr="007A7455" w:rsidR="0067776C">
        <w:t xml:space="preserve"> </w:t>
      </w:r>
      <w:r w:rsidR="0067776C">
        <w:t>collect</w:t>
      </w:r>
      <w:r w:rsidRPr="007A7455" w:rsidR="0067776C">
        <w:t xml:space="preserve"> descriptive information about how coaches form trusting relationships with their participants and other key topics that have emerged as important in analysis of previously collected study data.</w:t>
      </w:r>
      <w:r w:rsidR="0067776C">
        <w:t xml:space="preserve"> These</w:t>
      </w:r>
      <w:r w:rsidR="0067776C">
        <w:rPr>
          <w:iCs/>
          <w:szCs w:val="24"/>
        </w:rPr>
        <w:t xml:space="preserve"> </w:t>
      </w:r>
      <w:r>
        <w:rPr>
          <w:iCs/>
          <w:szCs w:val="24"/>
        </w:rPr>
        <w:t>n</w:t>
      </w:r>
      <w:r w:rsidRPr="00F14401">
        <w:rPr>
          <w:iCs/>
          <w:szCs w:val="24"/>
        </w:rPr>
        <w:t xml:space="preserve">ew </w:t>
      </w:r>
      <w:r w:rsidR="0067776C">
        <w:rPr>
          <w:iCs/>
          <w:szCs w:val="24"/>
        </w:rPr>
        <w:t>instruments include</w:t>
      </w:r>
      <w:r w:rsidRPr="00F14401">
        <w:rPr>
          <w:iCs/>
          <w:szCs w:val="24"/>
        </w:rPr>
        <w:t xml:space="preserve"> a third follow-up survey</w:t>
      </w:r>
      <w:r w:rsidR="0006772B">
        <w:rPr>
          <w:iCs/>
          <w:szCs w:val="24"/>
        </w:rPr>
        <w:t xml:space="preserve"> for participants</w:t>
      </w:r>
      <w:r w:rsidR="0067776C">
        <w:rPr>
          <w:iCs/>
          <w:szCs w:val="24"/>
        </w:rPr>
        <w:t xml:space="preserve"> and additional </w:t>
      </w:r>
      <w:r w:rsidRPr="0067776C">
        <w:t xml:space="preserve">follow-up </w:t>
      </w:r>
      <w:r w:rsidR="0067776C">
        <w:t xml:space="preserve">through </w:t>
      </w:r>
      <w:r w:rsidRPr="0067776C">
        <w:t xml:space="preserve">semi-structured interviews with </w:t>
      </w:r>
      <w:r w:rsidRPr="0067776C" w:rsidR="00A73C4D">
        <w:t xml:space="preserve">program </w:t>
      </w:r>
      <w:r w:rsidRPr="0067776C">
        <w:t>management, staff, supervisors, and participants.</w:t>
      </w:r>
      <w:r w:rsidRPr="0067776C" w:rsidR="00C14BF2">
        <w:t xml:space="preserve"> </w:t>
      </w:r>
      <w:r w:rsidR="0067776C">
        <w:t>The survey will provide information on participants at least four years after random assignment and t</w:t>
      </w:r>
      <w:r w:rsidRPr="0067776C" w:rsidR="00C14BF2">
        <w:t xml:space="preserve">he interviews will </w:t>
      </w:r>
      <w:r w:rsidRPr="0067776C" w:rsidR="00C14BF2">
        <w:lastRenderedPageBreak/>
        <w:t xml:space="preserve">enable additional input from employment coaching program staff and participants on processes and perceptions of employment coaching. </w:t>
      </w:r>
    </w:p>
    <w:p w:rsidRPr="009139B3" w:rsidR="00B24BDB" w:rsidP="004D5CC0" w:rsidRDefault="00B24BDB" w14:paraId="709DA76A" w14:textId="397F0254">
      <w:pPr>
        <w:pStyle w:val="ListParagraph"/>
        <w:spacing w:after="240" w:line="240" w:lineRule="auto"/>
        <w:contextualSpacing w:val="0"/>
        <w:rPr>
          <w:rFonts w:cs="Calibri"/>
        </w:rPr>
      </w:pPr>
      <w:r w:rsidRPr="009139B3">
        <w:rPr>
          <w:rFonts w:cs="Calibri"/>
        </w:rPr>
        <w:t>We do not intend for this information to be used as the principal basis for public policy decisions.</w:t>
      </w:r>
    </w:p>
    <w:p w:rsidRPr="00991C97" w:rsidR="00E65AEE" w:rsidP="00E65AEE" w:rsidRDefault="001D1C73" w14:paraId="1FB2AD9B" w14:textId="650420A7">
      <w:pPr>
        <w:pStyle w:val="ListParagraph"/>
        <w:numPr>
          <w:ilvl w:val="0"/>
          <w:numId w:val="20"/>
        </w:numPr>
        <w:spacing w:after="240" w:line="240" w:lineRule="auto"/>
        <w:ind w:left="720"/>
        <w:contextualSpacing w:val="0"/>
        <w:rPr>
          <w:rFonts w:cs="Calibri"/>
        </w:rPr>
      </w:pPr>
      <w:r w:rsidRPr="009139B3">
        <w:rPr>
          <w:b/>
        </w:rPr>
        <w:t xml:space="preserve">Description of Request: </w:t>
      </w:r>
      <w:r w:rsidR="0067776C">
        <w:rPr>
          <w:bCs/>
        </w:rPr>
        <w:t>The request includes an extension to complete data collection with the currently approved second follow-up survey (Attachment N)</w:t>
      </w:r>
      <w:r w:rsidR="00E65AEE">
        <w:rPr>
          <w:bCs/>
        </w:rPr>
        <w:t xml:space="preserve"> and a request for approval of new instruments, including a third</w:t>
      </w:r>
      <w:r w:rsidRPr="00E65AEE" w:rsidR="00E65AEE">
        <w:rPr>
          <w:bCs/>
        </w:rPr>
        <w:t xml:space="preserve"> </w:t>
      </w:r>
      <w:r w:rsidR="00E65AEE">
        <w:rPr>
          <w:bCs/>
        </w:rPr>
        <w:t xml:space="preserve">follow-up survey (Attachment Q) and semi-structured interviews with management (Attachment R), staff and supervisors (Attachment S), and participants (Attachment T).    </w:t>
      </w:r>
    </w:p>
    <w:p w:rsidRPr="005638D8" w:rsidR="005638D8" w:rsidP="00E65AEE" w:rsidRDefault="00E65AEE" w14:paraId="68B1ECB4" w14:textId="038B62AC">
      <w:pPr>
        <w:pStyle w:val="ListParagraph"/>
        <w:numPr>
          <w:ilvl w:val="0"/>
          <w:numId w:val="20"/>
        </w:numPr>
        <w:spacing w:after="240" w:line="240" w:lineRule="auto"/>
        <w:ind w:left="720"/>
        <w:contextualSpacing w:val="0"/>
        <w:rPr>
          <w:rFonts w:cs="Calibri"/>
        </w:rPr>
      </w:pPr>
      <w:r>
        <w:rPr>
          <w:rFonts w:cs="Calibri"/>
          <w:b/>
          <w:bCs/>
        </w:rPr>
        <w:t>T</w:t>
      </w:r>
      <w:r w:rsidRPr="00575821" w:rsidR="005638D8">
        <w:rPr>
          <w:b/>
        </w:rPr>
        <w:t>ime Sensitivity:</w:t>
      </w:r>
      <w:r w:rsidR="00991C97">
        <w:rPr>
          <w:b/>
        </w:rPr>
        <w:t xml:space="preserve"> </w:t>
      </w:r>
      <w:r w:rsidRPr="00575821" w:rsidR="00991C97">
        <w:rPr>
          <w:bCs/>
        </w:rPr>
        <w:t>The current approval for the second follow-up survey will expire on April 30, 2022.</w:t>
      </w:r>
      <w:r w:rsidR="00BC0181">
        <w:rPr>
          <w:bCs/>
        </w:rPr>
        <w:t xml:space="preserve"> </w:t>
      </w:r>
      <w:r w:rsidRPr="00BC0181" w:rsidR="00BC0181">
        <w:t xml:space="preserve"> </w:t>
      </w:r>
      <w:r w:rsidR="00BC0181">
        <w:t>We will not be able to complete the second follow-up survey data collection by that date</w:t>
      </w:r>
      <w:r w:rsidR="00450501">
        <w:t xml:space="preserve"> and are therefore seeking approval before then, in order to avoid continue fielding the survey without disruption</w:t>
      </w:r>
      <w:r w:rsidR="00BC0181">
        <w:t>.</w:t>
      </w:r>
    </w:p>
    <w:p w:rsidRPr="009139B3" w:rsidR="001D1C73" w:rsidP="004D5CC0" w:rsidRDefault="001D1C73" w14:paraId="7CF70A12" w14:textId="77777777">
      <w:pPr>
        <w:spacing w:after="240"/>
      </w:pPr>
      <w:r w:rsidRPr="009139B3">
        <w:br w:type="page"/>
      </w:r>
    </w:p>
    <w:p w:rsidRPr="005E7706" w:rsidR="001D1C73" w:rsidP="004E4C1D" w:rsidRDefault="001D1C73" w14:paraId="376E93B4" w14:textId="77777777">
      <w:pPr>
        <w:spacing w:after="240" w:line="240" w:lineRule="auto"/>
      </w:pPr>
      <w:r w:rsidRPr="005E7706">
        <w:rPr>
          <w:b/>
        </w:rPr>
        <w:lastRenderedPageBreak/>
        <w:t>A1</w:t>
      </w:r>
      <w:r w:rsidRPr="005E7706">
        <w:t>.</w:t>
      </w:r>
      <w:r w:rsidRPr="005E7706">
        <w:tab/>
      </w:r>
      <w:r w:rsidRPr="005E7706">
        <w:rPr>
          <w:b/>
        </w:rPr>
        <w:t>Necessity for Collection</w:t>
      </w:r>
      <w:r w:rsidRPr="005E7706">
        <w:t xml:space="preserve"> </w:t>
      </w:r>
    </w:p>
    <w:p w:rsidRPr="005E7706" w:rsidR="00BC785C" w:rsidP="004E4C1D" w:rsidRDefault="001F2782" w14:paraId="26EBECAC" w14:textId="5CF47721">
      <w:pPr>
        <w:pStyle w:val="Paragraph"/>
        <w:widowControl w:val="0"/>
        <w:spacing w:after="240" w:line="240" w:lineRule="auto"/>
      </w:pPr>
      <w:r>
        <w:t xml:space="preserve">This data collection will provide information about the effectiveness of employment coaching programs in helping </w:t>
      </w:r>
      <w:r w:rsidRPr="005E7706">
        <w:t xml:space="preserve">TANF and other low-income populations </w:t>
      </w:r>
      <w:r>
        <w:t xml:space="preserve">achieve economic independence. </w:t>
      </w:r>
      <w:r w:rsidRPr="005E7706" w:rsidR="00044EAE">
        <w:t xml:space="preserve">The proposed extension for the second follow-up survey data collection under OMB #0970-0506 will allow for continued follow-up in the evaluation sites. The extension is necessary to complete the second follow-up survey. There are no changes to the previously approved information collection.  </w:t>
      </w:r>
    </w:p>
    <w:p w:rsidRPr="005E7706" w:rsidR="00044EAE" w:rsidP="004E4C1D" w:rsidRDefault="001F2782" w14:paraId="662B5C92" w14:textId="298B166A">
      <w:pPr>
        <w:pStyle w:val="Paragraph"/>
        <w:widowControl w:val="0"/>
        <w:spacing w:after="240" w:line="240" w:lineRule="auto"/>
      </w:pPr>
      <w:r>
        <w:t>The approved data collections for this study</w:t>
      </w:r>
      <w:r w:rsidR="00081E7E">
        <w:t xml:space="preserve"> provide information about program impacts for the first 21 to 24 months after study enrollment. However, it is possible that the programs continue to generate impacts beyond this period, particularly given that t</w:t>
      </w:r>
      <w:r>
        <w:t>hree employment coaching interventions included in the study continue to provide services beyond the period covered by the second follow-up survey. T</w:t>
      </w:r>
      <w:r w:rsidRPr="005E7706" w:rsidR="00044EAE">
        <w:t xml:space="preserve">he proposed new information collection through a third follow-up survey </w:t>
      </w:r>
      <w:r w:rsidRPr="005E7706" w:rsidR="004E4C1D">
        <w:t xml:space="preserve">under OMB #0970-0506 </w:t>
      </w:r>
      <w:r w:rsidRPr="005E7706" w:rsidR="00044EAE">
        <w:t xml:space="preserve">will provide information about participants at least four years after random assignment. This activity will provide rigorous evidence on whether the coaching interventions are effective, for whom, and under what circumstances over the longer term. The information collected at a later follow-up point will be used to assess how employment coaching might have a continued effect on participants long after they have left coaching programs.  </w:t>
      </w:r>
    </w:p>
    <w:p w:rsidRPr="005E7706" w:rsidR="007708D3" w:rsidP="004E4C1D" w:rsidRDefault="00081E7E" w14:paraId="4E5FF4C7" w14:textId="57E7A9C9">
      <w:pPr>
        <w:pStyle w:val="Paragraph"/>
        <w:widowControl w:val="0"/>
        <w:spacing w:after="240" w:line="240" w:lineRule="auto"/>
      </w:pPr>
      <w:r>
        <w:t>Qualitative analysis of completed approved data collections related to the implem</w:t>
      </w:r>
      <w:r w:rsidR="002C7DE3">
        <w:t>e</w:t>
      </w:r>
      <w:r>
        <w:t>n</w:t>
      </w:r>
      <w:r w:rsidR="002C7DE3">
        <w:t>t</w:t>
      </w:r>
      <w:r>
        <w:t>ation study suggest the importance of the relationship between the coach an</w:t>
      </w:r>
      <w:r w:rsidR="002C7DE3">
        <w:t>d</w:t>
      </w:r>
      <w:r>
        <w:t xml:space="preserve"> program participant and certain program features, such as participation incentives. </w:t>
      </w:r>
      <w:r w:rsidRPr="005E7706" w:rsidR="007708D3">
        <w:t>The proposed new information collection through follow-up semi-structured interviews with management, staff, supervisors, and participants under OMB #0970-0506 will enable additional input from employment coaching program staff and participants on the processes and perceptions of employment coaching. The proposed new data collection instruments will provide descriptive information about how coaches form trusting relationships with their participants and other key topics that have emerged as important in analysis of previously collected study data.</w:t>
      </w:r>
    </w:p>
    <w:p w:rsidR="00AF69B9" w:rsidP="004E4C1D" w:rsidRDefault="00DE329C" w14:paraId="3DAC9D76" w14:textId="16C8BB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cstheme="minorHAnsi"/>
        </w:rPr>
      </w:pPr>
      <w:r w:rsidRPr="005E7706">
        <w:rPr>
          <w:rFonts w:cstheme="minorHAnsi"/>
        </w:rPr>
        <w:t>There are no legal or administrative requirements that necessitate this collection. ACF is undertaking the collection at the discretion of the agency.</w:t>
      </w:r>
    </w:p>
    <w:p w:rsidRPr="005E7706" w:rsidR="00786CD8" w:rsidP="00081E7E" w:rsidRDefault="00786CD8" w14:paraId="2DDE5D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szCs w:val="24"/>
        </w:rPr>
      </w:pPr>
    </w:p>
    <w:p w:rsidRPr="005E7706" w:rsidR="001D1C73" w:rsidP="004E4C1D" w:rsidRDefault="001D1C73" w14:paraId="1D64CC0F" w14:textId="77777777">
      <w:pPr>
        <w:spacing w:after="240" w:line="240" w:lineRule="auto"/>
        <w:rPr>
          <w:b/>
        </w:rPr>
      </w:pPr>
      <w:r w:rsidRPr="005E7706">
        <w:rPr>
          <w:b/>
        </w:rPr>
        <w:t>A2</w:t>
      </w:r>
      <w:r w:rsidRPr="005E7706">
        <w:t>.</w:t>
      </w:r>
      <w:r w:rsidRPr="005E7706">
        <w:tab/>
      </w:r>
      <w:r w:rsidRPr="005E7706">
        <w:rPr>
          <w:b/>
        </w:rPr>
        <w:t>Purpose</w:t>
      </w:r>
    </w:p>
    <w:p w:rsidRPr="00757789" w:rsidR="001D1C73" w:rsidP="00CA337A" w:rsidRDefault="001D1C73" w14:paraId="3EF5234E" w14:textId="77777777">
      <w:pPr>
        <w:spacing w:after="60" w:line="240" w:lineRule="auto"/>
        <w:rPr>
          <w:b/>
          <w:bCs/>
          <w:i/>
        </w:rPr>
      </w:pPr>
      <w:r w:rsidRPr="00757789">
        <w:rPr>
          <w:b/>
          <w:bCs/>
          <w:i/>
        </w:rPr>
        <w:t xml:space="preserve">Purpose and Use </w:t>
      </w:r>
    </w:p>
    <w:p w:rsidRPr="005E7706" w:rsidR="007439B8" w:rsidP="004E4C1D" w:rsidRDefault="00751032" w14:paraId="07EDAA67" w14:textId="1D1915CC">
      <w:pPr>
        <w:pStyle w:val="Paragraph"/>
        <w:widowControl w:val="0"/>
        <w:spacing w:after="240" w:line="240" w:lineRule="auto"/>
        <w:rPr>
          <w:rFonts w:ascii="Calibri" w:hAnsi="Calibri" w:eastAsia="Times New Roman" w:cs="Calibri"/>
        </w:rPr>
      </w:pPr>
      <w:r w:rsidRPr="005E7706">
        <w:rPr>
          <w:rFonts w:ascii="Calibri" w:hAnsi="Calibri" w:eastAsia="Times New Roman" w:cs="Calibri"/>
        </w:rPr>
        <w:t xml:space="preserve">The information collected through the </w:t>
      </w:r>
      <w:r w:rsidRPr="005E7706" w:rsidR="0045038D">
        <w:rPr>
          <w:rFonts w:ascii="Calibri" w:hAnsi="Calibri" w:eastAsia="Times New Roman" w:cs="Calibri"/>
        </w:rPr>
        <w:t xml:space="preserve">instruments included in this </w:t>
      </w:r>
      <w:r w:rsidR="0095168E">
        <w:rPr>
          <w:rFonts w:ascii="Calibri" w:hAnsi="Calibri" w:eastAsia="Times New Roman" w:cs="Calibri"/>
        </w:rPr>
        <w:t>Information Collection Request (</w:t>
      </w:r>
      <w:r w:rsidRPr="005E7706" w:rsidR="0045038D">
        <w:rPr>
          <w:rFonts w:ascii="Calibri" w:hAnsi="Calibri" w:eastAsia="Times New Roman" w:cs="Calibri"/>
        </w:rPr>
        <w:t>ICR</w:t>
      </w:r>
      <w:r w:rsidR="0095168E">
        <w:rPr>
          <w:rFonts w:ascii="Calibri" w:hAnsi="Calibri" w:eastAsia="Times New Roman" w:cs="Calibri"/>
        </w:rPr>
        <w:t>)</w:t>
      </w:r>
      <w:r w:rsidRPr="005E7706">
        <w:rPr>
          <w:rFonts w:ascii="Calibri" w:hAnsi="Calibri" w:eastAsia="Times New Roman" w:cs="Calibri"/>
        </w:rPr>
        <w:t xml:space="preserve"> will be used to learn about </w:t>
      </w:r>
      <w:r w:rsidRPr="005E7706" w:rsidR="007439B8">
        <w:t xml:space="preserve">coaching interventions in employment programs serving </w:t>
      </w:r>
      <w:r w:rsidRPr="001F5EDE" w:rsidR="009A22A4">
        <w:t>Temporary Assistance for Needy Families (</w:t>
      </w:r>
      <w:r w:rsidRPr="005E7706" w:rsidR="007439B8">
        <w:t>TANF</w:t>
      </w:r>
      <w:r w:rsidR="009A22A4">
        <w:t>)</w:t>
      </w:r>
      <w:r w:rsidRPr="005E7706" w:rsidR="007439B8">
        <w:t xml:space="preserve"> and other low-income populations. The data collection efforts will provide information on implementation of coaching interventions, the experiences of the program participants who are paired with a coach, and the interventions’ effectiveness at improving outcomes for program participants. They will also provide information on the reasons interventions may or may not be effective, the successes and challenges in implementing them, and potential solutions for addressing those challenges.</w:t>
      </w:r>
    </w:p>
    <w:p w:rsidRPr="005E7706" w:rsidR="00751032" w:rsidP="004E4C1D" w:rsidRDefault="00751032" w14:paraId="6DBA49EF" w14:textId="713EB0C0">
      <w:pPr>
        <w:pStyle w:val="Paragraph"/>
        <w:widowControl w:val="0"/>
        <w:spacing w:after="240" w:line="240" w:lineRule="auto"/>
        <w:rPr>
          <w:rFonts w:ascii="Calibri" w:hAnsi="Calibri" w:eastAsia="Times New Roman" w:cs="Calibri"/>
        </w:rPr>
      </w:pPr>
      <w:r w:rsidRPr="005E7706">
        <w:rPr>
          <w:rFonts w:ascii="Calibri" w:hAnsi="Calibri" w:eastAsia="Times New Roman" w:cs="Calibri"/>
        </w:rPr>
        <w:t xml:space="preserve">This information </w:t>
      </w:r>
      <w:r w:rsidR="00081E7E">
        <w:rPr>
          <w:rFonts w:ascii="Calibri" w:hAnsi="Calibri" w:eastAsia="Times New Roman" w:cs="Calibri"/>
        </w:rPr>
        <w:t>wi</w:t>
      </w:r>
      <w:r w:rsidR="002C7DE3">
        <w:rPr>
          <w:rFonts w:ascii="Calibri" w:hAnsi="Calibri" w:eastAsia="Times New Roman" w:cs="Calibri"/>
        </w:rPr>
        <w:t>ll</w:t>
      </w:r>
      <w:r w:rsidR="00081E7E">
        <w:rPr>
          <w:rFonts w:ascii="Calibri" w:hAnsi="Calibri" w:eastAsia="Times New Roman" w:cs="Calibri"/>
        </w:rPr>
        <w:t xml:space="preserve"> be synthesized and disseminated through a series of reports</w:t>
      </w:r>
      <w:r w:rsidR="0036347D">
        <w:rPr>
          <w:rFonts w:ascii="Calibri" w:hAnsi="Calibri" w:eastAsia="Times New Roman" w:cs="Calibri"/>
        </w:rPr>
        <w:t xml:space="preserve"> and research briefs intended for diverse audiences, such as program practitioners, policymakers, and other stakeholders interested in employment coaching or programs intended for low</w:t>
      </w:r>
      <w:r w:rsidR="002C7DE3">
        <w:rPr>
          <w:rFonts w:ascii="Calibri" w:hAnsi="Calibri" w:eastAsia="Times New Roman" w:cs="Calibri"/>
        </w:rPr>
        <w:t>-</w:t>
      </w:r>
      <w:r w:rsidR="0036347D">
        <w:rPr>
          <w:rFonts w:ascii="Calibri" w:hAnsi="Calibri" w:eastAsia="Times New Roman" w:cs="Calibri"/>
        </w:rPr>
        <w:t>income populations.</w:t>
      </w:r>
      <w:r w:rsidRPr="005E7706">
        <w:rPr>
          <w:rFonts w:ascii="Calibri" w:hAnsi="Calibri" w:eastAsia="Times New Roman" w:cs="Calibri"/>
        </w:rPr>
        <w:t xml:space="preserve"> If the </w:t>
      </w:r>
      <w:r w:rsidRPr="005E7706">
        <w:rPr>
          <w:rFonts w:ascii="Calibri" w:hAnsi="Calibri" w:eastAsia="Times New Roman" w:cs="Calibri"/>
        </w:rPr>
        <w:lastRenderedPageBreak/>
        <w:t>information collection does not take place, policymakers and providers of coaching programs will lack high</w:t>
      </w:r>
      <w:r w:rsidR="005035A6">
        <w:rPr>
          <w:rFonts w:ascii="Calibri" w:hAnsi="Calibri" w:eastAsia="Times New Roman" w:cs="Calibri"/>
        </w:rPr>
        <w:t>-</w:t>
      </w:r>
      <w:r w:rsidRPr="005E7706">
        <w:rPr>
          <w:rFonts w:ascii="Calibri" w:hAnsi="Calibri" w:eastAsia="Times New Roman" w:cs="Calibri"/>
        </w:rPr>
        <w:t xml:space="preserve">quality and long-term information on the effects of the interventions. </w:t>
      </w:r>
    </w:p>
    <w:p w:rsidRPr="005E7706" w:rsidR="001D1C73" w:rsidP="004E4C1D" w:rsidRDefault="001D1C73" w14:paraId="5D584897" w14:textId="4A5B7403">
      <w:pPr>
        <w:spacing w:after="240" w:line="240" w:lineRule="auto"/>
        <w:rPr>
          <w:rFonts w:cs="Calibri"/>
        </w:rPr>
      </w:pPr>
      <w:r w:rsidRPr="005E7706">
        <w:rPr>
          <w:rFonts w:cs="Calibri"/>
        </w:rPr>
        <w:t>The information collected is meant to contribute to the body of knowledge on ACF programs. It is not intended to be used as the principal basis for a decision by a federal decision-maker,</w:t>
      </w:r>
      <w:r w:rsidRPr="005E7706" w:rsidR="005253DE">
        <w:rPr>
          <w:rFonts w:cs="Calibri"/>
        </w:rPr>
        <w:t xml:space="preserve"> </w:t>
      </w:r>
      <w:r w:rsidRPr="005E7706">
        <w:rPr>
          <w:rFonts w:cs="Calibri"/>
        </w:rPr>
        <w:t xml:space="preserve">and is not expected to meet the threshold of influential or highly influential scientific information.  </w:t>
      </w:r>
    </w:p>
    <w:p w:rsidRPr="005E7706" w:rsidR="00751032" w:rsidP="004E1640" w:rsidRDefault="00751032" w14:paraId="35E28DD3" w14:textId="77777777">
      <w:pPr>
        <w:spacing w:after="60" w:line="240" w:lineRule="auto"/>
        <w:rPr>
          <w:rFonts w:cs="Calibri"/>
          <w:b/>
          <w:i/>
        </w:rPr>
      </w:pPr>
      <w:r w:rsidRPr="005E7706">
        <w:rPr>
          <w:rFonts w:cs="Calibri"/>
          <w:b/>
          <w:i/>
        </w:rPr>
        <w:t>Research Questions</w:t>
      </w:r>
    </w:p>
    <w:p w:rsidRPr="005E7706" w:rsidR="00751032" w:rsidP="004E4C1D" w:rsidRDefault="00751032" w14:paraId="4F67AFB1" w14:textId="0F3670CB">
      <w:pPr>
        <w:spacing w:after="240" w:line="240" w:lineRule="auto"/>
        <w:rPr>
          <w:rFonts w:cs="Calibri"/>
        </w:rPr>
      </w:pPr>
      <w:r w:rsidRPr="005E7706">
        <w:rPr>
          <w:rFonts w:cs="Calibri"/>
        </w:rPr>
        <w:t xml:space="preserve">The </w:t>
      </w:r>
      <w:r w:rsidRPr="005E7706" w:rsidR="00D904C4">
        <w:rPr>
          <w:rFonts w:ascii="Calibri" w:hAnsi="Calibri" w:eastAsia="Times New Roman" w:cs="Calibri"/>
        </w:rPr>
        <w:t xml:space="preserve">instruments included in this ICR </w:t>
      </w:r>
      <w:r w:rsidRPr="005E7706">
        <w:rPr>
          <w:rFonts w:cs="Calibri"/>
        </w:rPr>
        <w:t>will provide data for the study to answer the following research questions:</w:t>
      </w:r>
    </w:p>
    <w:p w:rsidRPr="005E7706" w:rsidR="00751032" w:rsidP="00FF5C35" w:rsidRDefault="00751032" w14:paraId="57CC038C" w14:textId="77777777">
      <w:pPr>
        <w:numPr>
          <w:ilvl w:val="0"/>
          <w:numId w:val="8"/>
        </w:numPr>
        <w:spacing w:after="0" w:line="240" w:lineRule="auto"/>
        <w:rPr>
          <w:rFonts w:cs="Calibri"/>
        </w:rPr>
      </w:pPr>
      <w:r w:rsidRPr="005E7706">
        <w:rPr>
          <w:rFonts w:cs="Calibri"/>
        </w:rPr>
        <w:t>Do the coaching interventions improve participants’ employment outcomes (such as employment, earnings, job quality, job retention, job satisfaction, and career advancement); self-sufficiency (income, public assistance receipt); and other measures of well-being?</w:t>
      </w:r>
      <w:r w:rsidRPr="005E7706">
        <w:rPr>
          <w:rFonts w:cs="Calibri"/>
        </w:rPr>
        <w:tab/>
      </w:r>
    </w:p>
    <w:p w:rsidRPr="005E7706" w:rsidR="00751032" w:rsidP="00FF5C35" w:rsidRDefault="00751032" w14:paraId="48B1016D" w14:textId="77777777">
      <w:pPr>
        <w:numPr>
          <w:ilvl w:val="0"/>
          <w:numId w:val="8"/>
        </w:numPr>
        <w:spacing w:after="0" w:line="240" w:lineRule="auto"/>
        <w:rPr>
          <w:rFonts w:cs="Calibri"/>
        </w:rPr>
      </w:pPr>
      <w:r w:rsidRPr="005E7706">
        <w:rPr>
          <w:rFonts w:cs="Calibri"/>
        </w:rPr>
        <w:t>Do the coaching interventions improve measures of self-regulation? To what extent do impacts on self-regulation explain impacts on employment outcomes?</w:t>
      </w:r>
    </w:p>
    <w:p w:rsidRPr="005E7706" w:rsidR="00751032" w:rsidP="00FF5C35" w:rsidRDefault="00751032" w14:paraId="49909E32" w14:textId="77777777">
      <w:pPr>
        <w:numPr>
          <w:ilvl w:val="0"/>
          <w:numId w:val="8"/>
        </w:numPr>
        <w:spacing w:after="0" w:line="240" w:lineRule="auto"/>
        <w:rPr>
          <w:rFonts w:cs="Calibri"/>
        </w:rPr>
      </w:pPr>
      <w:r w:rsidRPr="005E7706">
        <w:rPr>
          <w:rFonts w:cs="Calibri"/>
        </w:rPr>
        <w:t>Are the coaching interventions more effective for some groups of participants than others?</w:t>
      </w:r>
    </w:p>
    <w:p w:rsidRPr="005E7706" w:rsidR="00751032" w:rsidP="00FF5C35" w:rsidRDefault="00751032" w14:paraId="4C11B7B5" w14:textId="1CA5C084">
      <w:pPr>
        <w:numPr>
          <w:ilvl w:val="0"/>
          <w:numId w:val="8"/>
        </w:numPr>
        <w:spacing w:after="0" w:line="240" w:lineRule="auto"/>
        <w:rPr>
          <w:rFonts w:cs="Calibri"/>
        </w:rPr>
      </w:pPr>
      <w:r w:rsidRPr="005E7706">
        <w:rPr>
          <w:rFonts w:cs="Calibri"/>
        </w:rPr>
        <w:t xml:space="preserve">How do the impacts of the coaching interventions change over time? </w:t>
      </w:r>
    </w:p>
    <w:p w:rsidRPr="005E7706" w:rsidR="00BC785C" w:rsidP="0062687E" w:rsidRDefault="00BC785C" w14:paraId="61A0EBF0" w14:textId="3449D2A8">
      <w:pPr>
        <w:numPr>
          <w:ilvl w:val="0"/>
          <w:numId w:val="8"/>
        </w:numPr>
        <w:spacing w:after="0" w:line="240" w:lineRule="auto"/>
        <w:rPr>
          <w:rFonts w:cs="Calibri"/>
        </w:rPr>
      </w:pPr>
      <w:r w:rsidRPr="005E7706">
        <w:rPr>
          <w:rFonts w:cs="Calibri"/>
        </w:rPr>
        <w:t xml:space="preserve">What factors </w:t>
      </w:r>
      <w:r w:rsidR="00BC0181">
        <w:rPr>
          <w:rFonts w:cs="Calibri"/>
        </w:rPr>
        <w:t>are associated with</w:t>
      </w:r>
      <w:r w:rsidRPr="005E7706">
        <w:rPr>
          <w:rFonts w:cs="Calibri"/>
        </w:rPr>
        <w:t xml:space="preserve"> coaches and participants develop</w:t>
      </w:r>
      <w:r w:rsidR="00BC0181">
        <w:rPr>
          <w:rFonts w:cs="Calibri"/>
        </w:rPr>
        <w:t>ing</w:t>
      </w:r>
      <w:r w:rsidRPr="005E7706">
        <w:rPr>
          <w:rFonts w:cs="Calibri"/>
        </w:rPr>
        <w:t xml:space="preserve"> strong, trusting relationships? Do these factors differ with different circumstances? Do coaches and participants have different perspective on these factors? </w:t>
      </w:r>
    </w:p>
    <w:p w:rsidRPr="005E7706" w:rsidR="0062687E" w:rsidP="0062687E" w:rsidRDefault="00BC785C" w14:paraId="76C961D2" w14:textId="5C21CDBD">
      <w:pPr>
        <w:numPr>
          <w:ilvl w:val="0"/>
          <w:numId w:val="8"/>
        </w:numPr>
        <w:spacing w:after="0" w:line="240" w:lineRule="auto"/>
        <w:rPr>
          <w:rFonts w:cs="Calibri"/>
        </w:rPr>
      </w:pPr>
      <w:r w:rsidRPr="005E7706">
        <w:rPr>
          <w:rFonts w:cs="Calibri"/>
        </w:rPr>
        <w:t>What role does the knowledge and discussions of executive skills have in coaching</w:t>
      </w:r>
      <w:r w:rsidRPr="005E7706" w:rsidR="0082182F">
        <w:t>?</w:t>
      </w:r>
      <w:r w:rsidRPr="005E7706">
        <w:t xml:space="preserve"> Do coaches and participants have different perspectives of the role of these discussions?</w:t>
      </w:r>
      <w:r w:rsidRPr="005E7706" w:rsidR="00727298">
        <w:t xml:space="preserve"> </w:t>
      </w:r>
    </w:p>
    <w:p w:rsidRPr="005E7706" w:rsidR="00BC785C" w:rsidP="003B38E3" w:rsidRDefault="00BC785C" w14:paraId="1C0B4869" w14:textId="1EC72F2F">
      <w:pPr>
        <w:numPr>
          <w:ilvl w:val="0"/>
          <w:numId w:val="8"/>
        </w:numPr>
        <w:spacing w:after="0" w:line="240" w:lineRule="auto"/>
        <w:rPr>
          <w:rFonts w:cs="Calibri"/>
        </w:rPr>
      </w:pPr>
      <w:r w:rsidRPr="005E7706">
        <w:rPr>
          <w:rFonts w:cs="Calibri"/>
        </w:rPr>
        <w:t>What role does paying participants</w:t>
      </w:r>
      <w:r w:rsidRPr="005E7706" w:rsidR="005E158D">
        <w:rPr>
          <w:rFonts w:cs="Calibri"/>
        </w:rPr>
        <w:t xml:space="preserve"> incentives for program participation or reaching milestones</w:t>
      </w:r>
      <w:r w:rsidRPr="005E7706">
        <w:rPr>
          <w:rFonts w:cs="Calibri"/>
        </w:rPr>
        <w:t xml:space="preserve"> have in coaching</w:t>
      </w:r>
      <w:r w:rsidRPr="005E7706">
        <w:t xml:space="preserve">? Do coaches and participants have different perspectives of the role of </w:t>
      </w:r>
      <w:r w:rsidRPr="005E7706" w:rsidR="005E158D">
        <w:t>incentives</w:t>
      </w:r>
      <w:r w:rsidRPr="005E7706">
        <w:t xml:space="preserve">? </w:t>
      </w:r>
    </w:p>
    <w:p w:rsidRPr="005E7706" w:rsidR="0062687E" w:rsidP="007231FA" w:rsidRDefault="0062687E" w14:paraId="1DD750DC" w14:textId="77777777">
      <w:pPr>
        <w:spacing w:after="0" w:line="240" w:lineRule="auto"/>
        <w:ind w:left="720"/>
        <w:rPr>
          <w:rFonts w:cs="Calibri"/>
        </w:rPr>
      </w:pPr>
    </w:p>
    <w:p w:rsidRPr="005E7706" w:rsidR="00751032" w:rsidP="004E1640" w:rsidRDefault="00751032" w14:paraId="5EC188E6" w14:textId="611AC7CA">
      <w:pPr>
        <w:spacing w:after="60" w:line="240" w:lineRule="auto"/>
        <w:rPr>
          <w:rFonts w:cs="Calibri"/>
          <w:b/>
          <w:i/>
        </w:rPr>
      </w:pPr>
      <w:r w:rsidRPr="005E7706">
        <w:rPr>
          <w:rFonts w:cs="Calibri"/>
          <w:b/>
          <w:i/>
        </w:rPr>
        <w:t>Study Design</w:t>
      </w:r>
    </w:p>
    <w:p w:rsidR="00751032" w:rsidP="004D5CC0" w:rsidRDefault="00751032" w14:paraId="41ADB9D8" w14:textId="15550EB8">
      <w:pPr>
        <w:spacing w:after="240" w:line="240" w:lineRule="auto"/>
        <w:rPr>
          <w:rFonts w:cs="Calibri"/>
        </w:rPr>
      </w:pPr>
      <w:r w:rsidRPr="005E7706">
        <w:rPr>
          <w:rFonts w:cs="Calibri"/>
        </w:rPr>
        <w:t>Th</w:t>
      </w:r>
      <w:r w:rsidR="00786CD8">
        <w:rPr>
          <w:rFonts w:cs="Calibri"/>
        </w:rPr>
        <w:t>is ongoing</w:t>
      </w:r>
      <w:r w:rsidRPr="005E7706">
        <w:rPr>
          <w:rFonts w:cs="Calibri"/>
        </w:rPr>
        <w:t xml:space="preserve"> study </w:t>
      </w:r>
      <w:r w:rsidRPr="00575821" w:rsidR="009F113D">
        <w:rPr>
          <w:rFonts w:cstheme="minorHAnsi"/>
          <w:color w:val="000000"/>
        </w:rPr>
        <w:t>includes</w:t>
      </w:r>
      <w:r w:rsidRPr="00575821" w:rsidR="001F0BE6">
        <w:rPr>
          <w:rFonts w:cstheme="minorHAnsi"/>
          <w:color w:val="000000"/>
        </w:rPr>
        <w:t xml:space="preserve"> an</w:t>
      </w:r>
      <w:r w:rsidRPr="00575821" w:rsidR="009F113D">
        <w:rPr>
          <w:rFonts w:cstheme="minorHAnsi"/>
          <w:color w:val="000000"/>
        </w:rPr>
        <w:t xml:space="preserve"> impact evaluation</w:t>
      </w:r>
      <w:r w:rsidRPr="00575821" w:rsidR="000C42B9">
        <w:rPr>
          <w:rFonts w:cstheme="minorHAnsi"/>
          <w:color w:val="000000"/>
        </w:rPr>
        <w:t xml:space="preserve"> to provide </w:t>
      </w:r>
      <w:r w:rsidRPr="005035A6" w:rsidR="000C42B9">
        <w:rPr>
          <w:rFonts w:cstheme="minorHAnsi"/>
        </w:rPr>
        <w:t>rigorous</w:t>
      </w:r>
      <w:r w:rsidRPr="00751032" w:rsidR="000C42B9">
        <w:rPr>
          <w:rFonts w:cs="Calibri"/>
        </w:rPr>
        <w:t xml:space="preserve"> evidence on whether the coaching interventions are effective</w:t>
      </w:r>
      <w:r w:rsidR="000C42B9">
        <w:rPr>
          <w:rFonts w:cs="Calibri"/>
        </w:rPr>
        <w:t xml:space="preserve"> over the longer term</w:t>
      </w:r>
      <w:r w:rsidRPr="00751032" w:rsidR="000C42B9">
        <w:rPr>
          <w:rFonts w:cs="Calibri"/>
        </w:rPr>
        <w:t>, for whom, and under what circumstances</w:t>
      </w:r>
      <w:r w:rsidR="000C42B9">
        <w:rPr>
          <w:rFonts w:cs="Calibri"/>
        </w:rPr>
        <w:t>.</w:t>
      </w:r>
      <w:r w:rsidR="009F113D">
        <w:rPr>
          <w:rFonts w:ascii="Source Sans Pro" w:hAnsi="Source Sans Pro"/>
          <w:color w:val="000000"/>
        </w:rPr>
        <w:t> </w:t>
      </w:r>
      <w:r w:rsidR="00EE6731">
        <w:rPr>
          <w:rFonts w:cs="Calibri"/>
        </w:rPr>
        <w:t xml:space="preserve">It also includes an implementation assessment that </w:t>
      </w:r>
      <w:r w:rsidR="00EE6731">
        <w:rPr>
          <w:szCs w:val="24"/>
        </w:rPr>
        <w:t>describes the coaching interventions and how they operated, provide</w:t>
      </w:r>
      <w:r w:rsidR="005035A6">
        <w:rPr>
          <w:szCs w:val="24"/>
        </w:rPr>
        <w:t>s</w:t>
      </w:r>
      <w:r w:rsidR="00EE6731">
        <w:rPr>
          <w:szCs w:val="24"/>
        </w:rPr>
        <w:t xml:space="preserve"> information on the contrast between the treatment and control groups, and details challenges to implementing the interventions and solutions to addressing those challenges. </w:t>
      </w:r>
      <w:r w:rsidR="00EE6731">
        <w:rPr>
          <w:rFonts w:cs="Calibri"/>
        </w:rPr>
        <w:t xml:space="preserve">The study includes </w:t>
      </w:r>
      <w:r w:rsidRPr="00751032">
        <w:rPr>
          <w:rFonts w:cs="Calibri"/>
        </w:rPr>
        <w:t>the following coaching interventions: MyGoals for Employment Success in Baltimore</w:t>
      </w:r>
      <w:r w:rsidR="00575821">
        <w:rPr>
          <w:rFonts w:cs="Calibri"/>
        </w:rPr>
        <w:t xml:space="preserve"> (MyGoals Baltimore)</w:t>
      </w:r>
      <w:r w:rsidRPr="00751032">
        <w:rPr>
          <w:rFonts w:cs="Calibri"/>
        </w:rPr>
        <w:t>; MyGoals for Employment Success in Houston</w:t>
      </w:r>
      <w:r w:rsidR="00575821">
        <w:rPr>
          <w:rFonts w:cs="Calibri"/>
        </w:rPr>
        <w:t xml:space="preserve"> (MyGoals Houston)</w:t>
      </w:r>
      <w:r w:rsidRPr="00751032">
        <w:rPr>
          <w:rFonts w:cs="Calibri"/>
        </w:rPr>
        <w:t xml:space="preserve">; Family Development and Self-Sufficiency </w:t>
      </w:r>
      <w:r w:rsidR="00575821">
        <w:rPr>
          <w:rFonts w:cs="Calibri"/>
        </w:rPr>
        <w:t xml:space="preserve">(FaDSS) </w:t>
      </w:r>
      <w:r w:rsidRPr="00751032">
        <w:rPr>
          <w:rFonts w:cs="Calibri"/>
        </w:rPr>
        <w:t xml:space="preserve">program in Iowa; LIFT in New York City, Chicago, and Los Angeles; Work Success in Utah; and Goal4 It! in Jefferson County, Colorado. </w:t>
      </w:r>
      <w:r w:rsidR="00D8283A">
        <w:rPr>
          <w:rFonts w:cs="Calibri"/>
        </w:rPr>
        <w:t xml:space="preserve">Descriptions of these interventions appear in SSB, section </w:t>
      </w:r>
      <w:r w:rsidR="001D1D9A">
        <w:rPr>
          <w:rFonts w:cs="Calibri"/>
        </w:rPr>
        <w:t>B.2</w:t>
      </w:r>
      <w:r w:rsidR="00D8283A">
        <w:rPr>
          <w:rFonts w:cs="Calibri"/>
        </w:rPr>
        <w:t>.</w:t>
      </w:r>
    </w:p>
    <w:p w:rsidRPr="00751032" w:rsidR="00751032" w:rsidP="004D5CC0" w:rsidRDefault="00751032" w14:paraId="0B854E14" w14:textId="4D52E149">
      <w:pPr>
        <w:spacing w:after="240" w:line="240" w:lineRule="auto"/>
        <w:rPr>
          <w:rFonts w:cs="Calibri"/>
          <w:b/>
        </w:rPr>
      </w:pPr>
      <w:bookmarkStart w:name="_Hlk94124663" w:id="1"/>
      <w:r w:rsidRPr="00751032">
        <w:rPr>
          <w:rFonts w:cs="Calibri"/>
        </w:rPr>
        <w:t xml:space="preserve">The </w:t>
      </w:r>
      <w:r w:rsidR="00954DBE">
        <w:rPr>
          <w:rFonts w:cs="Calibri"/>
        </w:rPr>
        <w:t xml:space="preserve">impact evaluation of the </w:t>
      </w:r>
      <w:r w:rsidRPr="00751032">
        <w:rPr>
          <w:rFonts w:cs="Calibri"/>
        </w:rPr>
        <w:t xml:space="preserve">study is experimental. Participants eligible for the coaching services were asked to consent to participate in the study and, if consent was given, were randomly assigned to </w:t>
      </w:r>
      <w:r w:rsidR="00337E5B">
        <w:rPr>
          <w:rFonts w:cs="Calibri"/>
        </w:rPr>
        <w:t xml:space="preserve">one of </w:t>
      </w:r>
      <w:r w:rsidRPr="00751032">
        <w:rPr>
          <w:rFonts w:cs="Calibri"/>
        </w:rPr>
        <w:t xml:space="preserve">two groups: a treatment group offered coaching </w:t>
      </w:r>
      <w:r w:rsidR="00337E5B">
        <w:rPr>
          <w:rFonts w:cs="Calibri"/>
        </w:rPr>
        <w:t>or</w:t>
      </w:r>
      <w:r w:rsidRPr="00751032">
        <w:rPr>
          <w:rFonts w:cs="Calibri"/>
        </w:rPr>
        <w:t xml:space="preserve"> a control group not offered coaching. Individuals who did not consent to participate in the study were not eligible to receive coaching, were not randomly assigned, and will not participate in the data collection efforts. The control group may receive other services within the program. Both groups will remain eligible for other services offered in the community. For example, the control group may receive regular case management from staff who have not been trained in coaching. With this design, the research groups are likely to have similar characteristics, so differences in outcomes too large to be attributable to chance can be attributed to </w:t>
      </w:r>
      <w:r w:rsidRPr="00751032">
        <w:rPr>
          <w:rFonts w:cs="Calibri"/>
        </w:rPr>
        <w:lastRenderedPageBreak/>
        <w:t>the coaching intervention.</w:t>
      </w:r>
      <w:r w:rsidRPr="00751032">
        <w:rPr>
          <w:rFonts w:cs="Calibri"/>
          <w:b/>
        </w:rPr>
        <w:t xml:space="preserve"> </w:t>
      </w:r>
      <w:r w:rsidR="00786CD8">
        <w:rPr>
          <w:rFonts w:cs="Calibri"/>
        </w:rPr>
        <w:t>As previously approved</w:t>
      </w:r>
      <w:r w:rsidRPr="00751032">
        <w:rPr>
          <w:rFonts w:cs="Calibri"/>
        </w:rPr>
        <w:t>, we collect</w:t>
      </w:r>
      <w:r w:rsidR="00B4012B">
        <w:rPr>
          <w:rFonts w:cs="Calibri"/>
        </w:rPr>
        <w:t>ed</w:t>
      </w:r>
      <w:r w:rsidRPr="00751032">
        <w:rPr>
          <w:rFonts w:cs="Calibri"/>
        </w:rPr>
        <w:t xml:space="preserve"> information at baseline (before or during random assignment) from study participants and staff and again at about 6 to 12 months after random assignment. </w:t>
      </w:r>
      <w:r w:rsidRPr="00751032" w:rsidR="00C17D4B">
        <w:rPr>
          <w:rFonts w:cs="Calibri"/>
        </w:rPr>
        <w:t xml:space="preserve">The </w:t>
      </w:r>
      <w:r w:rsidR="00C17D4B">
        <w:rPr>
          <w:rFonts w:cs="Calibri"/>
        </w:rPr>
        <w:t xml:space="preserve">approved second </w:t>
      </w:r>
      <w:r w:rsidRPr="00751032" w:rsidR="00C17D4B">
        <w:rPr>
          <w:rFonts w:cs="Calibri"/>
        </w:rPr>
        <w:t>follow-up survey</w:t>
      </w:r>
      <w:r w:rsidR="00C17D4B">
        <w:rPr>
          <w:rFonts w:cs="Calibri"/>
        </w:rPr>
        <w:t xml:space="preserve"> and </w:t>
      </w:r>
      <w:r w:rsidR="00B4012B">
        <w:rPr>
          <w:rFonts w:cs="Calibri"/>
        </w:rPr>
        <w:t xml:space="preserve">the </w:t>
      </w:r>
      <w:r w:rsidR="00786CD8">
        <w:rPr>
          <w:rFonts w:cs="Calibri"/>
        </w:rPr>
        <w:t xml:space="preserve">new </w:t>
      </w:r>
      <w:r w:rsidR="00C17D4B">
        <w:rPr>
          <w:rFonts w:cs="Calibri"/>
        </w:rPr>
        <w:t>third follow-up survey</w:t>
      </w:r>
      <w:r w:rsidRPr="00751032" w:rsidR="00C17D4B">
        <w:rPr>
          <w:rFonts w:cs="Calibri"/>
        </w:rPr>
        <w:t xml:space="preserve"> </w:t>
      </w:r>
      <w:r w:rsidR="00B4012B">
        <w:rPr>
          <w:rFonts w:cs="Calibri"/>
        </w:rPr>
        <w:t xml:space="preserve">included in this request </w:t>
      </w:r>
      <w:r w:rsidRPr="00751032" w:rsidR="00C17D4B">
        <w:rPr>
          <w:rFonts w:cs="Calibri"/>
        </w:rPr>
        <w:t>will provide</w:t>
      </w:r>
      <w:r w:rsidR="001F0BE6">
        <w:rPr>
          <w:rFonts w:cs="Calibri"/>
        </w:rPr>
        <w:t xml:space="preserve"> </w:t>
      </w:r>
      <w:r w:rsidR="00943EA7">
        <w:rPr>
          <w:rFonts w:cs="Calibri"/>
        </w:rPr>
        <w:t xml:space="preserve">information about </w:t>
      </w:r>
      <w:r w:rsidR="002D30C3">
        <w:rPr>
          <w:rFonts w:cs="Calibri"/>
        </w:rPr>
        <w:t xml:space="preserve">key outcomes 21 </w:t>
      </w:r>
      <w:r w:rsidR="00575821">
        <w:rPr>
          <w:rFonts w:cs="Calibri"/>
        </w:rPr>
        <w:t xml:space="preserve">to 24 </w:t>
      </w:r>
      <w:r w:rsidR="002D30C3">
        <w:rPr>
          <w:rFonts w:cs="Calibri"/>
        </w:rPr>
        <w:t>months after study enrollment and at least 48 months after study enrollment, respectively</w:t>
      </w:r>
      <w:r w:rsidR="00CE46BA">
        <w:rPr>
          <w:rFonts w:cs="Calibri"/>
        </w:rPr>
        <w:t>, and enable estimation of impacts at those two time points</w:t>
      </w:r>
      <w:r w:rsidRPr="00751032" w:rsidR="00C17D4B">
        <w:rPr>
          <w:rFonts w:cs="Calibri"/>
        </w:rPr>
        <w:t>.</w:t>
      </w:r>
      <w:r w:rsidR="00C17D4B">
        <w:rPr>
          <w:rFonts w:cs="Calibri"/>
        </w:rPr>
        <w:t xml:space="preserve"> </w:t>
      </w:r>
      <w:bookmarkStart w:name="_Hlk96939622" w:id="2"/>
      <w:r w:rsidR="00575821">
        <w:rPr>
          <w:rFonts w:cs="Calibri"/>
        </w:rPr>
        <w:t>We do not plan to include Work Success in the third follow-up survey data collection because the program’s service provision period is short</w:t>
      </w:r>
      <w:r w:rsidR="00BC0181">
        <w:rPr>
          <w:rFonts w:cs="Calibri"/>
        </w:rPr>
        <w:t>er than the other four programs</w:t>
      </w:r>
      <w:r w:rsidR="00575821">
        <w:rPr>
          <w:rFonts w:cs="Calibri"/>
        </w:rPr>
        <w:t xml:space="preserve"> and not expected to lead to different impacts </w:t>
      </w:r>
      <w:r w:rsidR="00110200">
        <w:rPr>
          <w:rFonts w:cs="Calibri"/>
        </w:rPr>
        <w:t>at</w:t>
      </w:r>
      <w:r w:rsidR="00575821">
        <w:rPr>
          <w:rFonts w:cs="Calibri"/>
        </w:rPr>
        <w:t xml:space="preserve"> 48 months than at 21 to 24 months. </w:t>
      </w:r>
      <w:bookmarkEnd w:id="2"/>
      <w:r w:rsidR="00C17D4B">
        <w:rPr>
          <w:rFonts w:cs="Calibri"/>
        </w:rPr>
        <w:t>The new semi-structured interviews</w:t>
      </w:r>
      <w:r w:rsidR="00DB5EF8">
        <w:rPr>
          <w:rFonts w:cs="Calibri"/>
        </w:rPr>
        <w:t xml:space="preserve"> are part of the implementation assessment</w:t>
      </w:r>
      <w:r w:rsidR="00226128">
        <w:rPr>
          <w:rFonts w:cs="Calibri"/>
        </w:rPr>
        <w:t xml:space="preserve"> </w:t>
      </w:r>
      <w:r w:rsidR="00DB5EF8">
        <w:rPr>
          <w:rFonts w:cs="Calibri"/>
        </w:rPr>
        <w:t xml:space="preserve">and will provide context for how </w:t>
      </w:r>
      <w:r w:rsidR="00DB5505">
        <w:t xml:space="preserve">coaches form trusting relationships </w:t>
      </w:r>
      <w:r w:rsidR="00337E5B">
        <w:t xml:space="preserve">with their participants </w:t>
      </w:r>
      <w:r w:rsidR="00DB5505">
        <w:t>and</w:t>
      </w:r>
      <w:r w:rsidR="00B4012B">
        <w:t xml:space="preserve"> other</w:t>
      </w:r>
      <w:r w:rsidR="00DB5505">
        <w:t xml:space="preserve"> factors that are associated with more effective coaching.</w:t>
      </w:r>
    </w:p>
    <w:bookmarkEnd w:id="1"/>
    <w:p w:rsidR="004E4C1D" w:rsidP="00575821" w:rsidRDefault="006C0CA0" w14:paraId="1D6D6B89" w14:textId="1C4F77C8">
      <w:pPr>
        <w:spacing w:after="240" w:line="240" w:lineRule="auto"/>
        <w:rPr>
          <w:rFonts w:eastAsia="Times New Roman" w:cstheme="minorHAnsi"/>
          <w:b/>
        </w:rPr>
      </w:pPr>
      <w:r>
        <w:rPr>
          <w:iCs/>
        </w:rPr>
        <w:t>Table A.</w:t>
      </w:r>
      <w:r w:rsidR="004C1377">
        <w:rPr>
          <w:iCs/>
        </w:rPr>
        <w:t>1</w:t>
      </w:r>
      <w:r w:rsidR="000F31A9">
        <w:rPr>
          <w:iCs/>
        </w:rPr>
        <w:t xml:space="preserve"> </w:t>
      </w:r>
      <w:r>
        <w:rPr>
          <w:iCs/>
        </w:rPr>
        <w:t>provides an overview of the data collection instruments.</w:t>
      </w:r>
      <w:bookmarkStart w:name="_Hlk94260806" w:id="3"/>
    </w:p>
    <w:p w:rsidRPr="00A968B2" w:rsidR="00CC3C59" w:rsidP="00D831A9" w:rsidRDefault="00CC3C59" w14:paraId="2A478983" w14:textId="7FF60D69">
      <w:pPr>
        <w:pStyle w:val="NormalSS"/>
        <w:spacing w:after="120"/>
        <w:ind w:firstLine="0"/>
        <w:rPr>
          <w:rFonts w:asciiTheme="minorHAnsi" w:hAnsiTheme="minorHAnsi" w:cstheme="minorHAnsi"/>
          <w:b/>
          <w:sz w:val="22"/>
          <w:szCs w:val="22"/>
        </w:rPr>
      </w:pPr>
      <w:r w:rsidRPr="00A968B2">
        <w:rPr>
          <w:rFonts w:asciiTheme="minorHAnsi" w:hAnsiTheme="minorHAnsi" w:cstheme="minorHAnsi"/>
          <w:b/>
          <w:sz w:val="22"/>
          <w:szCs w:val="22"/>
        </w:rPr>
        <w:t xml:space="preserve">Table </w:t>
      </w:r>
      <w:r>
        <w:rPr>
          <w:rFonts w:asciiTheme="minorHAnsi" w:hAnsiTheme="minorHAnsi" w:cstheme="minorHAnsi"/>
          <w:b/>
          <w:sz w:val="22"/>
          <w:szCs w:val="22"/>
        </w:rPr>
        <w:t>A.</w:t>
      </w:r>
      <w:r w:rsidR="004C1377">
        <w:rPr>
          <w:rFonts w:asciiTheme="minorHAnsi" w:hAnsiTheme="minorHAnsi" w:cstheme="minorHAnsi"/>
          <w:b/>
          <w:sz w:val="22"/>
          <w:szCs w:val="22"/>
        </w:rPr>
        <w:t>1</w:t>
      </w:r>
      <w:r w:rsidRPr="00A968B2">
        <w:rPr>
          <w:rFonts w:asciiTheme="minorHAnsi" w:hAnsiTheme="minorHAnsi" w:cstheme="minorHAnsi"/>
          <w:b/>
          <w:sz w:val="22"/>
          <w:szCs w:val="22"/>
        </w:rPr>
        <w:t>. Information Collection</w:t>
      </w:r>
      <w:r>
        <w:rPr>
          <w:rFonts w:asciiTheme="minorHAnsi" w:hAnsiTheme="minorHAnsi" w:cstheme="minorHAnsi"/>
          <w:b/>
          <w:sz w:val="22"/>
          <w:szCs w:val="22"/>
        </w:rPr>
        <w:t>s</w:t>
      </w:r>
    </w:p>
    <w:tbl>
      <w:tblPr>
        <w:tblStyle w:val="TableGrid"/>
        <w:tblW w:w="10345" w:type="dxa"/>
        <w:tblInd w:w="0"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1885"/>
        <w:gridCol w:w="1350"/>
        <w:gridCol w:w="5490"/>
        <w:gridCol w:w="1620"/>
      </w:tblGrid>
      <w:tr w:rsidRPr="00EE1E7A" w:rsidR="0079272C" w:rsidTr="00566DE2" w14:paraId="7A08A530" w14:textId="77777777">
        <w:trPr>
          <w:tblHeader/>
        </w:trPr>
        <w:tc>
          <w:tcPr>
            <w:tcW w:w="1885" w:type="dxa"/>
            <w:shd w:val="clear" w:color="auto" w:fill="D9D9D9" w:themeFill="background1" w:themeFillShade="D9"/>
          </w:tcPr>
          <w:p w:rsidRPr="00EE1E7A" w:rsidR="001D1C73" w:rsidP="003555C3" w:rsidRDefault="001D1C73" w14:paraId="142698B1" w14:textId="77777777">
            <w:pPr>
              <w:rPr>
                <w:rFonts w:asciiTheme="minorHAnsi" w:hAnsiTheme="minorHAnsi" w:cstheme="minorHAnsi"/>
                <w:b/>
                <w:bCs/>
                <w:iCs/>
              </w:rPr>
            </w:pPr>
            <w:r w:rsidRPr="00EE1E7A">
              <w:rPr>
                <w:rFonts w:asciiTheme="minorHAnsi" w:hAnsiTheme="minorHAnsi" w:cstheme="minorHAnsi"/>
                <w:b/>
                <w:bCs/>
                <w:iCs/>
              </w:rPr>
              <w:t>Data Collection Activity</w:t>
            </w:r>
          </w:p>
        </w:tc>
        <w:tc>
          <w:tcPr>
            <w:tcW w:w="1350" w:type="dxa"/>
            <w:shd w:val="clear" w:color="auto" w:fill="D9D9D9" w:themeFill="background1" w:themeFillShade="D9"/>
          </w:tcPr>
          <w:p w:rsidRPr="00EE1E7A" w:rsidR="001D1C73" w:rsidP="003555C3" w:rsidRDefault="001D1C73" w14:paraId="27BC6F15" w14:textId="414F160F">
            <w:pPr>
              <w:rPr>
                <w:rFonts w:asciiTheme="minorHAnsi" w:hAnsiTheme="minorHAnsi" w:cstheme="minorHAnsi"/>
                <w:b/>
                <w:bCs/>
                <w:iCs/>
              </w:rPr>
            </w:pPr>
            <w:r w:rsidRPr="00EE1E7A">
              <w:rPr>
                <w:rFonts w:asciiTheme="minorHAnsi" w:hAnsiTheme="minorHAnsi" w:cstheme="minorHAnsi"/>
                <w:b/>
                <w:bCs/>
                <w:iCs/>
              </w:rPr>
              <w:t>Instruments</w:t>
            </w:r>
          </w:p>
        </w:tc>
        <w:tc>
          <w:tcPr>
            <w:tcW w:w="5490" w:type="dxa"/>
            <w:shd w:val="clear" w:color="auto" w:fill="D9D9D9" w:themeFill="background1" w:themeFillShade="D9"/>
          </w:tcPr>
          <w:p w:rsidRPr="00EE1E7A" w:rsidR="001D1C73" w:rsidP="003555C3" w:rsidRDefault="001D1C73" w14:paraId="02FE35A0" w14:textId="77777777">
            <w:pPr>
              <w:rPr>
                <w:rFonts w:asciiTheme="minorHAnsi" w:hAnsiTheme="minorHAnsi" w:cstheme="minorHAnsi"/>
                <w:b/>
                <w:bCs/>
                <w:iCs/>
              </w:rPr>
            </w:pPr>
            <w:r w:rsidRPr="00EE1E7A">
              <w:rPr>
                <w:rFonts w:asciiTheme="minorHAnsi" w:hAnsiTheme="minorHAnsi" w:cstheme="minorHAnsi"/>
                <w:b/>
                <w:bCs/>
                <w:iCs/>
              </w:rPr>
              <w:t>Respondent, Content, Purpose of Collection</w:t>
            </w:r>
          </w:p>
        </w:tc>
        <w:tc>
          <w:tcPr>
            <w:tcW w:w="1620" w:type="dxa"/>
            <w:shd w:val="clear" w:color="auto" w:fill="D9D9D9" w:themeFill="background1" w:themeFillShade="D9"/>
          </w:tcPr>
          <w:p w:rsidRPr="00EE1E7A" w:rsidR="001D1C73" w:rsidP="003555C3" w:rsidRDefault="001D1C73" w14:paraId="6D5BE90E" w14:textId="77777777">
            <w:pPr>
              <w:rPr>
                <w:rFonts w:asciiTheme="minorHAnsi" w:hAnsiTheme="minorHAnsi" w:cstheme="minorHAnsi"/>
                <w:b/>
                <w:bCs/>
                <w:iCs/>
              </w:rPr>
            </w:pPr>
            <w:r w:rsidRPr="00EE1E7A">
              <w:rPr>
                <w:rFonts w:asciiTheme="minorHAnsi" w:hAnsiTheme="minorHAnsi" w:cstheme="minorHAnsi"/>
                <w:b/>
                <w:bCs/>
                <w:iCs/>
              </w:rPr>
              <w:t>Mode and Duration</w:t>
            </w:r>
          </w:p>
        </w:tc>
      </w:tr>
      <w:tr w:rsidRPr="009139B3" w:rsidR="0079272C" w:rsidTr="00566DE2" w14:paraId="148EF023" w14:textId="77777777">
        <w:tc>
          <w:tcPr>
            <w:tcW w:w="1885" w:type="dxa"/>
          </w:tcPr>
          <w:p w:rsidRPr="00225B15" w:rsidR="001D1C73" w:rsidP="003555C3" w:rsidRDefault="00F9392A" w14:paraId="4D2F3A2E" w14:textId="7ECD79FB">
            <w:pPr>
              <w:rPr>
                <w:rFonts w:asciiTheme="minorHAnsi" w:hAnsiTheme="minorHAnsi" w:cstheme="minorHAnsi"/>
              </w:rPr>
            </w:pPr>
            <w:r w:rsidRPr="00225B15">
              <w:rPr>
                <w:rFonts w:asciiTheme="minorHAnsi" w:hAnsiTheme="minorHAnsi" w:cstheme="minorHAnsi"/>
              </w:rPr>
              <w:t>Second Follow-Up Survey</w:t>
            </w:r>
            <w:r w:rsidRPr="00225B15" w:rsidR="005901D2">
              <w:rPr>
                <w:rFonts w:asciiTheme="minorHAnsi" w:hAnsiTheme="minorHAnsi" w:cstheme="minorHAnsi"/>
              </w:rPr>
              <w:t xml:space="preserve"> </w:t>
            </w:r>
          </w:p>
        </w:tc>
        <w:tc>
          <w:tcPr>
            <w:tcW w:w="1350" w:type="dxa"/>
          </w:tcPr>
          <w:p w:rsidRPr="00225B15" w:rsidR="001D1C73" w:rsidP="003555C3" w:rsidRDefault="00F9392A" w14:paraId="27D7C22A" w14:textId="5044FDBD">
            <w:pPr>
              <w:rPr>
                <w:rFonts w:asciiTheme="minorHAnsi" w:hAnsiTheme="minorHAnsi" w:cstheme="minorHAnsi"/>
              </w:rPr>
            </w:pPr>
            <w:r w:rsidRPr="00225B15">
              <w:rPr>
                <w:rFonts w:asciiTheme="minorHAnsi" w:hAnsiTheme="minorHAnsi" w:cstheme="minorHAnsi"/>
              </w:rPr>
              <w:t xml:space="preserve">Adult </w:t>
            </w:r>
            <w:r w:rsidRPr="00225B15" w:rsidR="005901D2">
              <w:rPr>
                <w:rFonts w:asciiTheme="minorHAnsi" w:hAnsiTheme="minorHAnsi" w:cstheme="minorHAnsi"/>
              </w:rPr>
              <w:t>Survey</w:t>
            </w:r>
          </w:p>
        </w:tc>
        <w:tc>
          <w:tcPr>
            <w:tcW w:w="5490" w:type="dxa"/>
          </w:tcPr>
          <w:p w:rsidRPr="00225B15" w:rsidR="001D1C73" w:rsidP="003555C3" w:rsidRDefault="001D1C73" w14:paraId="1B409BBA" w14:textId="0389FE49">
            <w:pPr>
              <w:rPr>
                <w:rFonts w:asciiTheme="minorHAnsi" w:hAnsiTheme="minorHAnsi" w:cstheme="minorHAnsi"/>
              </w:rPr>
            </w:pPr>
            <w:r w:rsidRPr="00225B15">
              <w:rPr>
                <w:rFonts w:asciiTheme="minorHAnsi" w:hAnsiTheme="minorHAnsi" w:cstheme="minorHAnsi"/>
                <w:b/>
              </w:rPr>
              <w:t>Respondents</w:t>
            </w:r>
            <w:r w:rsidRPr="00225B15">
              <w:rPr>
                <w:rFonts w:asciiTheme="minorHAnsi" w:hAnsiTheme="minorHAnsi" w:cstheme="minorHAnsi"/>
              </w:rPr>
              <w:t xml:space="preserve">: </w:t>
            </w:r>
            <w:r w:rsidRPr="00225B15" w:rsidR="00F9392A">
              <w:rPr>
                <w:rFonts w:asciiTheme="minorHAnsi" w:hAnsiTheme="minorHAnsi" w:cstheme="minorHAnsi"/>
              </w:rPr>
              <w:t xml:space="preserve">Study participants </w:t>
            </w:r>
          </w:p>
          <w:p w:rsidRPr="00225B15" w:rsidR="001D1C73" w:rsidP="003555C3" w:rsidRDefault="001D1C73" w14:paraId="18A2F994" w14:textId="77777777">
            <w:pPr>
              <w:rPr>
                <w:rFonts w:asciiTheme="minorHAnsi" w:hAnsiTheme="minorHAnsi" w:cstheme="minorHAnsi"/>
              </w:rPr>
            </w:pPr>
          </w:p>
          <w:p w:rsidRPr="00225B15" w:rsidR="00DF2ADE" w:rsidP="00DF2ADE" w:rsidRDefault="001D1C73" w14:paraId="6CF7A934" w14:textId="38E5D14A">
            <w:pPr>
              <w:rPr>
                <w:rFonts w:asciiTheme="minorHAnsi" w:hAnsiTheme="minorHAnsi" w:cstheme="minorHAnsi"/>
              </w:rPr>
            </w:pPr>
            <w:r w:rsidRPr="00225B15">
              <w:rPr>
                <w:rFonts w:asciiTheme="minorHAnsi" w:hAnsiTheme="minorHAnsi" w:cstheme="minorHAnsi"/>
                <w:b/>
              </w:rPr>
              <w:t>Content</w:t>
            </w:r>
            <w:r w:rsidRPr="00225B15">
              <w:rPr>
                <w:rFonts w:asciiTheme="minorHAnsi" w:hAnsiTheme="minorHAnsi" w:cstheme="minorHAnsi"/>
              </w:rPr>
              <w:t xml:space="preserve">: </w:t>
            </w:r>
            <w:r w:rsidRPr="00225B15" w:rsidR="00DF2ADE">
              <w:rPr>
                <w:rFonts w:asciiTheme="minorHAnsi" w:hAnsiTheme="minorHAnsi" w:cstheme="minorHAnsi"/>
              </w:rPr>
              <w:t xml:space="preserve">Receipt of employment coaching services, receipt of support services, barriers to employment, additional </w:t>
            </w:r>
          </w:p>
          <w:p w:rsidRPr="00225B15" w:rsidR="00DF2ADE" w:rsidP="00DF2ADE" w:rsidRDefault="00DF2ADE" w14:paraId="16D48BB2" w14:textId="2D9BA2B0">
            <w:pPr>
              <w:rPr>
                <w:rFonts w:asciiTheme="minorHAnsi" w:hAnsiTheme="minorHAnsi" w:cstheme="minorHAnsi"/>
              </w:rPr>
            </w:pPr>
            <w:r w:rsidRPr="00225B15">
              <w:rPr>
                <w:rFonts w:asciiTheme="minorHAnsi" w:hAnsiTheme="minorHAnsi" w:cstheme="minorHAnsi"/>
              </w:rPr>
              <w:t>education credentials, completion of training program, diploma or training certificate receipt, self-regulation, current employment status and formal employment history, job quality, economic well-being, receipt of TANF, SSI,</w:t>
            </w:r>
            <w:r w:rsidR="00843D84">
              <w:rPr>
                <w:rFonts w:asciiTheme="minorHAnsi" w:hAnsiTheme="minorHAnsi" w:cstheme="minorHAnsi"/>
              </w:rPr>
              <w:t xml:space="preserve"> </w:t>
            </w:r>
            <w:r w:rsidRPr="00225B15">
              <w:rPr>
                <w:rFonts w:asciiTheme="minorHAnsi" w:hAnsiTheme="minorHAnsi" w:cstheme="minorHAnsi"/>
              </w:rPr>
              <w:t>SSDI, SNAP, WIC, unemployment insurance, or housing assistance, housing status, experience with the criminal justice system</w:t>
            </w:r>
          </w:p>
          <w:p w:rsidRPr="00225B15" w:rsidR="001D1C73" w:rsidP="003555C3" w:rsidRDefault="001D1C73" w14:paraId="13ECC5F8" w14:textId="77777777">
            <w:pPr>
              <w:rPr>
                <w:rFonts w:asciiTheme="minorHAnsi" w:hAnsiTheme="minorHAnsi" w:cstheme="minorHAnsi"/>
              </w:rPr>
            </w:pPr>
          </w:p>
          <w:p w:rsidRPr="00225B15" w:rsidR="001D1C73" w:rsidP="003555C3" w:rsidRDefault="001D1C73" w14:paraId="7D736580" w14:textId="46BD0611">
            <w:pPr>
              <w:rPr>
                <w:rFonts w:asciiTheme="minorHAnsi" w:hAnsiTheme="minorHAnsi" w:cstheme="minorHAnsi"/>
              </w:rPr>
            </w:pPr>
            <w:r w:rsidRPr="00225B15">
              <w:rPr>
                <w:rFonts w:asciiTheme="minorHAnsi" w:hAnsiTheme="minorHAnsi" w:cstheme="minorHAnsi"/>
                <w:b/>
              </w:rPr>
              <w:t>Purpose</w:t>
            </w:r>
            <w:r w:rsidRPr="00225B15">
              <w:rPr>
                <w:rFonts w:asciiTheme="minorHAnsi" w:hAnsiTheme="minorHAnsi" w:cstheme="minorHAnsi"/>
              </w:rPr>
              <w:t>:</w:t>
            </w:r>
            <w:r w:rsidRPr="00225B15" w:rsidR="003933AE">
              <w:rPr>
                <w:rFonts w:asciiTheme="minorHAnsi" w:hAnsiTheme="minorHAnsi" w:cstheme="minorHAnsi"/>
              </w:rPr>
              <w:t xml:space="preserve"> </w:t>
            </w:r>
            <w:r w:rsidRPr="00225B15" w:rsidR="00F9392A">
              <w:rPr>
                <w:rFonts w:asciiTheme="minorHAnsi" w:hAnsiTheme="minorHAnsi" w:cstheme="minorHAnsi"/>
                <w:bCs/>
              </w:rPr>
              <w:t xml:space="preserve">To continue to learn about the effectiveness of coaching interventions and </w:t>
            </w:r>
            <w:r w:rsidRPr="00225B15" w:rsidR="005E7706">
              <w:rPr>
                <w:rFonts w:asciiTheme="minorHAnsi" w:hAnsiTheme="minorHAnsi" w:cstheme="minorHAnsi"/>
                <w:bCs/>
              </w:rPr>
              <w:t>improving</w:t>
            </w:r>
            <w:r w:rsidRPr="00225B15" w:rsidR="00F9392A">
              <w:rPr>
                <w:rFonts w:asciiTheme="minorHAnsi" w:hAnsiTheme="minorHAnsi" w:cstheme="minorHAnsi"/>
                <w:bCs/>
              </w:rPr>
              <w:t xml:space="preserve"> outcomes for </w:t>
            </w:r>
            <w:r w:rsidRPr="00225B15" w:rsidR="00E77C52">
              <w:rPr>
                <w:rFonts w:asciiTheme="minorHAnsi" w:hAnsiTheme="minorHAnsi" w:cstheme="minorHAnsi"/>
                <w:bCs/>
              </w:rPr>
              <w:t xml:space="preserve">participants in employment programs serving TANF and related populations. </w:t>
            </w:r>
          </w:p>
        </w:tc>
        <w:tc>
          <w:tcPr>
            <w:tcW w:w="1620" w:type="dxa"/>
          </w:tcPr>
          <w:p w:rsidRPr="00225B15" w:rsidR="001D1C73" w:rsidP="003555C3" w:rsidRDefault="001D1C73" w14:paraId="4F09D85C" w14:textId="625F8F31">
            <w:pPr>
              <w:rPr>
                <w:rFonts w:asciiTheme="minorHAnsi" w:hAnsiTheme="minorHAnsi" w:cstheme="minorHAnsi"/>
              </w:rPr>
            </w:pPr>
            <w:r w:rsidRPr="00225B15">
              <w:rPr>
                <w:rFonts w:asciiTheme="minorHAnsi" w:hAnsiTheme="minorHAnsi" w:cstheme="minorHAnsi"/>
                <w:b/>
              </w:rPr>
              <w:t>Mode</w:t>
            </w:r>
            <w:r w:rsidRPr="00225B15">
              <w:rPr>
                <w:rFonts w:asciiTheme="minorHAnsi" w:hAnsiTheme="minorHAnsi" w:cstheme="minorHAnsi"/>
              </w:rPr>
              <w:t xml:space="preserve">: </w:t>
            </w:r>
            <w:r w:rsidRPr="00225B15" w:rsidR="003933AE">
              <w:rPr>
                <w:rFonts w:asciiTheme="minorHAnsi" w:hAnsiTheme="minorHAnsi" w:cstheme="minorHAnsi"/>
              </w:rPr>
              <w:t>Web</w:t>
            </w:r>
            <w:r w:rsidRPr="00225B15" w:rsidR="00F9392A">
              <w:rPr>
                <w:rFonts w:asciiTheme="minorHAnsi" w:hAnsiTheme="minorHAnsi" w:cstheme="minorHAnsi"/>
              </w:rPr>
              <w:t>,</w:t>
            </w:r>
            <w:r w:rsidRPr="00225B15" w:rsidR="00976CCC">
              <w:rPr>
                <w:rFonts w:asciiTheme="minorHAnsi" w:hAnsiTheme="minorHAnsi" w:cstheme="minorHAnsi"/>
              </w:rPr>
              <w:t xml:space="preserve"> </w:t>
            </w:r>
            <w:r w:rsidR="005F06A9">
              <w:rPr>
                <w:rFonts w:asciiTheme="minorHAnsi" w:hAnsiTheme="minorHAnsi" w:cstheme="minorHAnsi"/>
              </w:rPr>
              <w:t xml:space="preserve">with </w:t>
            </w:r>
            <w:r w:rsidRPr="00225B15" w:rsidR="00976CCC">
              <w:rPr>
                <w:rFonts w:asciiTheme="minorHAnsi" w:hAnsiTheme="minorHAnsi" w:cstheme="minorHAnsi"/>
              </w:rPr>
              <w:t>phone</w:t>
            </w:r>
            <w:r w:rsidRPr="00225B15" w:rsidR="00F9392A">
              <w:rPr>
                <w:rFonts w:asciiTheme="minorHAnsi" w:hAnsiTheme="minorHAnsi" w:cstheme="minorHAnsi"/>
              </w:rPr>
              <w:t xml:space="preserve"> and field non-response follow-up</w:t>
            </w:r>
            <w:r w:rsidRPr="00225B15" w:rsidR="001A222A">
              <w:rPr>
                <w:rFonts w:asciiTheme="minorHAnsi" w:hAnsiTheme="minorHAnsi" w:cstheme="minorHAnsi"/>
              </w:rPr>
              <w:t xml:space="preserve"> conducted about 21 months after study enrollment</w:t>
            </w:r>
            <w:r w:rsidRPr="00225B15" w:rsidR="00976CCC">
              <w:rPr>
                <w:rFonts w:asciiTheme="minorHAnsi" w:hAnsiTheme="minorHAnsi" w:cstheme="minorHAnsi"/>
              </w:rPr>
              <w:t xml:space="preserve"> </w:t>
            </w:r>
          </w:p>
          <w:p w:rsidRPr="00225B15" w:rsidR="001D1C73" w:rsidP="003555C3" w:rsidRDefault="001D1C73" w14:paraId="47BE1AD0" w14:textId="77777777">
            <w:pPr>
              <w:rPr>
                <w:rFonts w:asciiTheme="minorHAnsi" w:hAnsiTheme="minorHAnsi" w:cstheme="minorHAnsi"/>
              </w:rPr>
            </w:pPr>
          </w:p>
          <w:p w:rsidRPr="00225B15" w:rsidR="001D1C73" w:rsidP="003555C3" w:rsidRDefault="001D1C73" w14:paraId="63176BC9" w14:textId="2EFE800A">
            <w:pPr>
              <w:rPr>
                <w:rFonts w:asciiTheme="minorHAnsi" w:hAnsiTheme="minorHAnsi" w:cstheme="minorHAnsi"/>
              </w:rPr>
            </w:pPr>
            <w:r w:rsidRPr="00225B15">
              <w:rPr>
                <w:rFonts w:asciiTheme="minorHAnsi" w:hAnsiTheme="minorHAnsi" w:cstheme="minorHAnsi"/>
                <w:b/>
              </w:rPr>
              <w:t>Duration</w:t>
            </w:r>
            <w:r w:rsidRPr="00225B15">
              <w:rPr>
                <w:rFonts w:asciiTheme="minorHAnsi" w:hAnsiTheme="minorHAnsi" w:cstheme="minorHAnsi"/>
              </w:rPr>
              <w:t>:</w:t>
            </w:r>
            <w:r w:rsidRPr="00225B15" w:rsidR="009236DD">
              <w:rPr>
                <w:rFonts w:asciiTheme="minorHAnsi" w:hAnsiTheme="minorHAnsi" w:cstheme="minorHAnsi"/>
              </w:rPr>
              <w:t xml:space="preserve"> </w:t>
            </w:r>
            <w:r w:rsidRPr="00225B15" w:rsidR="00F9392A">
              <w:rPr>
                <w:rFonts w:asciiTheme="minorHAnsi" w:hAnsiTheme="minorHAnsi" w:cstheme="minorHAnsi"/>
              </w:rPr>
              <w:t xml:space="preserve">45 </w:t>
            </w:r>
            <w:r w:rsidRPr="00225B15" w:rsidR="009236DD">
              <w:rPr>
                <w:rFonts w:asciiTheme="minorHAnsi" w:hAnsiTheme="minorHAnsi" w:cstheme="minorHAnsi"/>
              </w:rPr>
              <w:t xml:space="preserve">minutes </w:t>
            </w:r>
          </w:p>
        </w:tc>
      </w:tr>
      <w:tr w:rsidRPr="009139B3" w:rsidR="0079272C" w:rsidTr="00566DE2" w14:paraId="67F3C42B" w14:textId="77777777">
        <w:tc>
          <w:tcPr>
            <w:tcW w:w="1885" w:type="dxa"/>
          </w:tcPr>
          <w:p w:rsidRPr="00225B15" w:rsidR="001D1C73" w:rsidP="003555C3" w:rsidRDefault="00F9392A" w14:paraId="4A9F3AB1" w14:textId="70CEFCBD">
            <w:pPr>
              <w:rPr>
                <w:rFonts w:asciiTheme="minorHAnsi" w:hAnsiTheme="minorHAnsi" w:cstheme="minorHAnsi"/>
              </w:rPr>
            </w:pPr>
            <w:r w:rsidRPr="00225B15">
              <w:rPr>
                <w:rFonts w:asciiTheme="minorHAnsi" w:hAnsiTheme="minorHAnsi" w:cstheme="minorHAnsi"/>
              </w:rPr>
              <w:t>Third Follow-Up Survey</w:t>
            </w:r>
            <w:r w:rsidRPr="00225B15" w:rsidR="006673BB">
              <w:rPr>
                <w:rFonts w:asciiTheme="minorHAnsi" w:hAnsiTheme="minorHAnsi" w:cstheme="minorHAnsi"/>
              </w:rPr>
              <w:t xml:space="preserve"> </w:t>
            </w:r>
          </w:p>
        </w:tc>
        <w:tc>
          <w:tcPr>
            <w:tcW w:w="1350" w:type="dxa"/>
          </w:tcPr>
          <w:p w:rsidRPr="00225B15" w:rsidR="001D1C73" w:rsidP="003555C3" w:rsidRDefault="00F9392A" w14:paraId="599B792F" w14:textId="5E8D1013">
            <w:pPr>
              <w:rPr>
                <w:rFonts w:asciiTheme="minorHAnsi" w:hAnsiTheme="minorHAnsi" w:cstheme="minorHAnsi"/>
              </w:rPr>
            </w:pPr>
            <w:r w:rsidRPr="00225B15">
              <w:rPr>
                <w:rFonts w:asciiTheme="minorHAnsi" w:hAnsiTheme="minorHAnsi" w:cstheme="minorHAnsi"/>
              </w:rPr>
              <w:t xml:space="preserve">Adult </w:t>
            </w:r>
            <w:r w:rsidRPr="00225B15" w:rsidR="006673BB">
              <w:rPr>
                <w:rFonts w:asciiTheme="minorHAnsi" w:hAnsiTheme="minorHAnsi" w:cstheme="minorHAnsi"/>
              </w:rPr>
              <w:t xml:space="preserve">Survey </w:t>
            </w:r>
          </w:p>
        </w:tc>
        <w:tc>
          <w:tcPr>
            <w:tcW w:w="5490" w:type="dxa"/>
          </w:tcPr>
          <w:p w:rsidRPr="00225B15" w:rsidR="007255C7" w:rsidP="007255C7" w:rsidRDefault="001D1C73" w14:paraId="7E483E5C" w14:textId="2FD140EA">
            <w:pPr>
              <w:rPr>
                <w:rFonts w:asciiTheme="minorHAnsi" w:hAnsiTheme="minorHAnsi" w:cstheme="minorHAnsi"/>
              </w:rPr>
            </w:pPr>
            <w:r w:rsidRPr="00225B15">
              <w:rPr>
                <w:rFonts w:asciiTheme="minorHAnsi" w:hAnsiTheme="minorHAnsi" w:cstheme="minorHAnsi"/>
                <w:b/>
              </w:rPr>
              <w:t>Respondents</w:t>
            </w:r>
            <w:r w:rsidRPr="00225B15">
              <w:rPr>
                <w:rFonts w:asciiTheme="minorHAnsi" w:hAnsiTheme="minorHAnsi" w:cstheme="minorHAnsi"/>
              </w:rPr>
              <w:t xml:space="preserve">: </w:t>
            </w:r>
            <w:r w:rsidR="003C5F48">
              <w:rPr>
                <w:rFonts w:asciiTheme="minorHAnsi" w:hAnsiTheme="minorHAnsi" w:cstheme="minorHAnsi"/>
              </w:rPr>
              <w:t>S</w:t>
            </w:r>
            <w:r w:rsidRPr="00225B15" w:rsidR="00F9392A">
              <w:rPr>
                <w:rFonts w:asciiTheme="minorHAnsi" w:hAnsiTheme="minorHAnsi" w:cstheme="minorHAnsi"/>
              </w:rPr>
              <w:t>tudy participants</w:t>
            </w:r>
            <w:r w:rsidR="00575821">
              <w:rPr>
                <w:rFonts w:asciiTheme="minorHAnsi" w:hAnsiTheme="minorHAnsi" w:cstheme="minorHAnsi"/>
              </w:rPr>
              <w:t xml:space="preserve"> for the FaDSS, </w:t>
            </w:r>
            <w:r w:rsidR="004F6ED0">
              <w:rPr>
                <w:rFonts w:asciiTheme="minorHAnsi" w:hAnsiTheme="minorHAnsi" w:cstheme="minorHAnsi"/>
              </w:rPr>
              <w:t xml:space="preserve">Goal4 It!, </w:t>
            </w:r>
            <w:r w:rsidR="00575821">
              <w:rPr>
                <w:rFonts w:asciiTheme="minorHAnsi" w:hAnsiTheme="minorHAnsi" w:cstheme="minorHAnsi"/>
              </w:rPr>
              <w:t>LIFT, MyGoals Baltimore, and MyGoals Houston interventions</w:t>
            </w:r>
          </w:p>
          <w:p w:rsidRPr="00225B15" w:rsidR="001D1C73" w:rsidP="003555C3" w:rsidRDefault="001D1C73" w14:paraId="4EDCA0DC" w14:textId="77777777">
            <w:pPr>
              <w:rPr>
                <w:rFonts w:asciiTheme="minorHAnsi" w:hAnsiTheme="minorHAnsi" w:cstheme="minorHAnsi"/>
              </w:rPr>
            </w:pPr>
          </w:p>
          <w:p w:rsidRPr="00225B15" w:rsidR="00DF2ADE" w:rsidP="00DF2ADE" w:rsidRDefault="001D1C73" w14:paraId="4FD2FE7D" w14:textId="7FD1E5B9">
            <w:pPr>
              <w:rPr>
                <w:rFonts w:asciiTheme="minorHAnsi" w:hAnsiTheme="minorHAnsi" w:cstheme="minorHAnsi"/>
              </w:rPr>
            </w:pPr>
            <w:r w:rsidRPr="00225B15">
              <w:rPr>
                <w:rFonts w:asciiTheme="minorHAnsi" w:hAnsiTheme="minorHAnsi" w:cstheme="minorHAnsi"/>
                <w:b/>
              </w:rPr>
              <w:t>Content</w:t>
            </w:r>
            <w:r w:rsidRPr="00225B15">
              <w:rPr>
                <w:rFonts w:asciiTheme="minorHAnsi" w:hAnsiTheme="minorHAnsi" w:cstheme="minorHAnsi"/>
              </w:rPr>
              <w:t xml:space="preserve">: </w:t>
            </w:r>
            <w:r w:rsidRPr="00225B15" w:rsidR="001A70F5">
              <w:rPr>
                <w:rFonts w:asciiTheme="minorHAnsi" w:hAnsiTheme="minorHAnsi" w:cstheme="minorHAnsi"/>
              </w:rPr>
              <w:t>B</w:t>
            </w:r>
            <w:r w:rsidRPr="00225B15" w:rsidR="00DF2ADE">
              <w:rPr>
                <w:rFonts w:asciiTheme="minorHAnsi" w:hAnsiTheme="minorHAnsi" w:cstheme="minorHAnsi"/>
              </w:rPr>
              <w:t xml:space="preserve">arriers to employment, additional </w:t>
            </w:r>
          </w:p>
          <w:p w:rsidRPr="00225B15" w:rsidR="00DF2ADE" w:rsidP="00DF2ADE" w:rsidRDefault="00DF2ADE" w14:paraId="1CD3D5C8" w14:textId="48064D21">
            <w:pPr>
              <w:rPr>
                <w:rFonts w:asciiTheme="minorHAnsi" w:hAnsiTheme="minorHAnsi" w:cstheme="minorHAnsi"/>
              </w:rPr>
            </w:pPr>
            <w:r w:rsidRPr="00225B15">
              <w:rPr>
                <w:rFonts w:asciiTheme="minorHAnsi" w:hAnsiTheme="minorHAnsi" w:cstheme="minorHAnsi"/>
              </w:rPr>
              <w:t xml:space="preserve">education </w:t>
            </w:r>
            <w:r w:rsidRPr="00225B15" w:rsidR="00E1587F">
              <w:rPr>
                <w:rFonts w:asciiTheme="minorHAnsi" w:hAnsiTheme="minorHAnsi" w:cstheme="minorHAnsi"/>
              </w:rPr>
              <w:t>or</w:t>
            </w:r>
            <w:r w:rsidRPr="00225B15">
              <w:rPr>
                <w:rFonts w:asciiTheme="minorHAnsi" w:hAnsiTheme="minorHAnsi" w:cstheme="minorHAnsi"/>
              </w:rPr>
              <w:t xml:space="preserve"> training, self-regulation, current employment status and formal employment history, job quality, economic well-being, receipt of TANF, SSI,</w:t>
            </w:r>
            <w:r w:rsidR="00843D84">
              <w:rPr>
                <w:rFonts w:asciiTheme="minorHAnsi" w:hAnsiTheme="minorHAnsi" w:cstheme="minorHAnsi"/>
              </w:rPr>
              <w:t xml:space="preserve"> </w:t>
            </w:r>
            <w:r w:rsidRPr="00225B15">
              <w:rPr>
                <w:rFonts w:asciiTheme="minorHAnsi" w:hAnsiTheme="minorHAnsi" w:cstheme="minorHAnsi"/>
              </w:rPr>
              <w:t>SSDI, SNAP, WIC, unemployment insurance, or housing assistance, housing status, experience with the criminal justice system</w:t>
            </w:r>
          </w:p>
          <w:p w:rsidRPr="00225B15" w:rsidR="001D1C73" w:rsidP="003555C3" w:rsidRDefault="001D1C73" w14:paraId="78B80EC5" w14:textId="77777777">
            <w:pPr>
              <w:rPr>
                <w:rFonts w:asciiTheme="minorHAnsi" w:hAnsiTheme="minorHAnsi" w:cstheme="minorHAnsi"/>
              </w:rPr>
            </w:pPr>
          </w:p>
          <w:p w:rsidRPr="00225B15" w:rsidR="00063AAF" w:rsidP="00063AAF" w:rsidRDefault="00063AAF" w14:paraId="2BE84664" w14:textId="073B22E6">
            <w:pPr>
              <w:rPr>
                <w:rFonts w:asciiTheme="minorHAnsi" w:hAnsiTheme="minorHAnsi" w:cstheme="minorHAnsi"/>
              </w:rPr>
            </w:pPr>
            <w:r w:rsidRPr="00225B15">
              <w:rPr>
                <w:rFonts w:asciiTheme="minorHAnsi" w:hAnsiTheme="minorHAnsi" w:cstheme="minorHAnsi"/>
                <w:b/>
              </w:rPr>
              <w:t xml:space="preserve">Purpose: </w:t>
            </w:r>
            <w:r w:rsidRPr="00225B15">
              <w:rPr>
                <w:rFonts w:asciiTheme="minorHAnsi" w:hAnsiTheme="minorHAnsi" w:cstheme="minorHAnsi"/>
                <w:bCs/>
              </w:rPr>
              <w:t>To examine long-term impacts across outcome domains of interest</w:t>
            </w:r>
          </w:p>
          <w:p w:rsidRPr="00225B15" w:rsidR="00146E29" w:rsidP="003555C3" w:rsidRDefault="00146E29" w14:paraId="481BA18A" w14:textId="76C63567">
            <w:pPr>
              <w:rPr>
                <w:rFonts w:asciiTheme="minorHAnsi" w:hAnsiTheme="minorHAnsi" w:cstheme="minorHAnsi"/>
                <w:b/>
              </w:rPr>
            </w:pPr>
          </w:p>
        </w:tc>
        <w:tc>
          <w:tcPr>
            <w:tcW w:w="1620" w:type="dxa"/>
          </w:tcPr>
          <w:p w:rsidRPr="00225B15" w:rsidR="00063AAF" w:rsidP="003555C3" w:rsidRDefault="00063AAF" w14:paraId="282DCBC8" w14:textId="012FA8F3">
            <w:pPr>
              <w:rPr>
                <w:rFonts w:asciiTheme="minorHAnsi" w:hAnsiTheme="minorHAnsi" w:cstheme="minorHAnsi"/>
              </w:rPr>
            </w:pPr>
            <w:r w:rsidRPr="00225B15">
              <w:rPr>
                <w:rFonts w:asciiTheme="minorHAnsi" w:hAnsiTheme="minorHAnsi" w:cstheme="minorHAnsi"/>
                <w:b/>
                <w:bCs/>
              </w:rPr>
              <w:t xml:space="preserve">Mode: </w:t>
            </w:r>
            <w:r w:rsidRPr="00225B15">
              <w:rPr>
                <w:rFonts w:asciiTheme="minorHAnsi" w:hAnsiTheme="minorHAnsi" w:cstheme="minorHAnsi"/>
              </w:rPr>
              <w:t>Web, with phone and field non-response follow-up</w:t>
            </w:r>
            <w:r w:rsidRPr="00225B15" w:rsidR="001A222A">
              <w:rPr>
                <w:rFonts w:asciiTheme="minorHAnsi" w:hAnsiTheme="minorHAnsi" w:cstheme="minorHAnsi"/>
              </w:rPr>
              <w:t xml:space="preserve"> conducted at least 4</w:t>
            </w:r>
            <w:r w:rsidRPr="00225B15" w:rsidR="00040742">
              <w:rPr>
                <w:rFonts w:asciiTheme="minorHAnsi" w:hAnsiTheme="minorHAnsi" w:cstheme="minorHAnsi"/>
              </w:rPr>
              <w:t>8 months after study enrollment</w:t>
            </w:r>
          </w:p>
          <w:p w:rsidRPr="00225B15" w:rsidR="00146E29" w:rsidP="003555C3" w:rsidRDefault="00146E29" w14:paraId="5434992E" w14:textId="30F652A8">
            <w:pPr>
              <w:rPr>
                <w:rFonts w:asciiTheme="minorHAnsi" w:hAnsiTheme="minorHAnsi" w:cstheme="minorHAnsi"/>
              </w:rPr>
            </w:pPr>
          </w:p>
          <w:p w:rsidRPr="00225B15" w:rsidR="001D1C73" w:rsidP="003555C3" w:rsidRDefault="001D1C73" w14:paraId="10E19414" w14:textId="38F0AF3F">
            <w:pPr>
              <w:rPr>
                <w:rFonts w:asciiTheme="minorHAnsi" w:hAnsiTheme="minorHAnsi" w:cstheme="minorHAnsi"/>
              </w:rPr>
            </w:pPr>
            <w:r w:rsidRPr="00225B15">
              <w:rPr>
                <w:rFonts w:asciiTheme="minorHAnsi" w:hAnsiTheme="minorHAnsi" w:cstheme="minorHAnsi"/>
                <w:b/>
              </w:rPr>
              <w:t>Duration</w:t>
            </w:r>
            <w:r w:rsidRPr="00225B15">
              <w:rPr>
                <w:rFonts w:asciiTheme="minorHAnsi" w:hAnsiTheme="minorHAnsi" w:cstheme="minorHAnsi"/>
              </w:rPr>
              <w:t>:</w:t>
            </w:r>
            <w:r w:rsidRPr="00225B15" w:rsidR="008069D2">
              <w:rPr>
                <w:rFonts w:asciiTheme="minorHAnsi" w:hAnsiTheme="minorHAnsi" w:cstheme="minorHAnsi"/>
              </w:rPr>
              <w:t xml:space="preserve"> </w:t>
            </w:r>
            <w:r w:rsidRPr="00225B15" w:rsidR="00464DA3">
              <w:rPr>
                <w:rFonts w:asciiTheme="minorHAnsi" w:hAnsiTheme="minorHAnsi" w:cstheme="minorHAnsi"/>
              </w:rPr>
              <w:t xml:space="preserve">45 </w:t>
            </w:r>
            <w:r w:rsidRPr="00225B15" w:rsidR="008069D2">
              <w:rPr>
                <w:rFonts w:asciiTheme="minorHAnsi" w:hAnsiTheme="minorHAnsi" w:cstheme="minorHAnsi"/>
              </w:rPr>
              <w:t>minutes</w:t>
            </w:r>
          </w:p>
          <w:p w:rsidRPr="00225B15" w:rsidR="00D831A9" w:rsidP="003555C3" w:rsidRDefault="00D831A9" w14:paraId="44180139" w14:textId="7B01D8A8">
            <w:pPr>
              <w:rPr>
                <w:rFonts w:asciiTheme="minorHAnsi" w:hAnsiTheme="minorHAnsi" w:cstheme="minorHAnsi"/>
                <w:b/>
              </w:rPr>
            </w:pPr>
          </w:p>
        </w:tc>
      </w:tr>
      <w:tr w:rsidRPr="009139B3" w:rsidR="001635C6" w:rsidTr="00566DE2" w14:paraId="46C01F14" w14:textId="77777777">
        <w:tc>
          <w:tcPr>
            <w:tcW w:w="1885" w:type="dxa"/>
          </w:tcPr>
          <w:p w:rsidRPr="00566DE2" w:rsidR="001635C6" w:rsidP="003555C3" w:rsidRDefault="001635C6" w14:paraId="3853E67E" w14:textId="508848D8">
            <w:pPr>
              <w:rPr>
                <w:rFonts w:asciiTheme="minorHAnsi" w:hAnsiTheme="minorHAnsi" w:cstheme="minorHAnsi"/>
              </w:rPr>
            </w:pPr>
            <w:r w:rsidRPr="00566DE2">
              <w:rPr>
                <w:rFonts w:asciiTheme="minorHAnsi" w:hAnsiTheme="minorHAnsi" w:cstheme="minorHAnsi"/>
              </w:rPr>
              <w:t>Semi-structured management</w:t>
            </w:r>
            <w:r w:rsidR="00110200">
              <w:rPr>
                <w:rFonts w:asciiTheme="minorHAnsi" w:hAnsiTheme="minorHAnsi" w:cstheme="minorHAnsi"/>
              </w:rPr>
              <w:t xml:space="preserve"> </w:t>
            </w:r>
            <w:r w:rsidRPr="00566DE2">
              <w:rPr>
                <w:rFonts w:asciiTheme="minorHAnsi" w:hAnsiTheme="minorHAnsi" w:cstheme="minorHAnsi"/>
              </w:rPr>
              <w:t>interviews</w:t>
            </w:r>
          </w:p>
        </w:tc>
        <w:tc>
          <w:tcPr>
            <w:tcW w:w="1350" w:type="dxa"/>
          </w:tcPr>
          <w:p w:rsidRPr="00566DE2" w:rsidR="001635C6" w:rsidP="003555C3" w:rsidRDefault="001635C6" w14:paraId="55178A71" w14:textId="77777777">
            <w:pPr>
              <w:rPr>
                <w:rFonts w:asciiTheme="minorHAnsi" w:hAnsiTheme="minorHAnsi" w:cstheme="minorHAnsi"/>
              </w:rPr>
            </w:pPr>
            <w:r w:rsidRPr="00566DE2">
              <w:rPr>
                <w:rFonts w:asciiTheme="minorHAnsi" w:hAnsiTheme="minorHAnsi" w:cstheme="minorHAnsi"/>
              </w:rPr>
              <w:t>Management topic guide</w:t>
            </w:r>
          </w:p>
          <w:p w:rsidRPr="00566DE2" w:rsidR="001635C6" w:rsidP="003555C3" w:rsidRDefault="001635C6" w14:paraId="05BE3037" w14:textId="2C6A0FA0">
            <w:pPr>
              <w:rPr>
                <w:rFonts w:asciiTheme="minorHAnsi" w:hAnsiTheme="minorHAnsi" w:cstheme="minorHAnsi"/>
              </w:rPr>
            </w:pPr>
          </w:p>
        </w:tc>
        <w:tc>
          <w:tcPr>
            <w:tcW w:w="5490" w:type="dxa"/>
          </w:tcPr>
          <w:p w:rsidRPr="00566DE2" w:rsidR="001A6750" w:rsidP="001A6750" w:rsidRDefault="001A6750" w14:paraId="202A14D1" w14:textId="7BE64AEF">
            <w:pPr>
              <w:rPr>
                <w:rFonts w:asciiTheme="minorHAnsi" w:hAnsiTheme="minorHAnsi" w:cstheme="minorHAnsi"/>
              </w:rPr>
            </w:pPr>
            <w:r w:rsidRPr="00566DE2">
              <w:rPr>
                <w:rFonts w:asciiTheme="minorHAnsi" w:hAnsiTheme="minorHAnsi" w:cstheme="minorHAnsi"/>
                <w:b/>
              </w:rPr>
              <w:t>Respondents</w:t>
            </w:r>
            <w:r w:rsidRPr="00566DE2">
              <w:rPr>
                <w:rFonts w:asciiTheme="minorHAnsi" w:hAnsiTheme="minorHAnsi" w:cstheme="minorHAnsi"/>
              </w:rPr>
              <w:t xml:space="preserve">: </w:t>
            </w:r>
            <w:r w:rsidRPr="00566DE2" w:rsidR="005E158D">
              <w:rPr>
                <w:rFonts w:asciiTheme="minorHAnsi" w:hAnsiTheme="minorHAnsi" w:cstheme="minorHAnsi"/>
              </w:rPr>
              <w:t>Program management</w:t>
            </w:r>
            <w:r w:rsidR="00474648">
              <w:rPr>
                <w:rFonts w:asciiTheme="minorHAnsi" w:hAnsiTheme="minorHAnsi" w:cstheme="minorHAnsi"/>
              </w:rPr>
              <w:t xml:space="preserve"> </w:t>
            </w:r>
          </w:p>
          <w:p w:rsidRPr="00566DE2" w:rsidR="001A6750" w:rsidP="001A6750" w:rsidRDefault="001A6750" w14:paraId="096D5086" w14:textId="77777777">
            <w:pPr>
              <w:rPr>
                <w:rFonts w:asciiTheme="minorHAnsi" w:hAnsiTheme="minorHAnsi" w:cstheme="minorHAnsi"/>
              </w:rPr>
            </w:pPr>
          </w:p>
          <w:p w:rsidRPr="00566DE2" w:rsidR="001A6750" w:rsidP="001A70F5" w:rsidRDefault="001A6750" w14:paraId="73DEE5DF" w14:textId="489A2020">
            <w:pPr>
              <w:rPr>
                <w:rFonts w:asciiTheme="minorHAnsi" w:hAnsiTheme="minorHAnsi" w:cstheme="minorHAnsi"/>
              </w:rPr>
            </w:pPr>
            <w:r w:rsidRPr="00566DE2">
              <w:rPr>
                <w:rFonts w:asciiTheme="minorHAnsi" w:hAnsiTheme="minorHAnsi" w:cstheme="minorHAnsi"/>
                <w:b/>
              </w:rPr>
              <w:t>Content</w:t>
            </w:r>
            <w:r w:rsidRPr="00566DE2">
              <w:rPr>
                <w:rFonts w:asciiTheme="minorHAnsi" w:hAnsiTheme="minorHAnsi" w:cstheme="minorHAnsi"/>
              </w:rPr>
              <w:t xml:space="preserve">: </w:t>
            </w:r>
            <w:r w:rsidRPr="00566DE2" w:rsidR="005E158D">
              <w:rPr>
                <w:rFonts w:asciiTheme="minorHAnsi" w:hAnsiTheme="minorHAnsi" w:cstheme="minorHAnsi"/>
              </w:rPr>
              <w:t xml:space="preserve">Factors that affect the development of </w:t>
            </w:r>
            <w:r w:rsidRPr="00566DE2" w:rsidR="00620EEE">
              <w:rPr>
                <w:rFonts w:asciiTheme="minorHAnsi" w:hAnsiTheme="minorHAnsi" w:cstheme="minorHAnsi"/>
              </w:rPr>
              <w:t xml:space="preserve">trusting relationships </w:t>
            </w:r>
            <w:r w:rsidRPr="00566DE2" w:rsidR="005E158D">
              <w:rPr>
                <w:rFonts w:asciiTheme="minorHAnsi" w:hAnsiTheme="minorHAnsi" w:cstheme="minorHAnsi"/>
              </w:rPr>
              <w:t xml:space="preserve">between coaches and </w:t>
            </w:r>
            <w:r w:rsidRPr="00566DE2" w:rsidR="00620EEE">
              <w:rPr>
                <w:rFonts w:asciiTheme="minorHAnsi" w:hAnsiTheme="minorHAnsi" w:cstheme="minorHAnsi"/>
              </w:rPr>
              <w:t xml:space="preserve">participants, </w:t>
            </w:r>
            <w:r w:rsidRPr="00566DE2" w:rsidR="005E158D">
              <w:rPr>
                <w:rFonts w:asciiTheme="minorHAnsi" w:hAnsiTheme="minorHAnsi" w:cstheme="minorHAnsi"/>
              </w:rPr>
              <w:t>role of discussions of</w:t>
            </w:r>
            <w:r w:rsidRPr="00566DE2" w:rsidR="00E162BE">
              <w:rPr>
                <w:rFonts w:asciiTheme="minorHAnsi" w:hAnsiTheme="minorHAnsi" w:cstheme="minorHAnsi"/>
              </w:rPr>
              <w:t xml:space="preserve"> executive skills </w:t>
            </w:r>
            <w:r w:rsidRPr="00566DE2" w:rsidR="005E158D">
              <w:rPr>
                <w:rFonts w:asciiTheme="minorHAnsi" w:hAnsiTheme="minorHAnsi" w:cstheme="minorHAnsi"/>
              </w:rPr>
              <w:t>in</w:t>
            </w:r>
            <w:r w:rsidRPr="00566DE2" w:rsidR="00E162BE">
              <w:rPr>
                <w:rFonts w:asciiTheme="minorHAnsi" w:hAnsiTheme="minorHAnsi" w:cstheme="minorHAnsi"/>
              </w:rPr>
              <w:t xml:space="preserve"> coaching, structure</w:t>
            </w:r>
            <w:r w:rsidRPr="00566DE2" w:rsidR="00D22795">
              <w:rPr>
                <w:rFonts w:asciiTheme="minorHAnsi" w:hAnsiTheme="minorHAnsi" w:cstheme="minorHAnsi"/>
              </w:rPr>
              <w:t xml:space="preserve"> and </w:t>
            </w:r>
            <w:r w:rsidRPr="00566DE2" w:rsidR="005E158D">
              <w:rPr>
                <w:rFonts w:asciiTheme="minorHAnsi" w:hAnsiTheme="minorHAnsi" w:cstheme="minorHAnsi"/>
              </w:rPr>
              <w:t>role of paying incentives in</w:t>
            </w:r>
            <w:r w:rsidRPr="00566DE2" w:rsidR="00D22795">
              <w:rPr>
                <w:rFonts w:asciiTheme="minorHAnsi" w:hAnsiTheme="minorHAnsi" w:cstheme="minorHAnsi"/>
              </w:rPr>
              <w:t xml:space="preserve"> coaching programs</w:t>
            </w:r>
          </w:p>
          <w:p w:rsidRPr="00566DE2" w:rsidR="001A6750" w:rsidP="001A6750" w:rsidRDefault="001A6750" w14:paraId="492598D8" w14:textId="77777777">
            <w:pPr>
              <w:rPr>
                <w:rFonts w:asciiTheme="minorHAnsi" w:hAnsiTheme="minorHAnsi" w:cstheme="minorHAnsi"/>
              </w:rPr>
            </w:pPr>
          </w:p>
          <w:p w:rsidRPr="00566DE2" w:rsidR="001A6750" w:rsidP="001A6750" w:rsidRDefault="001A6750" w14:paraId="4265619F" w14:textId="1157EC40">
            <w:pPr>
              <w:rPr>
                <w:rFonts w:asciiTheme="minorHAnsi" w:hAnsiTheme="minorHAnsi" w:cstheme="minorHAnsi"/>
              </w:rPr>
            </w:pPr>
            <w:r w:rsidRPr="00566DE2">
              <w:rPr>
                <w:rFonts w:asciiTheme="minorHAnsi" w:hAnsiTheme="minorHAnsi" w:cstheme="minorHAnsi"/>
                <w:b/>
              </w:rPr>
              <w:lastRenderedPageBreak/>
              <w:t xml:space="preserve">Purpose: </w:t>
            </w:r>
            <w:r w:rsidRPr="00566DE2">
              <w:rPr>
                <w:rFonts w:asciiTheme="minorHAnsi" w:hAnsiTheme="minorHAnsi" w:cstheme="minorHAnsi"/>
                <w:bCs/>
              </w:rPr>
              <w:t xml:space="preserve">To </w:t>
            </w:r>
            <w:r w:rsidRPr="00566DE2" w:rsidR="00802921">
              <w:rPr>
                <w:rFonts w:asciiTheme="minorHAnsi" w:hAnsiTheme="minorHAnsi" w:cstheme="minorHAnsi"/>
                <w:bCs/>
              </w:rPr>
              <w:t xml:space="preserve">provide context to </w:t>
            </w:r>
            <w:r w:rsidRPr="00566DE2" w:rsidR="00C83820">
              <w:rPr>
                <w:rFonts w:asciiTheme="minorHAnsi" w:hAnsiTheme="minorHAnsi" w:cstheme="minorHAnsi"/>
                <w:bCs/>
              </w:rPr>
              <w:t xml:space="preserve">findings from earlier implementation analysis </w:t>
            </w:r>
            <w:r w:rsidRPr="00566DE2" w:rsidR="007F32BD">
              <w:rPr>
                <w:rFonts w:asciiTheme="minorHAnsi" w:hAnsiTheme="minorHAnsi" w:cstheme="minorHAnsi"/>
                <w:bCs/>
              </w:rPr>
              <w:t xml:space="preserve">and </w:t>
            </w:r>
            <w:r w:rsidRPr="00566DE2" w:rsidR="005A24B4">
              <w:rPr>
                <w:rFonts w:asciiTheme="minorHAnsi" w:hAnsiTheme="minorHAnsi" w:cstheme="minorHAnsi"/>
                <w:bCs/>
              </w:rPr>
              <w:t>provide additional information relevant to practitioners looking to implement coaching effectively</w:t>
            </w:r>
            <w:r w:rsidRPr="00566DE2" w:rsidR="00B1088F">
              <w:rPr>
                <w:rFonts w:asciiTheme="minorHAnsi" w:hAnsiTheme="minorHAnsi" w:cstheme="minorHAnsi"/>
                <w:bCs/>
              </w:rPr>
              <w:t xml:space="preserve"> </w:t>
            </w:r>
          </w:p>
          <w:p w:rsidRPr="00566DE2" w:rsidR="00620EEE" w:rsidP="000B1AE3" w:rsidRDefault="00620EEE" w14:paraId="6C4C698C" w14:textId="04D2CC56">
            <w:pPr>
              <w:rPr>
                <w:rFonts w:asciiTheme="minorHAnsi" w:hAnsiTheme="minorHAnsi" w:cstheme="minorHAnsi"/>
                <w:b/>
              </w:rPr>
            </w:pPr>
          </w:p>
        </w:tc>
        <w:tc>
          <w:tcPr>
            <w:tcW w:w="1620" w:type="dxa"/>
          </w:tcPr>
          <w:p w:rsidRPr="00566DE2" w:rsidR="001A6750" w:rsidP="001A6750" w:rsidRDefault="001A6750" w14:paraId="528019B1" w14:textId="52F400F8">
            <w:pPr>
              <w:rPr>
                <w:rFonts w:asciiTheme="minorHAnsi" w:hAnsiTheme="minorHAnsi" w:cstheme="minorHAnsi"/>
              </w:rPr>
            </w:pPr>
            <w:r w:rsidRPr="00566DE2">
              <w:rPr>
                <w:rFonts w:asciiTheme="minorHAnsi" w:hAnsiTheme="minorHAnsi" w:cstheme="minorHAnsi"/>
                <w:b/>
                <w:bCs/>
              </w:rPr>
              <w:lastRenderedPageBreak/>
              <w:t xml:space="preserve">Mode: </w:t>
            </w:r>
            <w:r w:rsidRPr="00566DE2">
              <w:rPr>
                <w:rFonts w:asciiTheme="minorHAnsi" w:hAnsiTheme="minorHAnsi" w:cstheme="minorHAnsi"/>
              </w:rPr>
              <w:t>Semi-structured interview</w:t>
            </w:r>
          </w:p>
          <w:p w:rsidRPr="00566DE2" w:rsidR="001A6750" w:rsidP="001A6750" w:rsidRDefault="001A6750" w14:paraId="17667452" w14:textId="77777777">
            <w:pPr>
              <w:rPr>
                <w:rFonts w:asciiTheme="minorHAnsi" w:hAnsiTheme="minorHAnsi" w:cstheme="minorHAnsi"/>
              </w:rPr>
            </w:pPr>
          </w:p>
          <w:p w:rsidRPr="00566DE2" w:rsidR="001A6750" w:rsidP="001A6750" w:rsidRDefault="001A6750" w14:paraId="5089192C" w14:textId="592A0AA7">
            <w:pPr>
              <w:rPr>
                <w:rFonts w:asciiTheme="minorHAnsi" w:hAnsiTheme="minorHAnsi" w:cstheme="minorHAnsi"/>
              </w:rPr>
            </w:pPr>
            <w:r w:rsidRPr="00566DE2">
              <w:rPr>
                <w:rFonts w:asciiTheme="minorHAnsi" w:hAnsiTheme="minorHAnsi" w:cstheme="minorHAnsi"/>
                <w:b/>
              </w:rPr>
              <w:t>Duration</w:t>
            </w:r>
            <w:r w:rsidRPr="00566DE2">
              <w:rPr>
                <w:rFonts w:asciiTheme="minorHAnsi" w:hAnsiTheme="minorHAnsi" w:cstheme="minorHAnsi"/>
              </w:rPr>
              <w:t xml:space="preserve">: </w:t>
            </w:r>
            <w:r w:rsidRPr="00566DE2" w:rsidR="005E6833">
              <w:rPr>
                <w:rFonts w:asciiTheme="minorHAnsi" w:hAnsiTheme="minorHAnsi" w:cstheme="minorHAnsi"/>
              </w:rPr>
              <w:t>60 minutes</w:t>
            </w:r>
          </w:p>
          <w:p w:rsidRPr="00566DE2" w:rsidR="001635C6" w:rsidP="003555C3" w:rsidRDefault="001635C6" w14:paraId="4A7A0935" w14:textId="77777777">
            <w:pPr>
              <w:rPr>
                <w:rFonts w:asciiTheme="minorHAnsi" w:hAnsiTheme="minorHAnsi" w:cstheme="minorHAnsi"/>
                <w:b/>
                <w:bCs/>
              </w:rPr>
            </w:pPr>
          </w:p>
        </w:tc>
      </w:tr>
      <w:tr w:rsidRPr="009139B3" w:rsidR="00474648" w:rsidTr="00566DE2" w14:paraId="3B12C175" w14:textId="77777777">
        <w:tc>
          <w:tcPr>
            <w:tcW w:w="1885" w:type="dxa"/>
          </w:tcPr>
          <w:p w:rsidRPr="00575821" w:rsidR="00474648" w:rsidP="003555C3" w:rsidRDefault="00474648" w14:paraId="2DC08DEB" w14:textId="403F75C6">
            <w:pPr>
              <w:rPr>
                <w:rFonts w:asciiTheme="minorHAnsi" w:hAnsiTheme="minorHAnsi" w:cstheme="minorHAnsi"/>
              </w:rPr>
            </w:pPr>
            <w:r w:rsidRPr="00575821">
              <w:rPr>
                <w:rFonts w:asciiTheme="minorHAnsi" w:hAnsiTheme="minorHAnsi" w:cstheme="minorHAnsi"/>
              </w:rPr>
              <w:t xml:space="preserve">Semi-structured interviews for staff and supervisors </w:t>
            </w:r>
          </w:p>
        </w:tc>
        <w:tc>
          <w:tcPr>
            <w:tcW w:w="1350" w:type="dxa"/>
          </w:tcPr>
          <w:p w:rsidRPr="00575821" w:rsidR="00474648" w:rsidP="003555C3" w:rsidRDefault="00474648" w14:paraId="4F113F6B" w14:textId="5A3324AC">
            <w:pPr>
              <w:rPr>
                <w:rFonts w:asciiTheme="minorHAnsi" w:hAnsiTheme="minorHAnsi" w:cstheme="minorHAnsi"/>
              </w:rPr>
            </w:pPr>
            <w:r w:rsidRPr="00474648">
              <w:rPr>
                <w:rFonts w:asciiTheme="minorHAnsi" w:hAnsiTheme="minorHAnsi" w:cstheme="minorHAnsi"/>
              </w:rPr>
              <w:t>Supervisor and staff topic guide</w:t>
            </w:r>
          </w:p>
        </w:tc>
        <w:tc>
          <w:tcPr>
            <w:tcW w:w="5490" w:type="dxa"/>
          </w:tcPr>
          <w:p w:rsidRPr="00566DE2" w:rsidR="00474648" w:rsidP="00474648" w:rsidRDefault="00474648" w14:paraId="3B547B9B" w14:textId="4E9CDC28">
            <w:pPr>
              <w:rPr>
                <w:rFonts w:asciiTheme="minorHAnsi" w:hAnsiTheme="minorHAnsi" w:cstheme="minorHAnsi"/>
              </w:rPr>
            </w:pPr>
            <w:r w:rsidRPr="00566DE2">
              <w:rPr>
                <w:rFonts w:asciiTheme="minorHAnsi" w:hAnsiTheme="minorHAnsi" w:cstheme="minorHAnsi"/>
                <w:b/>
              </w:rPr>
              <w:t>Respondents</w:t>
            </w:r>
            <w:r w:rsidRPr="00566DE2">
              <w:rPr>
                <w:rFonts w:asciiTheme="minorHAnsi" w:hAnsiTheme="minorHAnsi" w:cstheme="minorHAnsi"/>
              </w:rPr>
              <w:t xml:space="preserve">: </w:t>
            </w:r>
            <w:r w:rsidR="00575821">
              <w:rPr>
                <w:rFonts w:asciiTheme="minorHAnsi" w:hAnsiTheme="minorHAnsi" w:cstheme="minorHAnsi"/>
              </w:rPr>
              <w:t>Program s</w:t>
            </w:r>
            <w:r w:rsidRPr="00566DE2">
              <w:rPr>
                <w:rFonts w:asciiTheme="minorHAnsi" w:hAnsiTheme="minorHAnsi" w:cstheme="minorHAnsi"/>
              </w:rPr>
              <w:t>upervisors and staff</w:t>
            </w:r>
          </w:p>
          <w:p w:rsidRPr="00566DE2" w:rsidR="00474648" w:rsidP="00474648" w:rsidRDefault="00474648" w14:paraId="3316C1F3" w14:textId="77777777">
            <w:pPr>
              <w:rPr>
                <w:rFonts w:asciiTheme="minorHAnsi" w:hAnsiTheme="minorHAnsi" w:cstheme="minorHAnsi"/>
              </w:rPr>
            </w:pPr>
          </w:p>
          <w:p w:rsidRPr="00566DE2" w:rsidR="00474648" w:rsidP="00474648" w:rsidRDefault="00474648" w14:paraId="0B1B5C8D" w14:textId="77777777">
            <w:pPr>
              <w:rPr>
                <w:rFonts w:asciiTheme="minorHAnsi" w:hAnsiTheme="minorHAnsi" w:cstheme="minorHAnsi"/>
              </w:rPr>
            </w:pPr>
            <w:r w:rsidRPr="00566DE2">
              <w:rPr>
                <w:rFonts w:asciiTheme="minorHAnsi" w:hAnsiTheme="minorHAnsi" w:cstheme="minorHAnsi"/>
                <w:b/>
              </w:rPr>
              <w:t>Content</w:t>
            </w:r>
            <w:r w:rsidRPr="00566DE2">
              <w:rPr>
                <w:rFonts w:asciiTheme="minorHAnsi" w:hAnsiTheme="minorHAnsi" w:cstheme="minorHAnsi"/>
              </w:rPr>
              <w:t>: Factors that affect the development of trusting relationships between coaches and participants, role of discussions of executive skills in coaching, structure and role of paying incentives in coaching programs</w:t>
            </w:r>
          </w:p>
          <w:p w:rsidRPr="00566DE2" w:rsidR="00474648" w:rsidP="00474648" w:rsidRDefault="00474648" w14:paraId="4743DC46" w14:textId="77777777">
            <w:pPr>
              <w:rPr>
                <w:rFonts w:asciiTheme="minorHAnsi" w:hAnsiTheme="minorHAnsi" w:cstheme="minorHAnsi"/>
              </w:rPr>
            </w:pPr>
          </w:p>
          <w:p w:rsidRPr="00566DE2" w:rsidR="00474648" w:rsidP="00474648" w:rsidRDefault="00474648" w14:paraId="09A1B81A" w14:textId="77777777">
            <w:pPr>
              <w:rPr>
                <w:rFonts w:asciiTheme="minorHAnsi" w:hAnsiTheme="minorHAnsi" w:cstheme="minorHAnsi"/>
              </w:rPr>
            </w:pPr>
            <w:r w:rsidRPr="00566DE2">
              <w:rPr>
                <w:rFonts w:asciiTheme="minorHAnsi" w:hAnsiTheme="minorHAnsi" w:cstheme="minorHAnsi"/>
                <w:b/>
              </w:rPr>
              <w:t xml:space="preserve">Purpose: </w:t>
            </w:r>
            <w:r w:rsidRPr="00566DE2">
              <w:rPr>
                <w:rFonts w:asciiTheme="minorHAnsi" w:hAnsiTheme="minorHAnsi" w:cstheme="minorHAnsi"/>
                <w:bCs/>
              </w:rPr>
              <w:t xml:space="preserve">To provide context to findings from earlier implementation analysis and provide additional information relevant to practitioners looking to implement coaching effectively </w:t>
            </w:r>
          </w:p>
          <w:p w:rsidRPr="00566DE2" w:rsidR="00474648" w:rsidP="001A6750" w:rsidRDefault="00474648" w14:paraId="63BADDE9" w14:textId="77777777">
            <w:pPr>
              <w:rPr>
                <w:rFonts w:cstheme="minorHAnsi"/>
                <w:b/>
              </w:rPr>
            </w:pPr>
          </w:p>
        </w:tc>
        <w:tc>
          <w:tcPr>
            <w:tcW w:w="1620" w:type="dxa"/>
          </w:tcPr>
          <w:p w:rsidRPr="00566DE2" w:rsidR="00474648" w:rsidP="00474648" w:rsidRDefault="00474648" w14:paraId="0823E125" w14:textId="77777777">
            <w:pPr>
              <w:rPr>
                <w:rFonts w:asciiTheme="minorHAnsi" w:hAnsiTheme="minorHAnsi" w:cstheme="minorHAnsi"/>
              </w:rPr>
            </w:pPr>
            <w:r w:rsidRPr="00566DE2">
              <w:rPr>
                <w:rFonts w:asciiTheme="minorHAnsi" w:hAnsiTheme="minorHAnsi" w:cstheme="minorHAnsi"/>
                <w:b/>
                <w:bCs/>
              </w:rPr>
              <w:t xml:space="preserve">Mode: </w:t>
            </w:r>
            <w:r w:rsidRPr="00566DE2">
              <w:rPr>
                <w:rFonts w:asciiTheme="minorHAnsi" w:hAnsiTheme="minorHAnsi" w:cstheme="minorHAnsi"/>
              </w:rPr>
              <w:t>Semi-structured interview</w:t>
            </w:r>
          </w:p>
          <w:p w:rsidRPr="00566DE2" w:rsidR="00474648" w:rsidP="00474648" w:rsidRDefault="00474648" w14:paraId="63810A3A" w14:textId="77777777">
            <w:pPr>
              <w:rPr>
                <w:rFonts w:asciiTheme="minorHAnsi" w:hAnsiTheme="minorHAnsi" w:cstheme="minorHAnsi"/>
              </w:rPr>
            </w:pPr>
          </w:p>
          <w:p w:rsidRPr="00566DE2" w:rsidR="00474648" w:rsidP="00474648" w:rsidRDefault="00474648" w14:paraId="68723F57" w14:textId="77777777">
            <w:pPr>
              <w:rPr>
                <w:rFonts w:asciiTheme="minorHAnsi" w:hAnsiTheme="minorHAnsi" w:cstheme="minorHAnsi"/>
              </w:rPr>
            </w:pPr>
            <w:r w:rsidRPr="00566DE2">
              <w:rPr>
                <w:rFonts w:asciiTheme="minorHAnsi" w:hAnsiTheme="minorHAnsi" w:cstheme="minorHAnsi"/>
                <w:b/>
              </w:rPr>
              <w:t>Duration</w:t>
            </w:r>
            <w:r w:rsidRPr="00566DE2">
              <w:rPr>
                <w:rFonts w:asciiTheme="minorHAnsi" w:hAnsiTheme="minorHAnsi" w:cstheme="minorHAnsi"/>
              </w:rPr>
              <w:t>: 60 minutes</w:t>
            </w:r>
          </w:p>
          <w:p w:rsidRPr="00566DE2" w:rsidR="00474648" w:rsidP="001A6750" w:rsidRDefault="00474648" w14:paraId="12E01F05" w14:textId="77777777">
            <w:pPr>
              <w:rPr>
                <w:rFonts w:cstheme="minorHAnsi"/>
                <w:b/>
                <w:bCs/>
              </w:rPr>
            </w:pPr>
          </w:p>
        </w:tc>
      </w:tr>
      <w:tr w:rsidRPr="009139B3" w:rsidR="005E6833" w:rsidTr="00566DE2" w14:paraId="1E24C1AC" w14:textId="77777777">
        <w:tc>
          <w:tcPr>
            <w:tcW w:w="1885" w:type="dxa"/>
          </w:tcPr>
          <w:p w:rsidRPr="00566DE2" w:rsidR="005E6833" w:rsidP="005E6833" w:rsidRDefault="005E6833" w14:paraId="6839C193" w14:textId="34C9C162">
            <w:pPr>
              <w:rPr>
                <w:rFonts w:asciiTheme="minorHAnsi" w:hAnsiTheme="minorHAnsi" w:cstheme="minorHAnsi"/>
              </w:rPr>
            </w:pPr>
            <w:r w:rsidRPr="00566DE2">
              <w:rPr>
                <w:rFonts w:asciiTheme="minorHAnsi" w:hAnsiTheme="minorHAnsi" w:cstheme="minorHAnsi"/>
              </w:rPr>
              <w:t xml:space="preserve">Semi-structured </w:t>
            </w:r>
            <w:r w:rsidR="00843D84">
              <w:rPr>
                <w:rFonts w:asciiTheme="minorHAnsi" w:hAnsiTheme="minorHAnsi" w:cstheme="minorHAnsi"/>
              </w:rPr>
              <w:t>participant</w:t>
            </w:r>
            <w:r w:rsidRPr="00566DE2">
              <w:rPr>
                <w:rFonts w:asciiTheme="minorHAnsi" w:hAnsiTheme="minorHAnsi" w:cstheme="minorHAnsi"/>
              </w:rPr>
              <w:t xml:space="preserve"> interviews</w:t>
            </w:r>
          </w:p>
        </w:tc>
        <w:tc>
          <w:tcPr>
            <w:tcW w:w="1350" w:type="dxa"/>
          </w:tcPr>
          <w:p w:rsidRPr="00566DE2" w:rsidR="005E6833" w:rsidP="005E6833" w:rsidRDefault="005E6833" w14:paraId="73576692" w14:textId="50D1EA54">
            <w:pPr>
              <w:rPr>
                <w:rFonts w:asciiTheme="minorHAnsi" w:hAnsiTheme="minorHAnsi" w:cstheme="minorHAnsi"/>
              </w:rPr>
            </w:pPr>
            <w:r w:rsidRPr="00566DE2">
              <w:rPr>
                <w:rFonts w:asciiTheme="minorHAnsi" w:hAnsiTheme="minorHAnsi" w:cstheme="minorHAnsi"/>
              </w:rPr>
              <w:t>FaDSS and Goal4 It! topic guide</w:t>
            </w:r>
          </w:p>
          <w:p w:rsidRPr="00566DE2" w:rsidR="005E6833" w:rsidP="005E6833" w:rsidRDefault="005E6833" w14:paraId="201775CE" w14:textId="0D7E16D8">
            <w:pPr>
              <w:rPr>
                <w:rFonts w:asciiTheme="minorHAnsi" w:hAnsiTheme="minorHAnsi" w:cstheme="minorHAnsi"/>
              </w:rPr>
            </w:pPr>
            <w:r w:rsidRPr="00566DE2">
              <w:rPr>
                <w:rFonts w:asciiTheme="minorHAnsi" w:hAnsiTheme="minorHAnsi" w:cstheme="minorHAnsi"/>
              </w:rPr>
              <w:t>LIFT topic guide</w:t>
            </w:r>
          </w:p>
          <w:p w:rsidRPr="00566DE2" w:rsidR="005E6833" w:rsidP="005E6833" w:rsidRDefault="005E6833" w14:paraId="64B0F8B4" w14:textId="25FBF499">
            <w:pPr>
              <w:rPr>
                <w:rFonts w:asciiTheme="minorHAnsi" w:hAnsiTheme="minorHAnsi" w:cstheme="minorHAnsi"/>
              </w:rPr>
            </w:pPr>
            <w:r w:rsidRPr="00566DE2">
              <w:rPr>
                <w:rFonts w:asciiTheme="minorHAnsi" w:hAnsiTheme="minorHAnsi" w:cstheme="minorHAnsi"/>
              </w:rPr>
              <w:t>MyGoals topic guide</w:t>
            </w:r>
          </w:p>
          <w:p w:rsidRPr="00566DE2" w:rsidR="005E6833" w:rsidP="005E6833" w:rsidRDefault="005E6833" w14:paraId="0AC41579" w14:textId="1F2B7B2A">
            <w:pPr>
              <w:rPr>
                <w:rFonts w:asciiTheme="minorHAnsi" w:hAnsiTheme="minorHAnsi" w:cstheme="minorHAnsi"/>
              </w:rPr>
            </w:pPr>
          </w:p>
        </w:tc>
        <w:tc>
          <w:tcPr>
            <w:tcW w:w="5490" w:type="dxa"/>
          </w:tcPr>
          <w:p w:rsidRPr="00566DE2" w:rsidR="005E6833" w:rsidP="005E6833" w:rsidRDefault="005E6833" w14:paraId="198CE5D3" w14:textId="651BAE10">
            <w:pPr>
              <w:rPr>
                <w:rFonts w:asciiTheme="minorHAnsi" w:hAnsiTheme="minorHAnsi" w:cstheme="minorHAnsi"/>
              </w:rPr>
            </w:pPr>
            <w:r w:rsidRPr="00566DE2">
              <w:rPr>
                <w:rFonts w:asciiTheme="minorHAnsi" w:hAnsiTheme="minorHAnsi" w:cstheme="minorHAnsi"/>
                <w:b/>
              </w:rPr>
              <w:t>Respondents</w:t>
            </w:r>
            <w:r w:rsidRPr="00566DE2">
              <w:rPr>
                <w:rFonts w:asciiTheme="minorHAnsi" w:hAnsiTheme="minorHAnsi" w:cstheme="minorHAnsi"/>
              </w:rPr>
              <w:t xml:space="preserve">: </w:t>
            </w:r>
            <w:r w:rsidR="004E1640">
              <w:rPr>
                <w:rFonts w:asciiTheme="minorHAnsi" w:hAnsiTheme="minorHAnsi" w:cstheme="minorHAnsi"/>
              </w:rPr>
              <w:t>S</w:t>
            </w:r>
            <w:r w:rsidRPr="00225B15" w:rsidR="004E1640">
              <w:rPr>
                <w:rFonts w:asciiTheme="minorHAnsi" w:hAnsiTheme="minorHAnsi" w:cstheme="minorHAnsi"/>
              </w:rPr>
              <w:t>tudy participants</w:t>
            </w:r>
            <w:r w:rsidR="004E1640">
              <w:rPr>
                <w:rFonts w:asciiTheme="minorHAnsi" w:hAnsiTheme="minorHAnsi" w:cstheme="minorHAnsi"/>
              </w:rPr>
              <w:t xml:space="preserve"> for the FaDSS, Goal4 It!, LIFT, MyGoals Baltimore, and MyGoals Houston interventions</w:t>
            </w:r>
          </w:p>
          <w:p w:rsidRPr="00566DE2" w:rsidR="005E6833" w:rsidP="00D41986" w:rsidRDefault="005E6833" w14:paraId="413042E0" w14:textId="7C84EB6E">
            <w:pPr>
              <w:rPr>
                <w:rFonts w:asciiTheme="minorHAnsi" w:hAnsiTheme="minorHAnsi" w:cstheme="minorHAnsi"/>
              </w:rPr>
            </w:pPr>
            <w:r w:rsidRPr="00566DE2">
              <w:rPr>
                <w:rFonts w:asciiTheme="minorHAnsi" w:hAnsiTheme="minorHAnsi" w:cstheme="minorHAnsi"/>
                <w:b/>
              </w:rPr>
              <w:t>Content</w:t>
            </w:r>
            <w:r w:rsidRPr="00566DE2">
              <w:rPr>
                <w:rFonts w:asciiTheme="minorHAnsi" w:hAnsiTheme="minorHAnsi" w:cstheme="minorHAnsi"/>
              </w:rPr>
              <w:t>:</w:t>
            </w:r>
            <w:r w:rsidRPr="00566DE2" w:rsidR="00D22795">
              <w:rPr>
                <w:rFonts w:asciiTheme="minorHAnsi" w:hAnsiTheme="minorHAnsi" w:cstheme="minorHAnsi"/>
              </w:rPr>
              <w:t xml:space="preserve"> </w:t>
            </w:r>
            <w:r w:rsidRPr="00566DE2" w:rsidR="005E158D">
              <w:rPr>
                <w:rFonts w:asciiTheme="minorHAnsi" w:hAnsiTheme="minorHAnsi" w:cstheme="minorHAnsi"/>
              </w:rPr>
              <w:t>Factors that affect the development of trusting relationships between coaches and participants, role of discussions of executive skills in coaching, structure and role of paying incentives in coaching programs</w:t>
            </w:r>
            <w:r w:rsidR="0043713F">
              <w:rPr>
                <w:rFonts w:asciiTheme="minorHAnsi" w:hAnsiTheme="minorHAnsi" w:cstheme="minorHAnsi"/>
              </w:rPr>
              <w:t>; topic guide content varies by intervention based on the program model</w:t>
            </w:r>
          </w:p>
          <w:p w:rsidRPr="00566DE2" w:rsidR="005E6833" w:rsidP="005E6833" w:rsidRDefault="005E6833" w14:paraId="73826450" w14:textId="77777777">
            <w:pPr>
              <w:rPr>
                <w:rFonts w:asciiTheme="minorHAnsi" w:hAnsiTheme="minorHAnsi" w:cstheme="minorHAnsi"/>
              </w:rPr>
            </w:pPr>
          </w:p>
          <w:p w:rsidRPr="00566DE2" w:rsidR="005E6833" w:rsidP="005E6833" w:rsidRDefault="005A24B4" w14:paraId="1F787A1B" w14:textId="6C15945B">
            <w:pPr>
              <w:rPr>
                <w:rFonts w:asciiTheme="minorHAnsi" w:hAnsiTheme="minorHAnsi" w:cstheme="minorHAnsi"/>
                <w:b/>
              </w:rPr>
            </w:pPr>
            <w:r w:rsidRPr="00566DE2">
              <w:rPr>
                <w:rFonts w:asciiTheme="minorHAnsi" w:hAnsiTheme="minorHAnsi" w:cstheme="minorHAnsi"/>
                <w:b/>
              </w:rPr>
              <w:t xml:space="preserve">Purpose: </w:t>
            </w:r>
            <w:r w:rsidRPr="00566DE2">
              <w:rPr>
                <w:rFonts w:asciiTheme="minorHAnsi" w:hAnsiTheme="minorHAnsi" w:cstheme="minorHAnsi"/>
                <w:bCs/>
              </w:rPr>
              <w:t>To provide context to findings from earlier implementation analysis and provide additional information relevant to practitioners looking to implement coaching effectively</w:t>
            </w:r>
            <w:r w:rsidRPr="00566DE2">
              <w:rPr>
                <w:rFonts w:asciiTheme="minorHAnsi" w:hAnsiTheme="minorHAnsi" w:cstheme="minorHAnsi"/>
                <w:b/>
              </w:rPr>
              <w:t xml:space="preserve"> </w:t>
            </w:r>
          </w:p>
        </w:tc>
        <w:tc>
          <w:tcPr>
            <w:tcW w:w="1620" w:type="dxa"/>
          </w:tcPr>
          <w:p w:rsidRPr="00566DE2" w:rsidR="005E6833" w:rsidP="005E6833" w:rsidRDefault="005E6833" w14:paraId="4F932B0F" w14:textId="75D5F94A">
            <w:pPr>
              <w:rPr>
                <w:rFonts w:asciiTheme="minorHAnsi" w:hAnsiTheme="minorHAnsi" w:cstheme="minorHAnsi"/>
              </w:rPr>
            </w:pPr>
            <w:r w:rsidRPr="00566DE2">
              <w:rPr>
                <w:rFonts w:asciiTheme="minorHAnsi" w:hAnsiTheme="minorHAnsi" w:cstheme="minorHAnsi"/>
                <w:b/>
                <w:bCs/>
              </w:rPr>
              <w:t xml:space="preserve">Mode: </w:t>
            </w:r>
            <w:r w:rsidRPr="00566DE2">
              <w:rPr>
                <w:rFonts w:asciiTheme="minorHAnsi" w:hAnsiTheme="minorHAnsi" w:cstheme="minorHAnsi"/>
              </w:rPr>
              <w:t>Semi-structured interview</w:t>
            </w:r>
          </w:p>
          <w:p w:rsidRPr="00566DE2" w:rsidR="005E6833" w:rsidP="005E6833" w:rsidRDefault="005E6833" w14:paraId="5BE7ACD3" w14:textId="77777777">
            <w:pPr>
              <w:rPr>
                <w:rFonts w:asciiTheme="minorHAnsi" w:hAnsiTheme="minorHAnsi" w:cstheme="minorHAnsi"/>
              </w:rPr>
            </w:pPr>
          </w:p>
          <w:p w:rsidRPr="00566DE2" w:rsidR="005E6833" w:rsidP="005E6833" w:rsidRDefault="005E6833" w14:paraId="61DDF457" w14:textId="7EF6483C">
            <w:pPr>
              <w:rPr>
                <w:rFonts w:asciiTheme="minorHAnsi" w:hAnsiTheme="minorHAnsi" w:cstheme="minorHAnsi"/>
              </w:rPr>
            </w:pPr>
            <w:r w:rsidRPr="00566DE2">
              <w:rPr>
                <w:rFonts w:asciiTheme="minorHAnsi" w:hAnsiTheme="minorHAnsi" w:cstheme="minorHAnsi"/>
                <w:b/>
              </w:rPr>
              <w:t>Duration</w:t>
            </w:r>
            <w:r w:rsidRPr="00566DE2">
              <w:rPr>
                <w:rFonts w:asciiTheme="minorHAnsi" w:hAnsiTheme="minorHAnsi" w:cstheme="minorHAnsi"/>
              </w:rPr>
              <w:t xml:space="preserve">: </w:t>
            </w:r>
            <w:r w:rsidRPr="00566DE2" w:rsidR="004E27AE">
              <w:rPr>
                <w:rFonts w:asciiTheme="minorHAnsi" w:hAnsiTheme="minorHAnsi" w:cstheme="minorHAnsi"/>
              </w:rPr>
              <w:t>90</w:t>
            </w:r>
            <w:r w:rsidRPr="00566DE2">
              <w:rPr>
                <w:rFonts w:asciiTheme="minorHAnsi" w:hAnsiTheme="minorHAnsi" w:cstheme="minorHAnsi"/>
              </w:rPr>
              <w:t xml:space="preserve"> minutes</w:t>
            </w:r>
            <w:r w:rsidRPr="00566DE2" w:rsidR="008E1BF4">
              <w:rPr>
                <w:rFonts w:asciiTheme="minorHAnsi" w:hAnsiTheme="minorHAnsi" w:cstheme="minorHAnsi"/>
              </w:rPr>
              <w:t xml:space="preserve"> </w:t>
            </w:r>
            <w:r w:rsidR="00843D84">
              <w:rPr>
                <w:rFonts w:asciiTheme="minorHAnsi" w:hAnsiTheme="minorHAnsi" w:cstheme="minorHAnsi"/>
              </w:rPr>
              <w:t xml:space="preserve">for </w:t>
            </w:r>
            <w:r w:rsidRPr="00566DE2" w:rsidR="008E1BF4">
              <w:rPr>
                <w:rFonts w:asciiTheme="minorHAnsi" w:hAnsiTheme="minorHAnsi" w:cstheme="minorHAnsi"/>
              </w:rPr>
              <w:t>FaDSS and Goal4 It!</w:t>
            </w:r>
          </w:p>
          <w:p w:rsidRPr="00566DE2" w:rsidR="008E1BF4" w:rsidP="005E6833" w:rsidRDefault="00FE4EE0" w14:paraId="7E509B20" w14:textId="394599E5">
            <w:pPr>
              <w:rPr>
                <w:rFonts w:asciiTheme="minorHAnsi" w:hAnsiTheme="minorHAnsi" w:cstheme="minorHAnsi"/>
              </w:rPr>
            </w:pPr>
            <w:r w:rsidRPr="00566DE2">
              <w:rPr>
                <w:rFonts w:asciiTheme="minorHAnsi" w:hAnsiTheme="minorHAnsi" w:cstheme="minorHAnsi"/>
              </w:rPr>
              <w:t xml:space="preserve">120 minutes </w:t>
            </w:r>
            <w:r w:rsidR="00843D84">
              <w:rPr>
                <w:rFonts w:asciiTheme="minorHAnsi" w:hAnsiTheme="minorHAnsi" w:cstheme="minorHAnsi"/>
              </w:rPr>
              <w:t xml:space="preserve">for </w:t>
            </w:r>
            <w:r w:rsidRPr="00566DE2">
              <w:rPr>
                <w:rFonts w:asciiTheme="minorHAnsi" w:hAnsiTheme="minorHAnsi" w:cstheme="minorHAnsi"/>
              </w:rPr>
              <w:t>LIFT</w:t>
            </w:r>
          </w:p>
          <w:p w:rsidRPr="00566DE2" w:rsidR="00FE4EE0" w:rsidP="005E6833" w:rsidRDefault="00FE4EE0" w14:paraId="252FDB24" w14:textId="3B27EF88">
            <w:pPr>
              <w:rPr>
                <w:rFonts w:asciiTheme="minorHAnsi" w:hAnsiTheme="minorHAnsi" w:cstheme="minorHAnsi"/>
              </w:rPr>
            </w:pPr>
            <w:r w:rsidRPr="00566DE2">
              <w:rPr>
                <w:rFonts w:asciiTheme="minorHAnsi" w:hAnsiTheme="minorHAnsi" w:cstheme="minorHAnsi"/>
              </w:rPr>
              <w:t>150 minutes</w:t>
            </w:r>
            <w:r w:rsidR="00843D84">
              <w:rPr>
                <w:rFonts w:asciiTheme="minorHAnsi" w:hAnsiTheme="minorHAnsi" w:cstheme="minorHAnsi"/>
              </w:rPr>
              <w:t xml:space="preserve"> for</w:t>
            </w:r>
            <w:r w:rsidRPr="00566DE2">
              <w:rPr>
                <w:rFonts w:asciiTheme="minorHAnsi" w:hAnsiTheme="minorHAnsi" w:cstheme="minorHAnsi"/>
              </w:rPr>
              <w:t xml:space="preserve"> MyGoals</w:t>
            </w:r>
          </w:p>
          <w:p w:rsidRPr="00566DE2" w:rsidR="005E6833" w:rsidP="005E6833" w:rsidRDefault="005E6833" w14:paraId="6BF12BA8" w14:textId="77777777">
            <w:pPr>
              <w:rPr>
                <w:rFonts w:asciiTheme="minorHAnsi" w:hAnsiTheme="minorHAnsi" w:cstheme="minorHAnsi"/>
                <w:b/>
                <w:bCs/>
              </w:rPr>
            </w:pPr>
          </w:p>
        </w:tc>
      </w:tr>
      <w:bookmarkEnd w:id="3"/>
    </w:tbl>
    <w:p w:rsidR="00B756A6" w:rsidP="00B756A6" w:rsidRDefault="00B756A6" w14:paraId="1B3A6D02" w14:textId="48E719E6">
      <w:pPr>
        <w:pStyle w:val="CommentText"/>
        <w:spacing w:after="0"/>
        <w:rPr>
          <w:iCs/>
          <w:vertAlign w:val="superscript"/>
        </w:rPr>
      </w:pPr>
    </w:p>
    <w:p w:rsidRPr="00757789" w:rsidR="00813E0E" w:rsidP="004E1640" w:rsidRDefault="001D1C73" w14:paraId="6279F64A" w14:textId="77777777">
      <w:pPr>
        <w:spacing w:after="60" w:line="240" w:lineRule="auto"/>
        <w:rPr>
          <w:b/>
          <w:bCs/>
          <w:i/>
        </w:rPr>
      </w:pPr>
      <w:r w:rsidRPr="00757789">
        <w:rPr>
          <w:b/>
          <w:bCs/>
          <w:i/>
        </w:rPr>
        <w:t>Other Data Sources and Uses of Information</w:t>
      </w:r>
    </w:p>
    <w:p w:rsidR="0004795E" w:rsidP="00566DE2" w:rsidRDefault="0004795E" w14:paraId="4F6E45A6" w14:textId="5D203849">
      <w:pPr>
        <w:pStyle w:val="paragraph0"/>
        <w:spacing w:before="0" w:beforeAutospacing="0" w:after="240" w:afterAutospacing="0"/>
        <w:textAlignment w:val="baseline"/>
        <w:rPr>
          <w:rStyle w:val="normaltextrun"/>
          <w:rFonts w:asciiTheme="minorHAnsi" w:hAnsiTheme="minorHAnsi" w:cstheme="minorHAnsi"/>
          <w:sz w:val="22"/>
          <w:szCs w:val="22"/>
        </w:rPr>
      </w:pPr>
      <w:bookmarkStart w:name="_Hlk64987640" w:id="4"/>
      <w:r w:rsidRPr="00566DE2">
        <w:rPr>
          <w:rStyle w:val="normaltextrun"/>
          <w:rFonts w:asciiTheme="minorHAnsi" w:hAnsiTheme="minorHAnsi" w:cstheme="minorHAnsi"/>
          <w:sz w:val="22"/>
          <w:szCs w:val="22"/>
        </w:rPr>
        <w:t>The Employment Coaching follow</w:t>
      </w:r>
      <w:r w:rsidR="008D3BA0">
        <w:rPr>
          <w:rStyle w:val="normaltextrun"/>
          <w:rFonts w:asciiTheme="minorHAnsi" w:hAnsiTheme="minorHAnsi" w:cstheme="minorHAnsi"/>
          <w:sz w:val="22"/>
          <w:szCs w:val="22"/>
        </w:rPr>
        <w:t>-</w:t>
      </w:r>
      <w:r w:rsidRPr="00566DE2">
        <w:rPr>
          <w:rStyle w:val="normaltextrun"/>
          <w:rFonts w:asciiTheme="minorHAnsi" w:hAnsiTheme="minorHAnsi" w:cstheme="minorHAnsi"/>
          <w:sz w:val="22"/>
          <w:szCs w:val="22"/>
        </w:rPr>
        <w:t xml:space="preserve">up </w:t>
      </w:r>
      <w:r w:rsidR="00757230">
        <w:rPr>
          <w:rStyle w:val="normaltextrun"/>
          <w:rFonts w:asciiTheme="minorHAnsi" w:hAnsiTheme="minorHAnsi" w:cstheme="minorHAnsi"/>
          <w:sz w:val="22"/>
          <w:szCs w:val="22"/>
        </w:rPr>
        <w:t xml:space="preserve">survey </w:t>
      </w:r>
      <w:r w:rsidR="008D3BA0">
        <w:rPr>
          <w:rStyle w:val="normaltextrun"/>
          <w:rFonts w:asciiTheme="minorHAnsi" w:hAnsiTheme="minorHAnsi" w:cstheme="minorHAnsi"/>
          <w:sz w:val="22"/>
          <w:szCs w:val="22"/>
        </w:rPr>
        <w:t>data collections</w:t>
      </w:r>
      <w:r w:rsidRPr="00566DE2" w:rsidR="008D3BA0">
        <w:rPr>
          <w:rStyle w:val="normaltextrun"/>
          <w:rFonts w:asciiTheme="minorHAnsi" w:hAnsiTheme="minorHAnsi" w:cstheme="minorHAnsi"/>
          <w:sz w:val="22"/>
          <w:szCs w:val="22"/>
        </w:rPr>
        <w:t xml:space="preserve"> </w:t>
      </w:r>
      <w:r w:rsidRPr="00566DE2">
        <w:rPr>
          <w:rStyle w:val="normaltextrun"/>
          <w:rFonts w:asciiTheme="minorHAnsi" w:hAnsiTheme="minorHAnsi" w:cstheme="minorHAnsi"/>
          <w:sz w:val="22"/>
          <w:szCs w:val="22"/>
        </w:rPr>
        <w:t xml:space="preserve">will continue to </w:t>
      </w:r>
      <w:r w:rsidR="008D3BA0">
        <w:rPr>
          <w:rStyle w:val="normaltextrun"/>
          <w:rFonts w:asciiTheme="minorHAnsi" w:hAnsiTheme="minorHAnsi" w:cstheme="minorHAnsi"/>
          <w:sz w:val="22"/>
          <w:szCs w:val="22"/>
        </w:rPr>
        <w:t>assess</w:t>
      </w:r>
      <w:r w:rsidRPr="00566DE2" w:rsidR="008D3BA0">
        <w:rPr>
          <w:rStyle w:val="normaltextrun"/>
          <w:rFonts w:asciiTheme="minorHAnsi" w:hAnsiTheme="minorHAnsi" w:cstheme="minorHAnsi"/>
          <w:sz w:val="22"/>
          <w:szCs w:val="22"/>
        </w:rPr>
        <w:t xml:space="preserve"> </w:t>
      </w:r>
      <w:r w:rsidRPr="00566DE2">
        <w:rPr>
          <w:rStyle w:val="normaltextrun"/>
          <w:rFonts w:asciiTheme="minorHAnsi" w:hAnsiTheme="minorHAnsi" w:cstheme="minorHAnsi"/>
          <w:sz w:val="22"/>
          <w:szCs w:val="22"/>
        </w:rPr>
        <w:t xml:space="preserve">administrative records data for outcomes of interest; this information is already being collected and represents no additional burden for participants or program staff. The project team will collect administrative data on quarterly earnings, receipt of unemployment insurance, and new hires on all study participants from the National Directory of New Hires (NDNH), which is maintained by the Office of Child Support Enforcement at ACF. </w:t>
      </w:r>
      <w:r w:rsidRPr="00566DE2" w:rsidR="0081144C">
        <w:rPr>
          <w:rStyle w:val="normaltextrun"/>
          <w:rFonts w:asciiTheme="minorHAnsi" w:hAnsiTheme="minorHAnsi" w:cstheme="minorHAnsi"/>
          <w:sz w:val="22"/>
          <w:szCs w:val="22"/>
        </w:rPr>
        <w:t>T</w:t>
      </w:r>
      <w:r w:rsidRPr="00566DE2">
        <w:rPr>
          <w:rStyle w:val="normaltextrun"/>
          <w:rFonts w:asciiTheme="minorHAnsi" w:hAnsiTheme="minorHAnsi" w:cstheme="minorHAnsi"/>
          <w:sz w:val="22"/>
          <w:szCs w:val="22"/>
        </w:rPr>
        <w:t xml:space="preserve">he project team will also collect records for study participants on TANF </w:t>
      </w:r>
      <w:r w:rsidRPr="00566DE2" w:rsidR="00883923">
        <w:rPr>
          <w:rStyle w:val="normaltextrun"/>
          <w:rFonts w:asciiTheme="minorHAnsi" w:hAnsiTheme="minorHAnsi" w:cstheme="minorHAnsi"/>
          <w:sz w:val="22"/>
          <w:szCs w:val="22"/>
        </w:rPr>
        <w:t xml:space="preserve">benefit </w:t>
      </w:r>
      <w:r w:rsidRPr="00566DE2" w:rsidR="005E7706">
        <w:rPr>
          <w:rStyle w:val="normaltextrun"/>
          <w:rFonts w:asciiTheme="minorHAnsi" w:hAnsiTheme="minorHAnsi" w:cstheme="minorHAnsi"/>
          <w:sz w:val="22"/>
          <w:szCs w:val="22"/>
        </w:rPr>
        <w:t>receipt from</w:t>
      </w:r>
      <w:r w:rsidRPr="00566DE2">
        <w:rPr>
          <w:rStyle w:val="normaltextrun"/>
          <w:rFonts w:asciiTheme="minorHAnsi" w:hAnsiTheme="minorHAnsi" w:cstheme="minorHAnsi"/>
          <w:sz w:val="22"/>
          <w:szCs w:val="22"/>
        </w:rPr>
        <w:t xml:space="preserve"> state or local TANF agencies</w:t>
      </w:r>
      <w:r w:rsidRPr="00566DE2" w:rsidR="00883923">
        <w:rPr>
          <w:rStyle w:val="normaltextrun"/>
          <w:rFonts w:asciiTheme="minorHAnsi" w:hAnsiTheme="minorHAnsi" w:cstheme="minorHAnsi"/>
          <w:sz w:val="22"/>
          <w:szCs w:val="22"/>
        </w:rPr>
        <w:t xml:space="preserve"> and, where available from the same agency, Supplemental Nutrition Assistance Program (SNAP) benefit receipt</w:t>
      </w:r>
      <w:r w:rsidRPr="00566DE2">
        <w:rPr>
          <w:rStyle w:val="normaltextrun"/>
          <w:rFonts w:asciiTheme="minorHAnsi" w:hAnsiTheme="minorHAnsi" w:cstheme="minorHAnsi"/>
          <w:sz w:val="22"/>
          <w:szCs w:val="22"/>
        </w:rPr>
        <w:t xml:space="preserve">. </w:t>
      </w:r>
    </w:p>
    <w:p w:rsidRPr="00566DE2" w:rsidR="00786CD8" w:rsidP="004E1640" w:rsidRDefault="00786CD8" w14:paraId="381C3DB5" w14:textId="77777777">
      <w:pPr>
        <w:pStyle w:val="paragraph0"/>
        <w:spacing w:before="0" w:beforeAutospacing="0" w:after="0" w:afterAutospacing="0"/>
        <w:textAlignment w:val="baseline"/>
        <w:rPr>
          <w:rFonts w:asciiTheme="minorHAnsi" w:hAnsiTheme="minorHAnsi" w:cstheme="minorHAnsi"/>
          <w:sz w:val="22"/>
          <w:szCs w:val="22"/>
        </w:rPr>
      </w:pPr>
    </w:p>
    <w:bookmarkEnd w:id="4"/>
    <w:p w:rsidRPr="00566DE2" w:rsidR="001D1C73" w:rsidP="004E1640" w:rsidRDefault="001D1C73" w14:paraId="5174F453" w14:textId="77777777">
      <w:pPr>
        <w:spacing w:after="120" w:line="240" w:lineRule="auto"/>
        <w:rPr>
          <w:b/>
        </w:rPr>
      </w:pPr>
      <w:r w:rsidRPr="00566DE2">
        <w:rPr>
          <w:b/>
        </w:rPr>
        <w:t>A3</w:t>
      </w:r>
      <w:r w:rsidRPr="00566DE2">
        <w:t>.</w:t>
      </w:r>
      <w:r w:rsidRPr="00566DE2">
        <w:tab/>
      </w:r>
      <w:r w:rsidRPr="00566DE2">
        <w:rPr>
          <w:b/>
        </w:rPr>
        <w:t>Use of Information Technology to Reduce Burden</w:t>
      </w:r>
    </w:p>
    <w:p w:rsidRPr="00566DE2" w:rsidR="00E77C52" w:rsidP="004E4C1D" w:rsidRDefault="00E77C52" w14:paraId="14841846" w14:textId="5A024CBE">
      <w:pPr>
        <w:pStyle w:val="NormalSS"/>
        <w:ind w:firstLine="0"/>
        <w:rPr>
          <w:rFonts w:asciiTheme="minorHAnsi" w:hAnsiTheme="minorHAnsi" w:cstheme="minorHAnsi"/>
          <w:sz w:val="22"/>
          <w:szCs w:val="22"/>
        </w:rPr>
      </w:pPr>
      <w:r w:rsidRPr="00566DE2">
        <w:rPr>
          <w:rFonts w:asciiTheme="minorHAnsi" w:hAnsiTheme="minorHAnsi" w:cstheme="minorHAnsi"/>
          <w:sz w:val="22"/>
          <w:szCs w:val="22"/>
        </w:rPr>
        <w:t xml:space="preserve">This evaluation is using multiple applications of information technology to reduce burden. For example, the follow-up surveys are hosted on the </w:t>
      </w:r>
      <w:r w:rsidR="008D3BA0">
        <w:rPr>
          <w:rFonts w:asciiTheme="minorHAnsi" w:hAnsiTheme="minorHAnsi" w:cstheme="minorHAnsi"/>
          <w:sz w:val="22"/>
          <w:szCs w:val="22"/>
        </w:rPr>
        <w:t>i</w:t>
      </w:r>
      <w:r w:rsidRPr="00566DE2">
        <w:rPr>
          <w:rFonts w:asciiTheme="minorHAnsi" w:hAnsiTheme="minorHAnsi" w:cstheme="minorHAnsi"/>
          <w:sz w:val="22"/>
          <w:szCs w:val="22"/>
        </w:rPr>
        <w:t xml:space="preserve">nternet via a live secure web-link. To reduce burden, the surveys employ the following: (1) secure log-ins and passwords so that respondents can save and complete the survey in multiple sessions, (2) drop-down response categories so that respondents can quickly select from a list, (3) dynamic questions and automated skip patterns so that respondents only see those </w:t>
      </w:r>
      <w:r w:rsidRPr="00566DE2">
        <w:rPr>
          <w:rFonts w:asciiTheme="minorHAnsi" w:hAnsiTheme="minorHAnsi" w:cstheme="minorHAnsi"/>
          <w:sz w:val="22"/>
          <w:szCs w:val="22"/>
        </w:rPr>
        <w:lastRenderedPageBreak/>
        <w:t>questions that apply to them (including those based on answers provided previously in the survey), and (4) logical rules for responses so that respondents’ answers are restricted to those intended by the question.</w:t>
      </w:r>
    </w:p>
    <w:p w:rsidRPr="00566DE2" w:rsidR="00E77C52" w:rsidP="004E4C1D" w:rsidRDefault="00E77C52" w14:paraId="2AA40501" w14:textId="278948C2">
      <w:pPr>
        <w:pStyle w:val="NormalSS"/>
        <w:ind w:firstLine="0"/>
        <w:rPr>
          <w:rFonts w:asciiTheme="minorHAnsi" w:hAnsiTheme="minorHAnsi" w:cstheme="minorHAnsi"/>
          <w:sz w:val="22"/>
          <w:szCs w:val="22"/>
        </w:rPr>
      </w:pPr>
      <w:r w:rsidRPr="00566DE2">
        <w:rPr>
          <w:rFonts w:asciiTheme="minorHAnsi" w:hAnsiTheme="minorHAnsi" w:cstheme="minorHAnsi"/>
          <w:sz w:val="22"/>
          <w:szCs w:val="22"/>
        </w:rPr>
        <w:t xml:space="preserve">Respondents also have the option to complete the follow-up surveys using computer-assisted telephone interviewing (CATI). CATI reduces respondent burden, relative to interviewing via telephone without a computer, by automating skip logic and question adaptations and by eliminating delays caused when interviewers must determine the next question to ask. CATI is programmed to accept only valid responses based on preprogrammed checks for logical consistency across answers. </w:t>
      </w:r>
    </w:p>
    <w:p w:rsidR="007B6EBA" w:rsidP="004E4C1D" w:rsidRDefault="007B6EBA" w14:paraId="58B90421" w14:textId="71F195A5">
      <w:pPr>
        <w:pStyle w:val="NormalSS"/>
        <w:ind w:firstLine="0"/>
        <w:rPr>
          <w:rFonts w:asciiTheme="minorHAnsi" w:hAnsiTheme="minorHAnsi" w:cstheme="minorHAnsi"/>
          <w:sz w:val="22"/>
          <w:szCs w:val="22"/>
        </w:rPr>
      </w:pPr>
      <w:r w:rsidRPr="00566DE2">
        <w:rPr>
          <w:rFonts w:asciiTheme="minorHAnsi" w:hAnsiTheme="minorHAnsi" w:cstheme="minorHAnsi"/>
          <w:sz w:val="22"/>
          <w:szCs w:val="22"/>
        </w:rPr>
        <w:t xml:space="preserve">The </w:t>
      </w:r>
      <w:r w:rsidRPr="00566DE2" w:rsidR="001D1D9A">
        <w:rPr>
          <w:rFonts w:asciiTheme="minorHAnsi" w:hAnsiTheme="minorHAnsi" w:cstheme="minorHAnsi"/>
          <w:sz w:val="22"/>
          <w:szCs w:val="22"/>
        </w:rPr>
        <w:t xml:space="preserve">proposed </w:t>
      </w:r>
      <w:r w:rsidRPr="00566DE2">
        <w:rPr>
          <w:rFonts w:asciiTheme="minorHAnsi" w:hAnsiTheme="minorHAnsi" w:cstheme="minorHAnsi"/>
          <w:sz w:val="22"/>
          <w:szCs w:val="22"/>
        </w:rPr>
        <w:t xml:space="preserve">semi-structured interviews will be conducted either </w:t>
      </w:r>
      <w:r w:rsidRPr="00566DE2" w:rsidR="001D1D9A">
        <w:rPr>
          <w:rFonts w:asciiTheme="minorHAnsi" w:hAnsiTheme="minorHAnsi" w:cstheme="minorHAnsi"/>
          <w:sz w:val="22"/>
          <w:szCs w:val="22"/>
        </w:rPr>
        <w:t xml:space="preserve">in-person, </w:t>
      </w:r>
      <w:r w:rsidRPr="00566DE2">
        <w:rPr>
          <w:rFonts w:asciiTheme="minorHAnsi" w:hAnsiTheme="minorHAnsi" w:cstheme="minorHAnsi"/>
          <w:sz w:val="22"/>
          <w:szCs w:val="22"/>
        </w:rPr>
        <w:t>by video</w:t>
      </w:r>
      <w:r w:rsidR="008D3BA0">
        <w:rPr>
          <w:rFonts w:asciiTheme="minorHAnsi" w:hAnsiTheme="minorHAnsi" w:cstheme="minorHAnsi"/>
          <w:sz w:val="22"/>
          <w:szCs w:val="22"/>
        </w:rPr>
        <w:t>,</w:t>
      </w:r>
      <w:r w:rsidRPr="00566DE2">
        <w:rPr>
          <w:rFonts w:asciiTheme="minorHAnsi" w:hAnsiTheme="minorHAnsi" w:cstheme="minorHAnsi"/>
          <w:sz w:val="22"/>
          <w:szCs w:val="22"/>
        </w:rPr>
        <w:t xml:space="preserve"> or by phone, according to each respondent’s preference</w:t>
      </w:r>
      <w:r w:rsidRPr="00566DE2" w:rsidR="003B38E3">
        <w:rPr>
          <w:rFonts w:asciiTheme="minorHAnsi" w:hAnsiTheme="minorHAnsi" w:cstheme="minorHAnsi"/>
          <w:sz w:val="22"/>
          <w:szCs w:val="22"/>
        </w:rPr>
        <w:t xml:space="preserve"> and any health concerns</w:t>
      </w:r>
      <w:r w:rsidRPr="00566DE2">
        <w:rPr>
          <w:rFonts w:asciiTheme="minorHAnsi" w:hAnsiTheme="minorHAnsi" w:cstheme="minorHAnsi"/>
          <w:sz w:val="22"/>
          <w:szCs w:val="22"/>
        </w:rPr>
        <w:t>. The use of technology in this case is intended to both reduce burden on respondents</w:t>
      </w:r>
      <w:r w:rsidRPr="00566DE2" w:rsidR="003B38E3">
        <w:rPr>
          <w:rFonts w:asciiTheme="minorHAnsi" w:hAnsiTheme="minorHAnsi" w:cstheme="minorHAnsi"/>
          <w:sz w:val="22"/>
          <w:szCs w:val="22"/>
        </w:rPr>
        <w:t xml:space="preserve"> and address </w:t>
      </w:r>
      <w:r w:rsidR="004E1640">
        <w:rPr>
          <w:rFonts w:asciiTheme="minorHAnsi" w:hAnsiTheme="minorHAnsi" w:cstheme="minorHAnsi"/>
          <w:sz w:val="22"/>
          <w:szCs w:val="22"/>
        </w:rPr>
        <w:t>potential participant concerns related to COVID-19</w:t>
      </w:r>
      <w:r w:rsidRPr="00566DE2">
        <w:rPr>
          <w:rFonts w:asciiTheme="minorHAnsi" w:hAnsiTheme="minorHAnsi" w:cstheme="minorHAnsi"/>
          <w:sz w:val="22"/>
          <w:szCs w:val="22"/>
        </w:rPr>
        <w:t>.</w:t>
      </w:r>
    </w:p>
    <w:p w:rsidRPr="00566DE2" w:rsidR="00786CD8" w:rsidP="004E1640" w:rsidRDefault="00786CD8" w14:paraId="68F8B906" w14:textId="77777777">
      <w:pPr>
        <w:pStyle w:val="NormalSS"/>
        <w:spacing w:after="0"/>
        <w:ind w:firstLine="0"/>
        <w:rPr>
          <w:rFonts w:asciiTheme="minorHAnsi" w:hAnsiTheme="minorHAnsi" w:cstheme="minorHAnsi"/>
          <w:sz w:val="22"/>
          <w:szCs w:val="22"/>
        </w:rPr>
      </w:pPr>
    </w:p>
    <w:p w:rsidRPr="00566DE2" w:rsidR="001D1C73" w:rsidP="004E1640" w:rsidRDefault="001D1C73" w14:paraId="3B7ABC79" w14:textId="4046C079">
      <w:pPr>
        <w:spacing w:after="120" w:line="240" w:lineRule="auto"/>
        <w:ind w:left="720" w:hanging="720"/>
        <w:rPr>
          <w:b/>
        </w:rPr>
      </w:pPr>
      <w:r w:rsidRPr="00566DE2">
        <w:rPr>
          <w:b/>
        </w:rPr>
        <w:t>A4</w:t>
      </w:r>
      <w:r w:rsidRPr="00566DE2">
        <w:t>.</w:t>
      </w:r>
      <w:r w:rsidRPr="00566DE2">
        <w:tab/>
      </w:r>
      <w:r w:rsidRPr="00566DE2">
        <w:rPr>
          <w:b/>
        </w:rPr>
        <w:t>Use of Existing Data: Efforts to reduce duplication, minimize burden, and increase utility and government efficiency</w:t>
      </w:r>
    </w:p>
    <w:p w:rsidRPr="00566DE2" w:rsidR="00E77C52" w:rsidP="004E4C1D" w:rsidRDefault="00E77C52" w14:paraId="229BAF85" w14:textId="292EF011">
      <w:pPr>
        <w:spacing w:after="240" w:line="240" w:lineRule="auto"/>
      </w:pPr>
      <w:r w:rsidRPr="00566DE2">
        <w:t>Information that is already available from alternative data sources will not be collected again for this evaluation. We will be collecting information related to employment and earnings both through administrative records and directly from study participants. This information is not duplicative because the two sources cover different types of employment. Information on quarterly earnings from jobs covered by unemployment insurance will be obtained from NDNH administrative records. The follow-up surveys ask for earnings across all jobs, including those not covered by unemployment insurance. A number of experimental employment evaluations have found large differences in survey- and administrative-based earnings impacts (Barnow and Greenberg 2015). Therefore, collecting information from both sources is necessary for a full understanding of impacts on earnings. To further identify and avoid duplication, we do not request baseline characteristic information in the second</w:t>
      </w:r>
      <w:r w:rsidRPr="00566DE2" w:rsidR="0014565F">
        <w:t xml:space="preserve"> and third</w:t>
      </w:r>
      <w:r w:rsidRPr="00566DE2">
        <w:t xml:space="preserve"> follow-up survey</w:t>
      </w:r>
      <w:r w:rsidR="001C45C8">
        <w:t>s</w:t>
      </w:r>
      <w:r w:rsidRPr="00566DE2">
        <w:t xml:space="preserve"> for participants </w:t>
      </w:r>
      <w:r w:rsidR="001C45C8">
        <w:t>who</w:t>
      </w:r>
      <w:r w:rsidRPr="00566DE2" w:rsidR="001C45C8">
        <w:t xml:space="preserve"> </w:t>
      </w:r>
      <w:r w:rsidRPr="00566DE2">
        <w:t>already provided this information in the first follow-up survey.</w:t>
      </w:r>
      <w:r w:rsidR="002A0397">
        <w:t xml:space="preserve"> </w:t>
      </w:r>
      <w:r w:rsidR="00575821">
        <w:t xml:space="preserve">In the third follow-up survey, we limit the length of the reference period for </w:t>
      </w:r>
      <w:r w:rsidR="002A0397">
        <w:t xml:space="preserve">a number of items in </w:t>
      </w:r>
      <w:r w:rsidR="00575821">
        <w:t>an effort to</w:t>
      </w:r>
      <w:r w:rsidR="002A0397">
        <w:t xml:space="preserve"> </w:t>
      </w:r>
      <w:r w:rsidR="00110200">
        <w:t xml:space="preserve">additionally </w:t>
      </w:r>
      <w:r w:rsidR="002A0397">
        <w:t xml:space="preserve">minimize burden on respondents. </w:t>
      </w:r>
    </w:p>
    <w:p w:rsidR="00E77C52" w:rsidP="004E4C1D" w:rsidRDefault="00F610A5" w14:paraId="2C3D2FAD" w14:textId="3C334F04">
      <w:pPr>
        <w:spacing w:after="240" w:line="240" w:lineRule="auto"/>
      </w:pPr>
      <w:r w:rsidRPr="00566DE2">
        <w:rPr>
          <w:rFonts w:cstheme="minorHAnsi"/>
        </w:rPr>
        <w:t>The additional semi-structured interviews we propose conducting will collect</w:t>
      </w:r>
      <w:r w:rsidRPr="00566DE2" w:rsidR="005C35E9">
        <w:t xml:space="preserve"> information </w:t>
      </w:r>
      <w:r w:rsidRPr="00566DE2">
        <w:t>that</w:t>
      </w:r>
      <w:r w:rsidRPr="00566DE2" w:rsidR="005C35E9">
        <w:t xml:space="preserve"> is not available from any other data source.</w:t>
      </w:r>
    </w:p>
    <w:p w:rsidRPr="00566DE2" w:rsidR="00786CD8" w:rsidP="004E1640" w:rsidRDefault="00786CD8" w14:paraId="176B30C9" w14:textId="77777777">
      <w:pPr>
        <w:spacing w:after="0" w:line="240" w:lineRule="auto"/>
      </w:pPr>
    </w:p>
    <w:p w:rsidRPr="00566DE2" w:rsidR="001D1C73" w:rsidP="004E1640" w:rsidRDefault="001D1C73" w14:paraId="4BED94FB" w14:textId="77777777">
      <w:pPr>
        <w:spacing w:after="120" w:line="240" w:lineRule="auto"/>
      </w:pPr>
      <w:r w:rsidRPr="00566DE2">
        <w:rPr>
          <w:b/>
        </w:rPr>
        <w:t>A5</w:t>
      </w:r>
      <w:r w:rsidRPr="00566DE2">
        <w:t>.</w:t>
      </w:r>
      <w:r w:rsidRPr="00566DE2">
        <w:tab/>
      </w:r>
      <w:r w:rsidRPr="00566DE2">
        <w:rPr>
          <w:b/>
        </w:rPr>
        <w:t>Impact on Small Businesses</w:t>
      </w:r>
      <w:r w:rsidRPr="00566DE2">
        <w:t xml:space="preserve"> </w:t>
      </w:r>
    </w:p>
    <w:p w:rsidR="001D1C73" w:rsidP="004E4C1D" w:rsidRDefault="00E4358F" w14:paraId="69B7A867" w14:textId="063B4AD1">
      <w:pPr>
        <w:spacing w:after="240" w:line="240" w:lineRule="auto"/>
      </w:pPr>
      <w:r w:rsidRPr="00566DE2">
        <w:t xml:space="preserve">No small businesses will be involved with this information collection. </w:t>
      </w:r>
    </w:p>
    <w:p w:rsidRPr="00566DE2" w:rsidR="00786CD8" w:rsidP="004E1640" w:rsidRDefault="00786CD8" w14:paraId="2BB1E574" w14:textId="77777777">
      <w:pPr>
        <w:spacing w:after="0" w:line="240" w:lineRule="auto"/>
      </w:pPr>
    </w:p>
    <w:p w:rsidRPr="00566DE2" w:rsidR="00092192" w:rsidP="004E1640" w:rsidRDefault="001D1C73" w14:paraId="6E1E6B74" w14:textId="6CA698FA">
      <w:pPr>
        <w:spacing w:after="120" w:line="240" w:lineRule="auto"/>
      </w:pPr>
      <w:r w:rsidRPr="00566DE2">
        <w:rPr>
          <w:b/>
        </w:rPr>
        <w:t>A6</w:t>
      </w:r>
      <w:r w:rsidRPr="00566DE2">
        <w:t>.</w:t>
      </w:r>
      <w:r w:rsidRPr="00566DE2">
        <w:tab/>
      </w:r>
      <w:r w:rsidRPr="00566DE2">
        <w:rPr>
          <w:b/>
        </w:rPr>
        <w:t>Consequences of Less Frequent Collection</w:t>
      </w:r>
      <w:r w:rsidRPr="00566DE2">
        <w:t xml:space="preserve">  </w:t>
      </w:r>
    </w:p>
    <w:p w:rsidRPr="00566DE2" w:rsidR="0014565F" w:rsidP="00110200" w:rsidRDefault="0014565F" w14:paraId="54B3ABD1" w14:textId="3F10D666">
      <w:pPr>
        <w:spacing w:after="240" w:line="240" w:lineRule="auto"/>
      </w:pPr>
      <w:r w:rsidRPr="00566DE2">
        <w:t xml:space="preserve">A first follow-up survey is available to participants approximately </w:t>
      </w:r>
      <w:r w:rsidR="00757230">
        <w:t>6</w:t>
      </w:r>
      <w:r w:rsidRPr="00566DE2">
        <w:t xml:space="preserve"> to 12 months after random assignment. The second follow-up survey is available to participants about 21 to 24 months after random assignment. The third follow-up survey</w:t>
      </w:r>
      <w:r w:rsidR="00110200">
        <w:t xml:space="preserve"> would be</w:t>
      </w:r>
      <w:r w:rsidRPr="00566DE2">
        <w:t xml:space="preserve"> available to participants about 48 months after random assignment. The second and third follow-up surveys are </w:t>
      </w:r>
      <w:r w:rsidR="00110200">
        <w:t xml:space="preserve">intended to </w:t>
      </w:r>
      <w:r w:rsidRPr="00566DE2">
        <w:t xml:space="preserve">collect a similar set of outcome data as the first. This will allow an examination of whether the impacts of the program changed over time and whether changes in self-regulation skills were associated with changes in </w:t>
      </w:r>
      <w:r w:rsidRPr="00566DE2">
        <w:lastRenderedPageBreak/>
        <w:t xml:space="preserve">employment and self-sufficiency outcomes. </w:t>
      </w:r>
      <w:r w:rsidR="00575821">
        <w:t>The</w:t>
      </w:r>
      <w:r w:rsidRPr="002A0397" w:rsidR="00575821">
        <w:t xml:space="preserve"> goal of</w:t>
      </w:r>
      <w:r w:rsidR="00110200">
        <w:t xml:space="preserve"> the</w:t>
      </w:r>
      <w:r w:rsidRPr="002A0397" w:rsidR="00575821">
        <w:t xml:space="preserve"> th</w:t>
      </w:r>
      <w:r w:rsidR="00575821">
        <w:t xml:space="preserve">ird follow-up </w:t>
      </w:r>
      <w:r w:rsidR="00110200">
        <w:t>survey</w:t>
      </w:r>
      <w:r w:rsidRPr="002A0397" w:rsidR="00110200">
        <w:t xml:space="preserve"> </w:t>
      </w:r>
      <w:r w:rsidRPr="002A0397" w:rsidR="00575821">
        <w:t xml:space="preserve">is to learn about the long-term effects of employment coaching. </w:t>
      </w:r>
      <w:r w:rsidRPr="00110200" w:rsidR="00110200">
        <w:t>The</w:t>
      </w:r>
      <w:r w:rsidR="00110200">
        <w:t xml:space="preserve"> </w:t>
      </w:r>
      <w:r w:rsidRPr="00110200" w:rsidR="00110200">
        <w:t>information collected at a later follow</w:t>
      </w:r>
      <w:r w:rsidR="00110200">
        <w:t>-</w:t>
      </w:r>
      <w:r w:rsidRPr="00110200" w:rsidR="00110200">
        <w:t>up</w:t>
      </w:r>
      <w:r w:rsidR="00110200">
        <w:t xml:space="preserve"> </w:t>
      </w:r>
      <w:r w:rsidRPr="00110200" w:rsidR="00110200">
        <w:t>point will be used to assess how</w:t>
      </w:r>
      <w:r w:rsidR="00110200">
        <w:t xml:space="preserve"> </w:t>
      </w:r>
      <w:r w:rsidRPr="00110200" w:rsidR="00110200">
        <w:t>employment coaching might have a</w:t>
      </w:r>
      <w:r w:rsidR="00110200">
        <w:t xml:space="preserve"> </w:t>
      </w:r>
      <w:r w:rsidRPr="00110200" w:rsidR="00110200">
        <w:t>continued effect on participants long</w:t>
      </w:r>
      <w:r w:rsidR="00110200">
        <w:t xml:space="preserve"> </w:t>
      </w:r>
      <w:r w:rsidRPr="00110200" w:rsidR="00110200">
        <w:t>after they have left coaching programs.</w:t>
      </w:r>
      <w:r w:rsidR="00110200">
        <w:t xml:space="preserve"> </w:t>
      </w:r>
      <w:r w:rsidR="00575821">
        <w:t xml:space="preserve">With a follow-up period of 48 months, </w:t>
      </w:r>
      <w:r w:rsidRPr="002A0397" w:rsidR="00575821">
        <w:t xml:space="preserve">program participation </w:t>
      </w:r>
      <w:r w:rsidR="00575821">
        <w:t>will be</w:t>
      </w:r>
      <w:r w:rsidRPr="002A0397" w:rsidR="00575821">
        <w:t xml:space="preserve"> completed and impacts </w:t>
      </w:r>
      <w:r w:rsidR="00575821">
        <w:t xml:space="preserve">of the program are likely to be at </w:t>
      </w:r>
      <w:r w:rsidRPr="002A0397" w:rsidR="00575821">
        <w:t>a steady state.</w:t>
      </w:r>
    </w:p>
    <w:p w:rsidR="00853613" w:rsidP="004E4C1D" w:rsidRDefault="001E6064" w14:paraId="2FEED3CF" w14:textId="03FDE7F1">
      <w:pPr>
        <w:spacing w:after="240" w:line="240" w:lineRule="auto"/>
      </w:pPr>
      <w:r w:rsidRPr="00566DE2">
        <w:t>The additional implementation study data collection for which this request seeks approval will be a one-time data collection.</w:t>
      </w:r>
    </w:p>
    <w:p w:rsidRPr="00566DE2" w:rsidR="00786CD8" w:rsidP="004E1640" w:rsidRDefault="00786CD8" w14:paraId="0BA3C78A" w14:textId="77777777">
      <w:pPr>
        <w:spacing w:after="0" w:line="240" w:lineRule="auto"/>
      </w:pPr>
    </w:p>
    <w:p w:rsidRPr="00566DE2" w:rsidR="001D1C73" w:rsidP="004E4C1D" w:rsidRDefault="001D1C73" w14:paraId="562949B5" w14:textId="77777777">
      <w:pPr>
        <w:spacing w:after="240" w:line="240" w:lineRule="auto"/>
        <w:rPr>
          <w:b/>
        </w:rPr>
      </w:pPr>
      <w:r w:rsidRPr="00566DE2">
        <w:rPr>
          <w:b/>
        </w:rPr>
        <w:t>A7</w:t>
      </w:r>
      <w:r w:rsidRPr="00566DE2">
        <w:t>.</w:t>
      </w:r>
      <w:r w:rsidRPr="00566DE2">
        <w:tab/>
      </w:r>
      <w:r w:rsidRPr="00566DE2">
        <w:rPr>
          <w:b/>
        </w:rPr>
        <w:t>Now subsumed under 2(b) above and 10 (below)</w:t>
      </w:r>
    </w:p>
    <w:p w:rsidRPr="00566DE2" w:rsidR="001D1C73" w:rsidP="004E1640" w:rsidRDefault="001D1C73" w14:paraId="68912205" w14:textId="082CB297">
      <w:pPr>
        <w:spacing w:after="120" w:line="240" w:lineRule="auto"/>
        <w:rPr>
          <w:b/>
        </w:rPr>
      </w:pPr>
      <w:r w:rsidRPr="00566DE2">
        <w:rPr>
          <w:b/>
        </w:rPr>
        <w:t>A8</w:t>
      </w:r>
      <w:r w:rsidRPr="00566DE2">
        <w:t>.</w:t>
      </w:r>
      <w:r w:rsidRPr="00566DE2">
        <w:tab/>
      </w:r>
      <w:r w:rsidRPr="00566DE2">
        <w:rPr>
          <w:b/>
        </w:rPr>
        <w:t>Consultation</w:t>
      </w:r>
    </w:p>
    <w:p w:rsidRPr="00757789" w:rsidR="00BD5D4A" w:rsidP="004E1640" w:rsidRDefault="001D1C73" w14:paraId="3DCD6375" w14:textId="77777777">
      <w:pPr>
        <w:spacing w:after="60" w:line="240" w:lineRule="auto"/>
        <w:rPr>
          <w:b/>
          <w:bCs/>
          <w:i/>
        </w:rPr>
      </w:pPr>
      <w:r w:rsidRPr="00757789">
        <w:rPr>
          <w:b/>
          <w:bCs/>
          <w:i/>
        </w:rPr>
        <w:t>Federal Register Notice and Comments</w:t>
      </w:r>
      <w:r w:rsidRPr="00757789" w:rsidR="004E33A2">
        <w:rPr>
          <w:b/>
          <w:bCs/>
          <w:i/>
        </w:rPr>
        <w:t xml:space="preserve"> </w:t>
      </w:r>
    </w:p>
    <w:p w:rsidRPr="00566DE2" w:rsidR="001D1C73" w:rsidP="004E4C1D" w:rsidRDefault="001D1C73" w14:paraId="15C2AFB4" w14:textId="7E794BFD">
      <w:pPr>
        <w:spacing w:after="240" w:line="240" w:lineRule="auto"/>
        <w:rPr>
          <w:i/>
        </w:rPr>
      </w:pPr>
      <w:r w:rsidRPr="00566DE2">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86CD8">
        <w:t>February 11, 2022</w:t>
      </w:r>
      <w:r w:rsidRPr="00566DE2">
        <w:t>, Volume #</w:t>
      </w:r>
      <w:r w:rsidR="00786CD8">
        <w:t>87</w:t>
      </w:r>
      <w:r w:rsidRPr="00566DE2">
        <w:t xml:space="preserve">, </w:t>
      </w:r>
      <w:r w:rsidR="00786CD8">
        <w:t>No. 29, page 8019</w:t>
      </w:r>
      <w:r w:rsidRPr="00566DE2">
        <w:t>, and provided a sixty-day period for public comment. During the notice and comment period,</w:t>
      </w:r>
      <w:r w:rsidRPr="00566DE2" w:rsidR="00493791">
        <w:t xml:space="preserve"> no substantive comments were received</w:t>
      </w:r>
      <w:r w:rsidRPr="00566DE2">
        <w:t xml:space="preserve">. </w:t>
      </w:r>
    </w:p>
    <w:p w:rsidRPr="00757789" w:rsidR="00F42B9D" w:rsidP="0036347D" w:rsidRDefault="001D1C73" w14:paraId="786F936A" w14:textId="0E6CB9A5">
      <w:pPr>
        <w:pStyle w:val="Heading4"/>
        <w:spacing w:before="0"/>
        <w:rPr>
          <w:rFonts w:asciiTheme="minorHAnsi" w:hAnsiTheme="minorHAnsi" w:cstheme="minorHAnsi"/>
          <w:bCs w:val="0"/>
          <w:i/>
          <w:sz w:val="22"/>
          <w:szCs w:val="22"/>
        </w:rPr>
      </w:pPr>
      <w:r w:rsidRPr="00757789">
        <w:rPr>
          <w:rFonts w:asciiTheme="minorHAnsi" w:hAnsiTheme="minorHAnsi" w:cstheme="minorHAnsi"/>
          <w:bCs w:val="0"/>
          <w:i/>
          <w:sz w:val="22"/>
          <w:szCs w:val="22"/>
        </w:rPr>
        <w:t>Consultation with Experts Outside of the Study</w:t>
      </w:r>
    </w:p>
    <w:p w:rsidR="00220772" w:rsidP="00C473A2" w:rsidRDefault="0077493C" w14:paraId="09758106" w14:textId="3FA6AA0B">
      <w:pPr>
        <w:pStyle w:val="NormalSS"/>
        <w:ind w:firstLine="0"/>
        <w:rPr>
          <w:rFonts w:asciiTheme="minorHAnsi" w:hAnsiTheme="minorHAnsi" w:cstheme="minorHAnsi"/>
          <w:sz w:val="22"/>
          <w:szCs w:val="22"/>
        </w:rPr>
      </w:pPr>
      <w:r>
        <w:rPr>
          <w:rFonts w:asciiTheme="minorHAnsi" w:hAnsiTheme="minorHAnsi" w:cstheme="minorHAnsi"/>
          <w:sz w:val="22"/>
          <w:szCs w:val="22"/>
        </w:rPr>
        <w:t>We did not consult with experts outside of the study in developing the data collection instruments.</w:t>
      </w:r>
      <w:r w:rsidRPr="00566DE2" w:rsidDel="0077493C">
        <w:rPr>
          <w:rFonts w:asciiTheme="minorHAnsi" w:hAnsiTheme="minorHAnsi" w:cstheme="minorHAnsi"/>
          <w:sz w:val="22"/>
          <w:szCs w:val="22"/>
        </w:rPr>
        <w:t xml:space="preserve"> </w:t>
      </w:r>
    </w:p>
    <w:p w:rsidRPr="00566DE2" w:rsidR="007D4000" w:rsidP="00CA337A" w:rsidRDefault="007D4000" w14:paraId="0CCEB55E" w14:textId="77777777">
      <w:pPr>
        <w:pStyle w:val="NormalSS"/>
        <w:spacing w:after="0"/>
        <w:rPr>
          <w:rFonts w:asciiTheme="minorHAnsi" w:hAnsiTheme="minorHAnsi" w:cstheme="minorHAnsi"/>
          <w:sz w:val="22"/>
          <w:szCs w:val="22"/>
        </w:rPr>
      </w:pPr>
    </w:p>
    <w:p w:rsidRPr="00566DE2" w:rsidR="009C17F2" w:rsidP="0077493C" w:rsidRDefault="001D1C73" w14:paraId="79D18A1E" w14:textId="6A6CD051">
      <w:pPr>
        <w:spacing w:after="120" w:line="240" w:lineRule="auto"/>
      </w:pPr>
      <w:r w:rsidRPr="00566DE2">
        <w:rPr>
          <w:b/>
        </w:rPr>
        <w:t>A9</w:t>
      </w:r>
      <w:r w:rsidRPr="00566DE2">
        <w:t>.</w:t>
      </w:r>
      <w:r w:rsidRPr="00566DE2">
        <w:tab/>
      </w:r>
      <w:r w:rsidRPr="00566DE2">
        <w:rPr>
          <w:b/>
        </w:rPr>
        <w:t>Tokens of Appreciation</w:t>
      </w:r>
      <w:bookmarkStart w:name="_Hlk48562136" w:id="5"/>
    </w:p>
    <w:bookmarkEnd w:id="5"/>
    <w:p w:rsidRPr="003504C7" w:rsidR="007D4000" w:rsidP="007D4000" w:rsidRDefault="007D4000" w14:paraId="2318063E" w14:textId="77777777">
      <w:pPr>
        <w:spacing w:after="240" w:line="240" w:lineRule="auto"/>
      </w:pPr>
      <w:r w:rsidRPr="003504C7">
        <w:t xml:space="preserve">Estimates of program impacts may be biased if respondents differ substantially from non-respondents and those differences are correlated with assignment to the evaluation treatment or control groups. The risk of biased impact estimates increases with lower overall survey response rates or larger differences in survey response rates between the research groups (What Works Clearinghouse 2013). Thus, if low overall response rates or large differential response rates between the research groups are observed, differences between groups on key outcomes might be the result of differences in baseline characteristics among survey respondents and cannot be attributed solely to the effect of the coaching intervention (What Works Clearinghouse 2013). </w:t>
      </w:r>
    </w:p>
    <w:p w:rsidRPr="003504C7" w:rsidR="007D4000" w:rsidP="0077493C" w:rsidRDefault="007D4000" w14:paraId="6BB44493" w14:textId="77777777">
      <w:pPr>
        <w:spacing w:after="60" w:line="240" w:lineRule="auto"/>
      </w:pPr>
      <w:r w:rsidRPr="003504C7">
        <w:t xml:space="preserve">Concern about the potential for low overall response rates </w:t>
      </w:r>
      <w:r>
        <w:t>is</w:t>
      </w:r>
      <w:r w:rsidRPr="003504C7">
        <w:t xml:space="preserve"> particularly relevant to this study. The longitudinal nature of the study adds to the complexity of the second </w:t>
      </w:r>
      <w:r>
        <w:t xml:space="preserve">and third </w:t>
      </w:r>
      <w:r w:rsidRPr="003504C7">
        <w:t>follow-up survey data collection</w:t>
      </w:r>
      <w:r>
        <w:t>s</w:t>
      </w:r>
      <w:r w:rsidRPr="003504C7">
        <w:t>. Additionally, the coaching interventions are designed for unemployed low-income people. A number of factors could complicate tracking such participants over time. These factors include:</w:t>
      </w:r>
    </w:p>
    <w:p w:rsidRPr="003504C7" w:rsidR="007D4000" w:rsidP="0077493C" w:rsidRDefault="007D4000" w14:paraId="7DB7A340" w14:textId="77777777">
      <w:pPr>
        <w:numPr>
          <w:ilvl w:val="0"/>
          <w:numId w:val="13"/>
        </w:numPr>
        <w:spacing w:after="60" w:line="240" w:lineRule="auto"/>
      </w:pPr>
      <w:r w:rsidRPr="003504C7">
        <w:t xml:space="preserve">Unstable housing. </w:t>
      </w:r>
    </w:p>
    <w:p w:rsidRPr="003504C7" w:rsidR="007D4000" w:rsidP="0077493C" w:rsidRDefault="007D4000" w14:paraId="08FEC52A" w14:textId="77777777">
      <w:pPr>
        <w:numPr>
          <w:ilvl w:val="0"/>
          <w:numId w:val="13"/>
        </w:numPr>
        <w:spacing w:after="60" w:line="240" w:lineRule="auto"/>
      </w:pPr>
      <w:r w:rsidRPr="003504C7">
        <w:t xml:space="preserve">Less use of mortgages, leases, public utility accounts, cell phone contracts, credit reports, memberships in professional associations, licenses for specialized jobs, activity on social media, and appearances in publications such as newspapers or blogs. </w:t>
      </w:r>
    </w:p>
    <w:p w:rsidRPr="003504C7" w:rsidR="007D4000" w:rsidP="0077493C" w:rsidRDefault="007D4000" w14:paraId="30DE99ED" w14:textId="77777777">
      <w:pPr>
        <w:numPr>
          <w:ilvl w:val="0"/>
          <w:numId w:val="13"/>
        </w:numPr>
        <w:spacing w:after="60" w:line="240" w:lineRule="auto"/>
      </w:pPr>
      <w:r w:rsidRPr="003504C7">
        <w:t>Use of an alias to get utility accounts because of poor credit and prior payment issues.</w:t>
      </w:r>
    </w:p>
    <w:p w:rsidRPr="003504C7" w:rsidR="007D4000" w:rsidP="007D4000" w:rsidRDefault="007D4000" w14:paraId="66C3DF61" w14:textId="77777777">
      <w:pPr>
        <w:numPr>
          <w:ilvl w:val="0"/>
          <w:numId w:val="13"/>
        </w:numPr>
        <w:spacing w:after="240" w:line="240" w:lineRule="auto"/>
      </w:pPr>
      <w:r w:rsidRPr="003504C7">
        <w:lastRenderedPageBreak/>
        <w:t>Use of pay-as-you-go cell phones. These phone number are generally not tracked in online databases. Pay-as-you-go cell phone users also switch numbers frequently, which makes contacting them across a follow-up period more difficult.</w:t>
      </w:r>
    </w:p>
    <w:p w:rsidRPr="003504C7" w:rsidR="007D4000" w:rsidP="007D4000" w:rsidRDefault="007D4000" w14:paraId="2102BE09" w14:textId="4F58ACC8">
      <w:pPr>
        <w:spacing w:after="240" w:line="240" w:lineRule="auto"/>
      </w:pPr>
      <w:r w:rsidRPr="003504C7">
        <w:t xml:space="preserve">Differential response rates between the treatment and control groups could bias this study’s impact estimates. Participants assigned to the control group may be less motivated to participate than those assigned to the treatment group because they are not receiving the intervention. They may also feel that the surveys are not relevant to them. </w:t>
      </w:r>
    </w:p>
    <w:p w:rsidRPr="00566DE2" w:rsidR="006C45F1" w:rsidP="004E4C1D" w:rsidRDefault="007D4000" w14:paraId="29F4BD4D" w14:textId="70862D79">
      <w:pPr>
        <w:spacing w:after="240" w:line="240" w:lineRule="auto"/>
      </w:pPr>
      <w:r>
        <w:t xml:space="preserve">To address these concerns, </w:t>
      </w:r>
      <w:r w:rsidR="009D06FF">
        <w:t xml:space="preserve">the study team has implemented a number of procedures, as detailed in Supporting </w:t>
      </w:r>
      <w:r w:rsidR="002C7DE3">
        <w:t>S</w:t>
      </w:r>
      <w:r w:rsidR="009D06FF">
        <w:t xml:space="preserve">tatement B, section B5.  As part of this effort, </w:t>
      </w:r>
      <w:r w:rsidR="0077493C">
        <w:t>OPRE</w:t>
      </w:r>
      <w:r w:rsidR="009D06FF">
        <w:t xml:space="preserve"> </w:t>
      </w:r>
      <w:r>
        <w:t xml:space="preserve">proposed and OMB approved tokens of appreciation for this study. </w:t>
      </w:r>
      <w:r w:rsidRPr="00566DE2" w:rsidR="00E218EB">
        <w:t xml:space="preserve">In </w:t>
      </w:r>
      <w:r w:rsidRPr="00566DE2" w:rsidR="00CB2338">
        <w:t xml:space="preserve">extending the approved </w:t>
      </w:r>
      <w:r w:rsidRPr="00566DE2" w:rsidR="00F865D8">
        <w:t xml:space="preserve">data collection related to the second follow-up survey, we will retain the current data collection procedures. This includes the approved $50 </w:t>
      </w:r>
      <w:r w:rsidRPr="00566DE2" w:rsidR="00676CCC">
        <w:t>tokens of appreciation to study participants for</w:t>
      </w:r>
      <w:r w:rsidRPr="00566DE2" w:rsidR="00220772">
        <w:t xml:space="preserve"> the</w:t>
      </w:r>
      <w:r w:rsidRPr="00566DE2" w:rsidR="00676CCC">
        <w:t xml:space="preserve"> completion of the second follow-up survey</w:t>
      </w:r>
      <w:r w:rsidRPr="00566DE2" w:rsidR="00CE5371">
        <w:t>, which is administered about 21 months after study enrollment</w:t>
      </w:r>
      <w:r w:rsidRPr="00566DE2" w:rsidR="004C5970">
        <w:t xml:space="preserve">. </w:t>
      </w:r>
    </w:p>
    <w:p w:rsidRPr="00566DE2" w:rsidR="00C3536B" w:rsidP="004E4C1D" w:rsidRDefault="00B954D4" w14:paraId="5C678C8A" w14:textId="7EF41268">
      <w:pPr>
        <w:spacing w:after="240" w:line="240" w:lineRule="auto"/>
      </w:pPr>
      <w:r w:rsidRPr="00566DE2">
        <w:t xml:space="preserve">For the new data collection related to </w:t>
      </w:r>
      <w:r w:rsidRPr="00566DE2" w:rsidR="00676CCC">
        <w:t>the third follow-up survey</w:t>
      </w:r>
      <w:r w:rsidRPr="00566DE2">
        <w:t>,</w:t>
      </w:r>
      <w:r w:rsidRPr="00566DE2" w:rsidR="00E45549">
        <w:t xml:space="preserve"> </w:t>
      </w:r>
      <w:r w:rsidRPr="00566DE2" w:rsidR="00CE5371">
        <w:t xml:space="preserve">to be administered at least 48 months after study enrollment, </w:t>
      </w:r>
      <w:r w:rsidRPr="00566DE2" w:rsidR="00E45549">
        <w:t xml:space="preserve">we propose providing a $5 </w:t>
      </w:r>
      <w:r w:rsidR="0077493C">
        <w:t xml:space="preserve">cash </w:t>
      </w:r>
      <w:r w:rsidRPr="00566DE2" w:rsidR="00E45549">
        <w:t xml:space="preserve">pre-pay enclosed with advance letters and a $65 </w:t>
      </w:r>
      <w:r w:rsidR="0077493C">
        <w:t>gift card</w:t>
      </w:r>
      <w:r w:rsidRPr="00566DE2" w:rsidR="00212F0C">
        <w:t xml:space="preserve"> </w:t>
      </w:r>
      <w:r w:rsidRPr="00566DE2" w:rsidR="00E45549">
        <w:t xml:space="preserve">upon survey response in appreciation of continued participation in the study. Previous research demonstrates prepaid </w:t>
      </w:r>
      <w:r w:rsidR="0077493C">
        <w:t>tokens of appreciation</w:t>
      </w:r>
      <w:r w:rsidRPr="00566DE2" w:rsidR="0077493C">
        <w:t xml:space="preserve"> </w:t>
      </w:r>
      <w:r w:rsidRPr="00566DE2" w:rsidR="00E45549">
        <w:t>enclosed with advance letters reliably increase response rates</w:t>
      </w:r>
      <w:r w:rsidRPr="00566DE2" w:rsidR="00A32B07">
        <w:t xml:space="preserve"> (</w:t>
      </w:r>
      <w:r w:rsidRPr="00987EA3" w:rsidR="00987EA3">
        <w:t>Singer and Ye 2013; Mercer et al. 2015)</w:t>
      </w:r>
      <w:r w:rsidRPr="00566DE2" w:rsidR="00E45549">
        <w:t>. The proposed increase in the amount of the incentive reflects the fact that survey response is often more difficult to achieve for longer</w:t>
      </w:r>
      <w:r w:rsidR="00551E74">
        <w:t>-</w:t>
      </w:r>
      <w:r w:rsidRPr="00566DE2" w:rsidR="00E45549">
        <w:t xml:space="preserve">term follow-up surveys and that inflation has been high in recent months. </w:t>
      </w:r>
      <w:r w:rsidRPr="00566DE2" w:rsidR="009A71B0">
        <w:t xml:space="preserve">The increased incentive amount and pre-pay incentive will facilitate survey response and reduce the risk of survey attrition bias in the study’s impact estimates, as discussed in more detail below. </w:t>
      </w:r>
      <w:r w:rsidRPr="00566DE2" w:rsidR="00E45549">
        <w:t>Recently, the Supporting Youth to be Successful in Life study received OMB approval (</w:t>
      </w:r>
      <w:r w:rsidR="00551E74">
        <w:t>#</w:t>
      </w:r>
      <w:r w:rsidRPr="00566DE2" w:rsidR="00E45549">
        <w:t>0970-0574) to provide</w:t>
      </w:r>
      <w:r w:rsidRPr="002C7DE3" w:rsidR="002C7DE3">
        <w:t xml:space="preserve"> </w:t>
      </w:r>
      <w:r w:rsidRPr="00566DE2" w:rsidR="002C7DE3">
        <w:t>a $65 gift card</w:t>
      </w:r>
      <w:r w:rsidR="002C7DE3">
        <w:t xml:space="preserve"> to</w:t>
      </w:r>
      <w:r w:rsidRPr="00566DE2" w:rsidR="00E45549">
        <w:t xml:space="preserve"> youth</w:t>
      </w:r>
      <w:r w:rsidR="00AA1AA4">
        <w:t xml:space="preserve"> at risk of homelessness</w:t>
      </w:r>
      <w:r w:rsidRPr="00566DE2" w:rsidR="00E45549">
        <w:t xml:space="preserve"> who complete their 24-month follow-up survey.</w:t>
      </w:r>
      <w:r w:rsidR="00AA1AA4">
        <w:t xml:space="preserve"> Supporting Youth to be Successful in Life and the </w:t>
      </w:r>
      <w:r w:rsidR="002C7DE3">
        <w:t>third</w:t>
      </w:r>
      <w:r w:rsidR="00AA1AA4">
        <w:t xml:space="preserve"> follow-up survey</w:t>
      </w:r>
      <w:r w:rsidR="002C7DE3">
        <w:t xml:space="preserve"> under this study</w:t>
      </w:r>
      <w:r w:rsidR="00AA1AA4">
        <w:t xml:space="preserve"> have similar concerns </w:t>
      </w:r>
      <w:r w:rsidR="002C7DE3">
        <w:t>around</w:t>
      </w:r>
      <w:r w:rsidR="00AA1AA4">
        <w:t xml:space="preserve"> both retaining respondents through the study</w:t>
      </w:r>
      <w:r w:rsidR="00C2717A">
        <w:t xml:space="preserve"> period</w:t>
      </w:r>
      <w:r w:rsidR="00AA1AA4">
        <w:t xml:space="preserve"> and </w:t>
      </w:r>
      <w:r w:rsidR="002C7DE3">
        <w:t>locating</w:t>
      </w:r>
      <w:r w:rsidR="00AA1AA4">
        <w:t xml:space="preserve"> respondents to complete the follow</w:t>
      </w:r>
      <w:r w:rsidR="002C7DE3">
        <w:t>-</w:t>
      </w:r>
      <w:r w:rsidR="00AA1AA4">
        <w:t>up surveys.</w:t>
      </w:r>
    </w:p>
    <w:p w:rsidR="001C0985" w:rsidP="004E4C1D" w:rsidRDefault="00212F0C" w14:paraId="7F0F3C97" w14:textId="651832A4">
      <w:pPr>
        <w:spacing w:after="240" w:line="240" w:lineRule="auto"/>
      </w:pPr>
      <w:r>
        <w:t>As previously approved, we also offer</w:t>
      </w:r>
      <w:r w:rsidR="00196862">
        <w:t>ed</w:t>
      </w:r>
      <w:r w:rsidRPr="00566DE2" w:rsidR="00E02F1E">
        <w:t xml:space="preserve"> </w:t>
      </w:r>
      <w:r w:rsidRPr="00566DE2" w:rsidR="00551E74">
        <w:t xml:space="preserve">a $60 gift card </w:t>
      </w:r>
      <w:r w:rsidR="00551E74">
        <w:t xml:space="preserve">to </w:t>
      </w:r>
      <w:r w:rsidRPr="00566DE2" w:rsidR="00E02F1E">
        <w:t>respondents who participate</w:t>
      </w:r>
      <w:r w:rsidR="00196862">
        <w:t>d</w:t>
      </w:r>
      <w:r w:rsidRPr="00566DE2" w:rsidR="00E02F1E">
        <w:t xml:space="preserve"> in the in-depth interviews for th</w:t>
      </w:r>
      <w:r w:rsidR="00551E74">
        <w:t xml:space="preserve">is </w:t>
      </w:r>
      <w:r w:rsidRPr="00566DE2" w:rsidR="00E02F1E">
        <w:t>e</w:t>
      </w:r>
      <w:r w:rsidR="00551E74">
        <w:t>ffort’s</w:t>
      </w:r>
      <w:r w:rsidRPr="00566DE2" w:rsidR="00E02F1E">
        <w:t xml:space="preserve"> implementation study, which are estimated to take 2.5 hours on average. </w:t>
      </w:r>
      <w:r w:rsidRPr="00566DE2" w:rsidR="000766F7">
        <w:t xml:space="preserve">For the </w:t>
      </w:r>
      <w:r w:rsidR="00757230">
        <w:t xml:space="preserve">new </w:t>
      </w:r>
      <w:r w:rsidRPr="00566DE2" w:rsidR="000766F7">
        <w:t>se</w:t>
      </w:r>
      <w:r w:rsidRPr="00566DE2" w:rsidR="00366E14">
        <w:t>mi-structured participant interviews proposed as part of this request</w:t>
      </w:r>
      <w:r w:rsidRPr="00566DE2" w:rsidR="00E02F1E">
        <w:t xml:space="preserve">, we </w:t>
      </w:r>
      <w:r w:rsidRPr="00566DE2" w:rsidR="005E7706">
        <w:t>propose</w:t>
      </w:r>
      <w:r w:rsidRPr="00566DE2" w:rsidR="00E02F1E">
        <w:t xml:space="preserve"> offering participants </w:t>
      </w:r>
      <w:r w:rsidRPr="00566DE2" w:rsidR="004B4B9A">
        <w:t xml:space="preserve">gift cards of different amounts based on their </w:t>
      </w:r>
      <w:r w:rsidRPr="00566DE2" w:rsidR="00D36909">
        <w:t>study site, which determines the expected length of the participant</w:t>
      </w:r>
      <w:r w:rsidR="00D36909">
        <w:t xml:space="preserve"> interview. Specifically, we propose </w:t>
      </w:r>
      <w:r w:rsidRPr="00E02F1E" w:rsidR="00E02F1E">
        <w:t xml:space="preserve">a $60 gift card </w:t>
      </w:r>
      <w:r w:rsidR="00344D96">
        <w:t xml:space="preserve">for MyGoals participants </w:t>
      </w:r>
      <w:r w:rsidR="00757230">
        <w:t>who</w:t>
      </w:r>
      <w:r w:rsidRPr="00E02F1E" w:rsidR="00E02F1E">
        <w:t xml:space="preserve"> complete </w:t>
      </w:r>
      <w:r w:rsidR="00D36909">
        <w:t xml:space="preserve">the </w:t>
      </w:r>
      <w:r w:rsidRPr="00E02F1E" w:rsidR="00E02F1E">
        <w:t xml:space="preserve">interviews </w:t>
      </w:r>
      <w:r w:rsidR="00344D96">
        <w:t>(average length 2.5 hours), a $50 gift card for LIFT participants (average length 2 hours), and a $</w:t>
      </w:r>
      <w:r w:rsidR="002A1666">
        <w:t xml:space="preserve">40 gift card for FaDSS and Goal4 It! participants (average length 1.5 hours). </w:t>
      </w:r>
    </w:p>
    <w:p w:rsidRPr="00566DE2" w:rsidR="007D4000" w:rsidP="00CA337A" w:rsidRDefault="007D4000" w14:paraId="1F6FD70E" w14:textId="77777777">
      <w:pPr>
        <w:spacing w:after="0" w:line="240" w:lineRule="auto"/>
      </w:pPr>
    </w:p>
    <w:p w:rsidRPr="00566DE2" w:rsidR="001D1C73" w:rsidP="0077493C" w:rsidRDefault="001D1C73" w14:paraId="63D44C93" w14:textId="7F032590">
      <w:pPr>
        <w:spacing w:after="120" w:line="240" w:lineRule="auto"/>
      </w:pPr>
      <w:r w:rsidRPr="00566DE2">
        <w:rPr>
          <w:b/>
        </w:rPr>
        <w:t>A10</w:t>
      </w:r>
      <w:r w:rsidRPr="00566DE2">
        <w:t>.</w:t>
      </w:r>
      <w:r w:rsidRPr="00566DE2">
        <w:tab/>
      </w:r>
      <w:r w:rsidRPr="00566DE2">
        <w:rPr>
          <w:b/>
        </w:rPr>
        <w:t>Privacy:  Procedures to protect privacy of information, while maximizing data sharing</w:t>
      </w:r>
    </w:p>
    <w:p w:rsidRPr="00575821" w:rsidR="00FB056D" w:rsidP="00575821" w:rsidRDefault="00FB056D" w14:paraId="2733BE22" w14:textId="21CB6BB2">
      <w:pPr>
        <w:spacing w:after="60" w:line="240" w:lineRule="auto"/>
        <w:rPr>
          <w:rFonts w:eastAsia="Times New Roman" w:cstheme="minorHAnsi"/>
          <w:i/>
          <w:iCs/>
        </w:rPr>
      </w:pPr>
      <w:r>
        <w:rPr>
          <w:rFonts w:eastAsia="Times New Roman" w:cstheme="minorHAnsi"/>
          <w:i/>
          <w:iCs/>
        </w:rPr>
        <w:t>Personally Identifiable Information (PII)</w:t>
      </w:r>
    </w:p>
    <w:p w:rsidRPr="004518E5" w:rsidR="004518E5" w:rsidP="004518E5" w:rsidRDefault="004518E5" w14:paraId="4D9763BF" w14:textId="7787A879">
      <w:pPr>
        <w:spacing w:after="0" w:line="240" w:lineRule="auto"/>
        <w:rPr>
          <w:rFonts w:eastAsia="Times New Roman" w:cstheme="minorHAnsi"/>
          <w:bdr w:val="none" w:color="auto" w:sz="0" w:space="0" w:frame="1"/>
        </w:rPr>
      </w:pPr>
      <w:r w:rsidRPr="004518E5">
        <w:rPr>
          <w:rFonts w:eastAsia="Times New Roman" w:cstheme="minorHAnsi"/>
          <w:bdr w:val="none" w:color="auto" w:sz="0" w:space="0" w:frame="1"/>
        </w:rPr>
        <w:t>As part of the study, we collect</w:t>
      </w:r>
      <w:r w:rsidR="008B6ED2">
        <w:rPr>
          <w:rFonts w:eastAsia="Times New Roman" w:cstheme="minorHAnsi"/>
          <w:bdr w:val="none" w:color="auto" w:sz="0" w:space="0" w:frame="1"/>
        </w:rPr>
        <w:t>ed</w:t>
      </w:r>
      <w:r w:rsidRPr="004518E5">
        <w:rPr>
          <w:rFonts w:eastAsia="Times New Roman" w:cstheme="minorHAnsi"/>
          <w:bdr w:val="none" w:color="auto" w:sz="0" w:space="0" w:frame="1"/>
        </w:rPr>
        <w:t xml:space="preserve"> the respondent's</w:t>
      </w:r>
      <w:r w:rsidR="00A3567A">
        <w:rPr>
          <w:rFonts w:eastAsia="Times New Roman" w:cstheme="minorHAnsi"/>
          <w:bdr w:val="none" w:color="auto" w:sz="0" w:space="0" w:frame="1"/>
        </w:rPr>
        <w:t xml:space="preserve"> f</w:t>
      </w:r>
      <w:r w:rsidRPr="00A3567A">
        <w:rPr>
          <w:rFonts w:eastAsia="Times New Roman" w:cstheme="minorHAnsi"/>
          <w:bdr w:val="none" w:color="auto" w:sz="0" w:space="0" w:frame="1"/>
        </w:rPr>
        <w:t>irst and last name</w:t>
      </w:r>
      <w:r w:rsidR="00A3567A">
        <w:rPr>
          <w:rFonts w:eastAsia="Times New Roman" w:cstheme="minorHAnsi"/>
          <w:bdr w:val="none" w:color="auto" w:sz="0" w:space="0" w:frame="1"/>
        </w:rPr>
        <w:t>, d</w:t>
      </w:r>
      <w:r w:rsidRPr="00A3567A">
        <w:rPr>
          <w:rFonts w:eastAsia="Times New Roman" w:cstheme="minorHAnsi"/>
          <w:bdr w:val="none" w:color="auto" w:sz="0" w:space="0" w:frame="1"/>
        </w:rPr>
        <w:t>ate of birth</w:t>
      </w:r>
      <w:r w:rsidR="00A3567A">
        <w:rPr>
          <w:rFonts w:eastAsia="Times New Roman" w:cstheme="minorHAnsi"/>
          <w:bdr w:val="none" w:color="auto" w:sz="0" w:space="0" w:frame="1"/>
        </w:rPr>
        <w:t xml:space="preserve">, </w:t>
      </w:r>
      <w:r w:rsidRPr="00A3567A">
        <w:rPr>
          <w:rFonts w:eastAsia="Times New Roman" w:cstheme="minorHAnsi"/>
          <w:bdr w:val="none" w:color="auto" w:sz="0" w:space="0" w:frame="1"/>
        </w:rPr>
        <w:t>Social Security Number</w:t>
      </w:r>
      <w:r w:rsidR="00A3567A">
        <w:rPr>
          <w:rFonts w:eastAsia="Times New Roman" w:cstheme="minorHAnsi"/>
          <w:bdr w:val="none" w:color="auto" w:sz="0" w:space="0" w:frame="1"/>
        </w:rPr>
        <w:t>, mailing a</w:t>
      </w:r>
      <w:r w:rsidRPr="00A3567A">
        <w:rPr>
          <w:rFonts w:eastAsia="Times New Roman" w:cstheme="minorHAnsi"/>
          <w:bdr w:val="none" w:color="auto" w:sz="0" w:space="0" w:frame="1"/>
        </w:rPr>
        <w:t>ddress</w:t>
      </w:r>
      <w:r w:rsidR="00A3567A">
        <w:rPr>
          <w:rFonts w:eastAsia="Times New Roman" w:cstheme="minorHAnsi"/>
          <w:bdr w:val="none" w:color="auto" w:sz="0" w:space="0" w:frame="1"/>
        </w:rPr>
        <w:t>, t</w:t>
      </w:r>
      <w:r w:rsidRPr="00A3567A">
        <w:rPr>
          <w:rFonts w:eastAsia="Times New Roman" w:cstheme="minorHAnsi"/>
          <w:bdr w:val="none" w:color="auto" w:sz="0" w:space="0" w:frame="1"/>
        </w:rPr>
        <w:t>elephone number</w:t>
      </w:r>
      <w:r w:rsidR="00A3567A">
        <w:rPr>
          <w:rFonts w:eastAsia="Times New Roman" w:cstheme="minorHAnsi"/>
          <w:bdr w:val="none" w:color="auto" w:sz="0" w:space="0" w:frame="1"/>
        </w:rPr>
        <w:t>, and email address</w:t>
      </w:r>
      <w:r w:rsidR="008B6ED2">
        <w:rPr>
          <w:rFonts w:eastAsia="Times New Roman" w:cstheme="minorHAnsi"/>
          <w:bdr w:val="none" w:color="auto" w:sz="0" w:space="0" w:frame="1"/>
        </w:rPr>
        <w:t>; th</w:t>
      </w:r>
      <w:r w:rsidR="004D61A4">
        <w:rPr>
          <w:rFonts w:eastAsia="Times New Roman" w:cstheme="minorHAnsi"/>
          <w:bdr w:val="none" w:color="auto" w:sz="0" w:space="0" w:frame="1"/>
        </w:rPr>
        <w:t>is information may be updated during the data collection period.</w:t>
      </w:r>
      <w:r w:rsidR="00A3567A">
        <w:rPr>
          <w:rFonts w:eastAsia="Times New Roman" w:cstheme="minorHAnsi"/>
          <w:bdr w:val="none" w:color="auto" w:sz="0" w:space="0" w:frame="1"/>
        </w:rPr>
        <w:t xml:space="preserve"> </w:t>
      </w:r>
      <w:r w:rsidRPr="004518E5">
        <w:rPr>
          <w:rFonts w:eastAsia="Times New Roman" w:cstheme="minorHAnsi"/>
          <w:bdr w:val="none" w:color="auto" w:sz="0" w:space="0" w:frame="1"/>
        </w:rPr>
        <w:t>The purpose of collecting this PII is to</w:t>
      </w:r>
      <w:r w:rsidR="00A3567A">
        <w:rPr>
          <w:rFonts w:eastAsia="Times New Roman" w:cstheme="minorHAnsi"/>
          <w:bdr w:val="none" w:color="auto" w:sz="0" w:space="0" w:frame="1"/>
        </w:rPr>
        <w:t xml:space="preserve">: </w:t>
      </w:r>
    </w:p>
    <w:p w:rsidRPr="00A3567A" w:rsidR="004518E5" w:rsidP="00A3567A" w:rsidRDefault="004518E5" w14:paraId="43DA8103" w14:textId="1AFD7165">
      <w:pPr>
        <w:pStyle w:val="ListParagraph"/>
        <w:numPr>
          <w:ilvl w:val="0"/>
          <w:numId w:val="25"/>
        </w:numPr>
        <w:spacing w:after="0" w:line="240" w:lineRule="auto"/>
        <w:rPr>
          <w:rFonts w:eastAsia="Times New Roman" w:cstheme="minorHAnsi"/>
          <w:bdr w:val="none" w:color="auto" w:sz="0" w:space="0" w:frame="1"/>
        </w:rPr>
      </w:pPr>
      <w:r w:rsidRPr="00A3567A">
        <w:rPr>
          <w:rFonts w:eastAsia="Times New Roman" w:cstheme="minorHAnsi"/>
          <w:bdr w:val="none" w:color="auto" w:sz="0" w:space="0" w:frame="1"/>
        </w:rPr>
        <w:t>Confirm the identity of the respondent during follow-up efforts,</w:t>
      </w:r>
    </w:p>
    <w:p w:rsidRPr="00A3567A" w:rsidR="004518E5" w:rsidP="00A3567A" w:rsidRDefault="004518E5" w14:paraId="309415C6" w14:textId="53494475">
      <w:pPr>
        <w:pStyle w:val="ListParagraph"/>
        <w:numPr>
          <w:ilvl w:val="0"/>
          <w:numId w:val="25"/>
        </w:numPr>
        <w:spacing w:after="0" w:line="240" w:lineRule="auto"/>
        <w:rPr>
          <w:rFonts w:eastAsia="Times New Roman" w:cstheme="minorHAnsi"/>
          <w:bdr w:val="none" w:color="auto" w:sz="0" w:space="0" w:frame="1"/>
        </w:rPr>
      </w:pPr>
      <w:r w:rsidRPr="00A3567A">
        <w:rPr>
          <w:rFonts w:eastAsia="Times New Roman" w:cstheme="minorHAnsi"/>
          <w:bdr w:val="none" w:color="auto" w:sz="0" w:space="0" w:frame="1"/>
        </w:rPr>
        <w:t xml:space="preserve">Contact respondents to participate in follow-up efforts, </w:t>
      </w:r>
    </w:p>
    <w:p w:rsidRPr="00A3567A" w:rsidR="004518E5" w:rsidP="00A3567A" w:rsidRDefault="004518E5" w14:paraId="3C1423EC" w14:textId="422B5240">
      <w:pPr>
        <w:pStyle w:val="ListParagraph"/>
        <w:numPr>
          <w:ilvl w:val="0"/>
          <w:numId w:val="25"/>
        </w:numPr>
        <w:spacing w:after="0" w:line="240" w:lineRule="auto"/>
        <w:rPr>
          <w:rFonts w:eastAsia="Times New Roman" w:cstheme="minorHAnsi"/>
          <w:bdr w:val="none" w:color="auto" w:sz="0" w:space="0" w:frame="1"/>
        </w:rPr>
      </w:pPr>
      <w:r w:rsidRPr="00A3567A">
        <w:rPr>
          <w:rFonts w:eastAsia="Times New Roman" w:cstheme="minorHAnsi"/>
          <w:bdr w:val="none" w:color="auto" w:sz="0" w:space="0" w:frame="1"/>
        </w:rPr>
        <w:t xml:space="preserve">Facilitate locating for nonresponsive respondents, and </w:t>
      </w:r>
    </w:p>
    <w:p w:rsidRPr="00A3567A" w:rsidR="00FB056D" w:rsidP="00A3567A" w:rsidRDefault="004518E5" w14:paraId="10020F07" w14:textId="421381AC">
      <w:pPr>
        <w:pStyle w:val="ListParagraph"/>
        <w:numPr>
          <w:ilvl w:val="0"/>
          <w:numId w:val="25"/>
        </w:numPr>
        <w:spacing w:after="0" w:line="240" w:lineRule="auto"/>
        <w:rPr>
          <w:rFonts w:eastAsia="Times New Roman" w:cstheme="minorHAnsi"/>
        </w:rPr>
      </w:pPr>
      <w:r w:rsidRPr="00A3567A">
        <w:rPr>
          <w:rFonts w:eastAsia="Times New Roman" w:cstheme="minorHAnsi"/>
          <w:bdr w:val="none" w:color="auto" w:sz="0" w:space="0" w:frame="1"/>
        </w:rPr>
        <w:t>Request administrative data.</w:t>
      </w:r>
    </w:p>
    <w:p w:rsidR="00951202" w:rsidP="00575821" w:rsidRDefault="00951202" w14:paraId="6E1C6840" w14:textId="77777777">
      <w:pPr>
        <w:spacing w:after="0" w:line="240" w:lineRule="auto"/>
        <w:rPr>
          <w:rFonts w:eastAsia="Times New Roman" w:cstheme="minorHAnsi"/>
          <w:bdr w:val="none" w:color="auto" w:sz="0" w:space="0" w:frame="1"/>
        </w:rPr>
      </w:pPr>
    </w:p>
    <w:p w:rsidR="00FB056D" w:rsidP="00575821" w:rsidRDefault="00951202" w14:paraId="42A65DF6" w14:textId="52D84EE4">
      <w:pPr>
        <w:spacing w:after="0" w:line="240" w:lineRule="auto"/>
        <w:rPr>
          <w:rFonts w:eastAsia="Times New Roman" w:cstheme="minorHAnsi"/>
          <w:bdr w:val="none" w:color="auto" w:sz="0" w:space="0" w:frame="1"/>
        </w:rPr>
      </w:pPr>
      <w:r w:rsidRPr="00566DE2">
        <w:rPr>
          <w:rFonts w:eastAsia="Times New Roman" w:cstheme="minorHAnsi"/>
          <w:bdr w:val="none" w:color="auto" w:sz="0" w:space="0" w:frame="1"/>
        </w:rPr>
        <w:t>Information will not be maintained in a paper or electronic system from which they are actually or directly retrieved by an individuals’ personal identifier.</w:t>
      </w:r>
    </w:p>
    <w:p w:rsidR="00951202" w:rsidP="00575821" w:rsidRDefault="00951202" w14:paraId="4F57738B" w14:textId="77777777">
      <w:pPr>
        <w:spacing w:after="0" w:line="240" w:lineRule="auto"/>
        <w:rPr>
          <w:rFonts w:eastAsia="Times New Roman" w:cstheme="minorHAnsi"/>
          <w:i/>
          <w:iCs/>
        </w:rPr>
      </w:pPr>
    </w:p>
    <w:p w:rsidRPr="00575821" w:rsidR="00FB056D" w:rsidP="00575821" w:rsidRDefault="00FB056D" w14:paraId="118E682A" w14:textId="7B929D38">
      <w:pPr>
        <w:spacing w:after="60" w:line="240" w:lineRule="auto"/>
        <w:rPr>
          <w:rFonts w:eastAsia="Times New Roman" w:cstheme="minorHAnsi"/>
          <w:i/>
          <w:iCs/>
        </w:rPr>
      </w:pPr>
      <w:r w:rsidRPr="00575821">
        <w:rPr>
          <w:rFonts w:eastAsia="Times New Roman" w:cstheme="minorHAnsi"/>
          <w:i/>
          <w:iCs/>
        </w:rPr>
        <w:t>Assurances of Privacy</w:t>
      </w:r>
    </w:p>
    <w:p w:rsidR="00FB056D" w:rsidP="004E4C1D" w:rsidRDefault="0045289B" w14:paraId="3479FD7A" w14:textId="3DD49FCC">
      <w:pPr>
        <w:spacing w:after="240" w:line="240" w:lineRule="auto"/>
        <w:rPr>
          <w:rFonts w:eastAsia="Times New Roman" w:cstheme="minorHAnsi"/>
        </w:rPr>
      </w:pPr>
      <w:r w:rsidRPr="00566DE2">
        <w:rPr>
          <w:rFonts w:eastAsia="Times New Roman" w:cstheme="minorHAnsi"/>
        </w:rPr>
        <w:t xml:space="preserve">PII will be kept private to the extent permitted by law. As part of the consent process, respondents were informed of all planned uses of data, that their participation is voluntary, and that their information will be kept private to the extent permitted by law. </w:t>
      </w:r>
    </w:p>
    <w:p w:rsidRPr="00566DE2" w:rsidR="0045289B" w:rsidP="004E4C1D" w:rsidRDefault="0045289B" w14:paraId="2C8B4019" w14:textId="37B26843">
      <w:pPr>
        <w:spacing w:after="240" w:line="240" w:lineRule="auto"/>
        <w:rPr>
          <w:rFonts w:eastAsia="Times New Roman" w:cstheme="minorHAnsi"/>
        </w:rPr>
      </w:pPr>
      <w:r w:rsidRPr="00566DE2">
        <w:rPr>
          <w:rFonts w:eastAsia="Times New Roman" w:cstheme="minorHAnsi"/>
        </w:rPr>
        <w:t>Due to the sensitive nature of this research (see A</w:t>
      </w:r>
      <w:r w:rsidR="008739E0">
        <w:rPr>
          <w:rFonts w:eastAsia="Times New Roman" w:cstheme="minorHAnsi"/>
        </w:rPr>
        <w:t>.</w:t>
      </w:r>
      <w:r w:rsidRPr="00566DE2">
        <w:rPr>
          <w:rFonts w:eastAsia="Times New Roman" w:cstheme="minorHAnsi"/>
        </w:rPr>
        <w:t>11 for more information), the evaluation obtained a Certificate of Confidentiality. The Certificate of Confidentiality helps assure participants that their information will be kept private to the fullest extent permitted by law.</w:t>
      </w:r>
    </w:p>
    <w:p w:rsidRPr="00575821" w:rsidR="00FB056D" w:rsidP="00575821" w:rsidRDefault="00FB056D" w14:paraId="7A188A75" w14:textId="5C6800D9">
      <w:pPr>
        <w:spacing w:after="60" w:line="240" w:lineRule="auto"/>
        <w:rPr>
          <w:rFonts w:eastAsia="Times New Roman" w:cstheme="minorHAnsi"/>
          <w:i/>
          <w:iCs/>
        </w:rPr>
      </w:pPr>
      <w:r>
        <w:rPr>
          <w:rFonts w:eastAsia="Times New Roman" w:cstheme="minorHAnsi"/>
          <w:i/>
          <w:iCs/>
        </w:rPr>
        <w:t>Data Security and Monitoring</w:t>
      </w:r>
    </w:p>
    <w:p w:rsidRPr="00566DE2" w:rsidR="0045289B" w:rsidP="004E4C1D" w:rsidRDefault="0045289B" w14:paraId="7526BADF" w14:textId="03DA1D5C">
      <w:pPr>
        <w:spacing w:after="240" w:line="240" w:lineRule="auto"/>
        <w:rPr>
          <w:rFonts w:eastAsia="Times New Roman" w:cstheme="minorHAnsi"/>
        </w:rPr>
      </w:pPr>
      <w:r w:rsidRPr="00566DE2">
        <w:rPr>
          <w:rFonts w:eastAsia="Times New Roman" w:cstheme="minorHAnsi"/>
        </w:rPr>
        <w:t xml:space="preserve">As specified in the </w:t>
      </w:r>
      <w:r w:rsidR="00FB056D">
        <w:rPr>
          <w:rFonts w:eastAsia="Times New Roman" w:cstheme="minorHAnsi"/>
        </w:rPr>
        <w:t xml:space="preserve">evaluator’s </w:t>
      </w:r>
      <w:r w:rsidRPr="00566DE2">
        <w:rPr>
          <w:rFonts w:eastAsia="Times New Roman" w:cstheme="minorHAnsi"/>
        </w:rPr>
        <w:t xml:space="preserve">contract, </w:t>
      </w:r>
      <w:r w:rsidR="00FB056D">
        <w:rPr>
          <w:rFonts w:eastAsia="Times New Roman" w:cstheme="minorHAnsi"/>
        </w:rPr>
        <w:t>the Contractor</w:t>
      </w:r>
      <w:r w:rsidRPr="00566DE2">
        <w:rPr>
          <w:rFonts w:eastAsia="Times New Roman" w:cstheme="minorHAnsi"/>
        </w:rPr>
        <w:t xml:space="preserve"> </w:t>
      </w:r>
      <w:r w:rsidR="00FB056D">
        <w:rPr>
          <w:rFonts w:eastAsia="Times New Roman" w:cstheme="minorHAnsi"/>
        </w:rPr>
        <w:t>shall</w:t>
      </w:r>
      <w:r w:rsidRPr="00566DE2">
        <w:rPr>
          <w:rFonts w:eastAsia="Times New Roman" w:cstheme="minorHAnsi"/>
        </w:rPr>
        <w:t xml:space="preserve"> protect respondent privacy to the extent permitted by law and will comply with all Federal and </w:t>
      </w:r>
      <w:r w:rsidR="00FB056D">
        <w:rPr>
          <w:rFonts w:eastAsia="Times New Roman" w:cstheme="minorHAnsi"/>
        </w:rPr>
        <w:t>D</w:t>
      </w:r>
      <w:r w:rsidRPr="00566DE2">
        <w:rPr>
          <w:rFonts w:eastAsia="Times New Roman" w:cstheme="minorHAnsi"/>
        </w:rPr>
        <w:t xml:space="preserve">epartmental regulations for private information. Mathematica has developed a Data Safety and Monitoring Plan that assesses all protections of respondents’ PII. Mathematica </w:t>
      </w:r>
      <w:r w:rsidRPr="00566DE2" w:rsidR="00E37491">
        <w:rPr>
          <w:rFonts w:eastAsia="Times New Roman" w:cstheme="minorHAnsi"/>
        </w:rPr>
        <w:t xml:space="preserve">and </w:t>
      </w:r>
      <w:r w:rsidR="00896346">
        <w:rPr>
          <w:rFonts w:eastAsia="Times New Roman" w:cstheme="minorHAnsi"/>
        </w:rPr>
        <w:t xml:space="preserve">its subcontractor </w:t>
      </w:r>
      <w:r w:rsidRPr="00566DE2" w:rsidR="00E37491">
        <w:rPr>
          <w:rFonts w:eastAsia="Times New Roman" w:cstheme="minorHAnsi"/>
        </w:rPr>
        <w:t xml:space="preserve">Abt </w:t>
      </w:r>
      <w:r w:rsidR="00896346">
        <w:rPr>
          <w:rFonts w:eastAsia="Times New Roman" w:cstheme="minorHAnsi"/>
        </w:rPr>
        <w:t xml:space="preserve">Associates </w:t>
      </w:r>
      <w:r w:rsidRPr="00566DE2">
        <w:rPr>
          <w:rFonts w:eastAsia="Times New Roman" w:cstheme="minorHAnsi"/>
        </w:rPr>
        <w:t xml:space="preserve">will ensure that all of its employees, subcontractors (at all tiers), and employees of each subcontractor who perform work under this contract/subcontract are trained on data privacy issues and comply with the above requirements. All study staff with access to PII will receive study-specific training on (1) limitations on disclosure; (2) safeguarding the physical work environment; and (3) storing, transmitting, and destroying data securely. These procedures will be documented in training manuals. Refresher training will occur annually. </w:t>
      </w:r>
    </w:p>
    <w:p w:rsidR="0045289B" w:rsidP="004E4C1D" w:rsidRDefault="0045289B" w14:paraId="69DBFB43" w14:textId="5A3FCEC1">
      <w:pPr>
        <w:spacing w:after="240" w:line="240" w:lineRule="auto"/>
        <w:rPr>
          <w:rFonts w:eastAsia="Times New Roman" w:cstheme="minorHAnsi"/>
        </w:rPr>
      </w:pPr>
      <w:r w:rsidRPr="00566DE2">
        <w:rPr>
          <w:rFonts w:eastAsia="Times New Roman" w:cstheme="minorHAnsi"/>
        </w:rPr>
        <w:t xml:space="preserve">As specified in the evaluator’s contract, </w:t>
      </w:r>
      <w:r w:rsidR="00FB056D">
        <w:rPr>
          <w:rFonts w:eastAsia="Times New Roman" w:cstheme="minorHAnsi"/>
        </w:rPr>
        <w:t>the Contractor shall</w:t>
      </w:r>
      <w:r w:rsidRPr="00566DE2">
        <w:rPr>
          <w:rFonts w:eastAsia="Times New Roman" w:cstheme="minorHAnsi"/>
        </w:rPr>
        <w:t xml:space="preserve"> use Federal Information Processing Standard compliant encryption (Security Requirements for Cryptographic Module, as amended) to protect all instances of sensitive information during storage and transmission. Mathematica will securely generate and manage encryption keys to prevent unauthorized decryption of information, in accordance with the Federal Information Processing Standard. Mathematica will ensure that they incorporate this standard into their property management/control system, and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w:t>
      </w:r>
    </w:p>
    <w:p w:rsidRPr="00566DE2" w:rsidR="007D4000" w:rsidP="0077493C" w:rsidRDefault="007D4000" w14:paraId="5CEBA026" w14:textId="77777777">
      <w:pPr>
        <w:spacing w:after="0" w:line="240" w:lineRule="auto"/>
        <w:rPr>
          <w:rFonts w:eastAsia="Times New Roman" w:cstheme="minorHAnsi"/>
        </w:rPr>
      </w:pPr>
    </w:p>
    <w:p w:rsidRPr="00566DE2" w:rsidR="00D831A9" w:rsidP="0077493C" w:rsidRDefault="005D6093" w14:paraId="0EF34807" w14:textId="02A62C4A">
      <w:pPr>
        <w:spacing w:after="120" w:line="240" w:lineRule="auto"/>
        <w:rPr>
          <w:rStyle w:val="FootnoteReference"/>
        </w:rPr>
      </w:pPr>
      <w:r w:rsidRPr="00566DE2">
        <w:rPr>
          <w:rFonts w:cstheme="minorHAnsi"/>
        </w:rPr>
        <w:t xml:space="preserve"> </w:t>
      </w:r>
      <w:r w:rsidRPr="00566DE2" w:rsidR="001D1C73">
        <w:rPr>
          <w:b/>
        </w:rPr>
        <w:t>A11</w:t>
      </w:r>
      <w:r w:rsidRPr="00566DE2" w:rsidR="001D1C73">
        <w:t>.</w:t>
      </w:r>
      <w:r w:rsidRPr="00566DE2" w:rsidR="001D1C73">
        <w:tab/>
      </w:r>
      <w:r w:rsidRPr="00566DE2" w:rsidR="001D1C73">
        <w:rPr>
          <w:b/>
        </w:rPr>
        <w:t>Sensitive Information</w:t>
      </w:r>
      <w:r w:rsidRPr="00566DE2" w:rsidR="001D1C73">
        <w:rPr>
          <w:rStyle w:val="FootnoteReference"/>
        </w:rPr>
        <w:t xml:space="preserve"> </w:t>
      </w:r>
    </w:p>
    <w:p w:rsidRPr="00566DE2" w:rsidR="00752C5F" w:rsidP="004E4C1D" w:rsidRDefault="00752C5F" w14:paraId="7A59BC62" w14:textId="03AA528A">
      <w:pPr>
        <w:spacing w:after="240" w:line="240" w:lineRule="auto"/>
        <w:rPr>
          <w:rFonts w:eastAsia="Times New Roman" w:cstheme="minorHAnsi"/>
        </w:rPr>
      </w:pPr>
      <w:r w:rsidRPr="00566DE2">
        <w:rPr>
          <w:rFonts w:eastAsia="Times New Roman" w:cstheme="minorHAnsi"/>
        </w:rPr>
        <w:t>Some sensitive questions are necessary in an evaluation of programs designed to affect employment. Before starting the baseline and follow-up surveys, all respondents are and will</w:t>
      </w:r>
      <w:r w:rsidR="007D4000">
        <w:rPr>
          <w:rFonts w:eastAsia="Times New Roman" w:cstheme="minorHAnsi"/>
        </w:rPr>
        <w:t xml:space="preserve"> continue to</w:t>
      </w:r>
      <w:r w:rsidRPr="00566DE2">
        <w:rPr>
          <w:rFonts w:eastAsia="Times New Roman" w:cstheme="minorHAnsi"/>
        </w:rPr>
        <w:t xml:space="preserve"> be informed that their identities will be kept private and that they do not have to answer any question that makes them uncomfortable. Although such questions may be sensitive for many respondents, they have been successfully asked of similar respondents in other data collection efforts, such as in the follow-up surveys and first round of management, staff, and supervisor interviews and participant in-depth interviews already conducted for the Evaluation of Employment Coaching for TANF and Related Populations (OMB #0970-0506), </w:t>
      </w:r>
      <w:r w:rsidR="00896346">
        <w:rPr>
          <w:rFonts w:eastAsia="Times New Roman" w:cstheme="minorHAnsi"/>
        </w:rPr>
        <w:t xml:space="preserve">as well as in the </w:t>
      </w:r>
      <w:r w:rsidRPr="00566DE2">
        <w:rPr>
          <w:rFonts w:eastAsia="Times New Roman" w:cstheme="minorHAnsi"/>
        </w:rPr>
        <w:t>Parents and Children Together (OMB #0970-0403)</w:t>
      </w:r>
      <w:r w:rsidR="00896346">
        <w:rPr>
          <w:rFonts w:eastAsia="Times New Roman" w:cstheme="minorHAnsi"/>
        </w:rPr>
        <w:t xml:space="preserve"> study</w:t>
      </w:r>
      <w:r w:rsidRPr="00566DE2">
        <w:rPr>
          <w:rFonts w:eastAsia="Times New Roman" w:cstheme="minorHAnsi"/>
        </w:rPr>
        <w:t xml:space="preserve"> and the Workforce Investment Act Gold Standard Evaluation (OMB #1205-0504). </w:t>
      </w:r>
    </w:p>
    <w:p w:rsidRPr="007231FA" w:rsidR="00752C5F" w:rsidP="0077493C" w:rsidRDefault="00752C5F" w14:paraId="5F9CF150" w14:textId="1F93274B">
      <w:pPr>
        <w:spacing w:after="60" w:line="240" w:lineRule="auto"/>
        <w:rPr>
          <w:rFonts w:eastAsia="Times New Roman" w:cstheme="minorHAnsi"/>
        </w:rPr>
      </w:pPr>
      <w:r w:rsidRPr="00566DE2">
        <w:rPr>
          <w:rFonts w:eastAsia="Times New Roman" w:cstheme="minorHAnsi"/>
        </w:rPr>
        <w:lastRenderedPageBreak/>
        <w:t>The sensitive questions</w:t>
      </w:r>
      <w:r w:rsidRPr="007231FA">
        <w:rPr>
          <w:rFonts w:eastAsia="Times New Roman" w:cstheme="minorHAnsi"/>
        </w:rPr>
        <w:t xml:space="preserve"> relevant for this request </w:t>
      </w:r>
      <w:r w:rsidR="00956982">
        <w:rPr>
          <w:rFonts w:eastAsia="Times New Roman" w:cstheme="minorHAnsi"/>
        </w:rPr>
        <w:t xml:space="preserve">for the second and third follow-up surveys </w:t>
      </w:r>
      <w:r w:rsidRPr="007231FA">
        <w:rPr>
          <w:rFonts w:eastAsia="Times New Roman" w:cstheme="minorHAnsi"/>
        </w:rPr>
        <w:t>include:</w:t>
      </w:r>
    </w:p>
    <w:p w:rsidRPr="007231FA" w:rsidR="00752C5F" w:rsidP="0077493C" w:rsidRDefault="00752C5F" w14:paraId="22E271B1" w14:textId="39AB7904">
      <w:pPr>
        <w:numPr>
          <w:ilvl w:val="0"/>
          <w:numId w:val="11"/>
        </w:numPr>
        <w:spacing w:after="60" w:line="240" w:lineRule="auto"/>
        <w:ind w:left="720"/>
        <w:rPr>
          <w:rFonts w:eastAsia="Times New Roman" w:cstheme="minorHAnsi"/>
        </w:rPr>
      </w:pPr>
      <w:r w:rsidRPr="007231FA">
        <w:rPr>
          <w:rFonts w:eastAsia="Times New Roman" w:cstheme="minorHAnsi"/>
          <w:b/>
        </w:rPr>
        <w:t xml:space="preserve">Wage rates and earnings. </w:t>
      </w:r>
      <w:r w:rsidRPr="007231FA">
        <w:rPr>
          <w:rFonts w:eastAsia="Times New Roman" w:cstheme="minorHAnsi"/>
        </w:rPr>
        <w:t xml:space="preserve">It is necessary to ask about earnings because increasing participants’ earnings is a key goal of coaching interventions. The second follow-up survey asks about each job worked since random assignment, the wage rate, and the number of hours worked per week. </w:t>
      </w:r>
      <w:r w:rsidRPr="000D6F0F" w:rsidR="00693DDA">
        <w:rPr>
          <w:rFonts w:eastAsia="Times New Roman" w:cstheme="minorHAnsi"/>
        </w:rPr>
        <w:t xml:space="preserve">The </w:t>
      </w:r>
      <w:r w:rsidR="00693DDA">
        <w:rPr>
          <w:rFonts w:eastAsia="Times New Roman" w:cstheme="minorHAnsi"/>
        </w:rPr>
        <w:t>third</w:t>
      </w:r>
      <w:r w:rsidRPr="000D6F0F" w:rsidR="00693DDA">
        <w:rPr>
          <w:rFonts w:eastAsia="Times New Roman" w:cstheme="minorHAnsi"/>
        </w:rPr>
        <w:t xml:space="preserve"> follow-up survey asks about each job worked</w:t>
      </w:r>
      <w:r w:rsidR="00693DDA">
        <w:rPr>
          <w:rFonts w:eastAsia="Times New Roman" w:cstheme="minorHAnsi"/>
        </w:rPr>
        <w:t xml:space="preserve"> during the year before survey response.</w:t>
      </w:r>
    </w:p>
    <w:p w:rsidRPr="007231FA" w:rsidR="00752C5F" w:rsidP="0077493C" w:rsidRDefault="00752C5F" w14:paraId="64304ECB" w14:textId="6C565C9B">
      <w:pPr>
        <w:numPr>
          <w:ilvl w:val="0"/>
          <w:numId w:val="11"/>
        </w:numPr>
        <w:spacing w:after="60" w:line="240" w:lineRule="auto"/>
        <w:ind w:left="720"/>
        <w:rPr>
          <w:rFonts w:eastAsia="Times New Roman" w:cstheme="minorHAnsi"/>
        </w:rPr>
      </w:pPr>
      <w:r w:rsidRPr="007231FA">
        <w:rPr>
          <w:rFonts w:eastAsia="Times New Roman" w:cstheme="minorHAnsi"/>
          <w:b/>
        </w:rPr>
        <w:t>Challenges to employment</w:t>
      </w:r>
      <w:r w:rsidRPr="007231FA">
        <w:rPr>
          <w:rFonts w:eastAsia="Times New Roman" w:cstheme="minorHAnsi"/>
          <w:b/>
          <w:i/>
        </w:rPr>
        <w:t>.</w:t>
      </w:r>
      <w:r w:rsidRPr="007231FA">
        <w:rPr>
          <w:rFonts w:eastAsia="Times New Roman" w:cstheme="minorHAnsi"/>
        </w:rPr>
        <w:t xml:space="preserve"> It is important to ask about challenges to employment to understand how programs might be supporting participants and their potentially unmet needs. </w:t>
      </w:r>
      <w:r w:rsidR="002243C2">
        <w:rPr>
          <w:rFonts w:eastAsia="Times New Roman" w:cstheme="minorHAnsi"/>
        </w:rPr>
        <w:t>The second and third follow-up surveys include questions t</w:t>
      </w:r>
      <w:r w:rsidR="001D6153">
        <w:rPr>
          <w:rFonts w:eastAsia="Times New Roman" w:cstheme="minorHAnsi"/>
        </w:rPr>
        <w:t>hat</w:t>
      </w:r>
      <w:r w:rsidR="002243C2">
        <w:rPr>
          <w:rFonts w:eastAsia="Times New Roman" w:cstheme="minorHAnsi"/>
        </w:rPr>
        <w:t xml:space="preserve"> address challenges to employment.</w:t>
      </w:r>
    </w:p>
    <w:p w:rsidRPr="007231FA" w:rsidR="00752C5F" w:rsidP="0077493C" w:rsidRDefault="00752C5F" w14:paraId="2C4BA421" w14:textId="36E6E74B">
      <w:pPr>
        <w:numPr>
          <w:ilvl w:val="0"/>
          <w:numId w:val="11"/>
        </w:numPr>
        <w:spacing w:after="60" w:line="240" w:lineRule="auto"/>
        <w:ind w:left="720"/>
        <w:rPr>
          <w:rFonts w:eastAsia="Times New Roman" w:cstheme="minorHAnsi"/>
        </w:rPr>
      </w:pPr>
      <w:r w:rsidRPr="007231FA">
        <w:rPr>
          <w:rFonts w:eastAsia="Times New Roman" w:cstheme="minorHAnsi"/>
          <w:b/>
        </w:rPr>
        <w:t>Convictions</w:t>
      </w:r>
      <w:r w:rsidRPr="007231FA">
        <w:rPr>
          <w:rFonts w:eastAsia="Times New Roman" w:cstheme="minorHAnsi"/>
          <w:b/>
          <w:i/>
        </w:rPr>
        <w:t>.</w:t>
      </w:r>
      <w:r w:rsidRPr="007231FA">
        <w:rPr>
          <w:rFonts w:eastAsia="Times New Roman" w:cstheme="minorHAnsi"/>
        </w:rPr>
        <w:t xml:space="preserve"> Prior involvement in the criminal justice system makes it harder to find employment. </w:t>
      </w:r>
      <w:r w:rsidR="00583BD7">
        <w:rPr>
          <w:rFonts w:eastAsia="Times New Roman" w:cstheme="minorHAnsi"/>
        </w:rPr>
        <w:t>The second follow-up survey</w:t>
      </w:r>
      <w:r w:rsidRPr="007231FA">
        <w:rPr>
          <w:rFonts w:eastAsia="Times New Roman" w:cstheme="minorHAnsi"/>
        </w:rPr>
        <w:t xml:space="preserve"> </w:t>
      </w:r>
      <w:r w:rsidR="00C8514D">
        <w:rPr>
          <w:rFonts w:eastAsia="Times New Roman" w:cstheme="minorHAnsi"/>
        </w:rPr>
        <w:t xml:space="preserve">asks </w:t>
      </w:r>
      <w:r w:rsidRPr="007231FA">
        <w:rPr>
          <w:rFonts w:eastAsia="Times New Roman" w:cstheme="minorHAnsi"/>
        </w:rPr>
        <w:t>about convictions that occurred before random assignment as baseline information (if participants did not already provide this information in the first follow-up</w:t>
      </w:r>
      <w:r w:rsidR="008A33BF">
        <w:rPr>
          <w:rFonts w:eastAsia="Times New Roman" w:cstheme="minorHAnsi"/>
        </w:rPr>
        <w:t xml:space="preserve"> survey</w:t>
      </w:r>
      <w:r w:rsidRPr="007231FA">
        <w:rPr>
          <w:rFonts w:eastAsia="Times New Roman" w:cstheme="minorHAnsi"/>
        </w:rPr>
        <w:t>) and convictions that occurred after random assignment or since the first follow-up survey as an outcome that may be affected by coaching.</w:t>
      </w:r>
      <w:r w:rsidR="00583BD7">
        <w:rPr>
          <w:rFonts w:eastAsia="Times New Roman" w:cstheme="minorHAnsi"/>
        </w:rPr>
        <w:t xml:space="preserve"> The third follow-up survey asks about criminal justice involvement in the year before survey response. </w:t>
      </w:r>
    </w:p>
    <w:p w:rsidR="00D7327F" w:rsidP="0077493C" w:rsidRDefault="00752C5F" w14:paraId="14AAC523" w14:textId="4F7373B3">
      <w:pPr>
        <w:numPr>
          <w:ilvl w:val="0"/>
          <w:numId w:val="11"/>
        </w:numPr>
        <w:spacing w:after="60" w:line="240" w:lineRule="auto"/>
        <w:ind w:left="720"/>
        <w:rPr>
          <w:rFonts w:eastAsia="Times New Roman" w:cstheme="minorHAnsi"/>
        </w:rPr>
      </w:pPr>
      <w:r w:rsidRPr="007231FA">
        <w:rPr>
          <w:rFonts w:eastAsia="Times New Roman" w:cstheme="minorHAnsi"/>
          <w:b/>
        </w:rPr>
        <w:t>Economic hardships</w:t>
      </w:r>
      <w:r w:rsidRPr="007231FA">
        <w:rPr>
          <w:rFonts w:eastAsia="Times New Roman" w:cstheme="minorHAnsi"/>
          <w:b/>
          <w:i/>
        </w:rPr>
        <w:t>.</w:t>
      </w:r>
      <w:r w:rsidRPr="007231FA">
        <w:rPr>
          <w:rFonts w:eastAsia="Times New Roman" w:cstheme="minorHAnsi"/>
        </w:rPr>
        <w:t xml:space="preserve"> The</w:t>
      </w:r>
      <w:r w:rsidR="002243C2">
        <w:rPr>
          <w:rFonts w:eastAsia="Times New Roman" w:cstheme="minorHAnsi"/>
        </w:rPr>
        <w:t xml:space="preserve"> second and third</w:t>
      </w:r>
      <w:r w:rsidRPr="007231FA">
        <w:rPr>
          <w:rFonts w:eastAsia="Times New Roman" w:cstheme="minorHAnsi"/>
        </w:rPr>
        <w:t xml:space="preserve"> follow-up survey</w:t>
      </w:r>
      <w:r w:rsidR="002243C2">
        <w:rPr>
          <w:rFonts w:eastAsia="Times New Roman" w:cstheme="minorHAnsi"/>
        </w:rPr>
        <w:t>s</w:t>
      </w:r>
      <w:r w:rsidRPr="007231FA">
        <w:rPr>
          <w:rFonts w:eastAsia="Times New Roman" w:cstheme="minorHAnsi"/>
        </w:rPr>
        <w:t xml:space="preserve"> ask about economic hardships, such as missing meals or needing to borrow money from friends. These outcomes reflect a lack of self-sufficiency and may be affected by coaching. </w:t>
      </w:r>
    </w:p>
    <w:p w:rsidRPr="007D4000" w:rsidR="00575821" w:rsidP="00D7327F" w:rsidRDefault="00575821" w14:paraId="4477804E" w14:textId="382D1D99">
      <w:pPr>
        <w:numPr>
          <w:ilvl w:val="0"/>
          <w:numId w:val="11"/>
        </w:numPr>
        <w:spacing w:after="240" w:line="240" w:lineRule="auto"/>
        <w:ind w:left="720"/>
        <w:rPr>
          <w:rFonts w:eastAsia="Times New Roman" w:cstheme="minorHAnsi"/>
        </w:rPr>
      </w:pPr>
      <w:r>
        <w:rPr>
          <w:rFonts w:eastAsia="Times New Roman" w:cstheme="minorHAnsi"/>
          <w:b/>
        </w:rPr>
        <w:t xml:space="preserve">COVID-19 vaccination status. </w:t>
      </w:r>
      <w:r>
        <w:rPr>
          <w:rFonts w:eastAsia="Times New Roman" w:cstheme="minorHAnsi"/>
          <w:bCs/>
        </w:rPr>
        <w:t xml:space="preserve">The third follow-up survey asks about COVID-19 vaccination status. </w:t>
      </w:r>
      <w:r w:rsidRPr="00575821">
        <w:rPr>
          <w:rFonts w:eastAsia="Times New Roman" w:cstheme="minorHAnsi"/>
          <w:bCs/>
        </w:rPr>
        <w:t xml:space="preserve">This information </w:t>
      </w:r>
      <w:r>
        <w:rPr>
          <w:rFonts w:eastAsia="Times New Roman" w:cstheme="minorHAnsi"/>
          <w:bCs/>
        </w:rPr>
        <w:t>will provide context to observed</w:t>
      </w:r>
      <w:r w:rsidRPr="00575821">
        <w:rPr>
          <w:rFonts w:eastAsia="Times New Roman" w:cstheme="minorHAnsi"/>
          <w:bCs/>
        </w:rPr>
        <w:t xml:space="preserve"> employment patterns given that vaccinated people might be eligible for more jobs than those who are not vaccinated and are less subject to risk of infection or serious disease.</w:t>
      </w:r>
    </w:p>
    <w:p w:rsidRPr="00D7327F" w:rsidR="007D4000" w:rsidP="0077493C" w:rsidRDefault="007D4000" w14:paraId="35D54987" w14:textId="77777777">
      <w:pPr>
        <w:spacing w:after="0" w:line="240" w:lineRule="auto"/>
        <w:ind w:left="720"/>
        <w:rPr>
          <w:rFonts w:eastAsia="Times New Roman" w:cstheme="minorHAnsi"/>
        </w:rPr>
      </w:pPr>
    </w:p>
    <w:p w:rsidRPr="009139B3" w:rsidR="001D1C73" w:rsidP="0077493C" w:rsidRDefault="001D1C73" w14:paraId="62ADEB38" w14:textId="2FFB7D5C">
      <w:pPr>
        <w:spacing w:after="120" w:line="240" w:lineRule="auto"/>
        <w:rPr>
          <w:b/>
        </w:rPr>
      </w:pPr>
      <w:r w:rsidRPr="009139B3">
        <w:rPr>
          <w:b/>
        </w:rPr>
        <w:t>A12</w:t>
      </w:r>
      <w:r w:rsidRPr="009139B3">
        <w:t>.</w:t>
      </w:r>
      <w:r w:rsidRPr="009139B3">
        <w:tab/>
      </w:r>
      <w:r w:rsidRPr="009139B3">
        <w:rPr>
          <w:b/>
        </w:rPr>
        <w:t>Burden</w:t>
      </w:r>
    </w:p>
    <w:p w:rsidRPr="00757789" w:rsidR="00E042B7" w:rsidP="0077493C" w:rsidRDefault="001D1C73" w14:paraId="2DECFD51" w14:textId="76ACC719">
      <w:pPr>
        <w:spacing w:after="60" w:line="240" w:lineRule="auto"/>
        <w:rPr>
          <w:b/>
          <w:bCs/>
          <w:i/>
        </w:rPr>
      </w:pPr>
      <w:r w:rsidRPr="00757789">
        <w:rPr>
          <w:b/>
          <w:bCs/>
          <w:i/>
        </w:rPr>
        <w:t>Explanation of Burden</w:t>
      </w:r>
      <w:r w:rsidRPr="00757789" w:rsidR="00EF189F">
        <w:rPr>
          <w:b/>
          <w:bCs/>
          <w:i/>
        </w:rPr>
        <w:t xml:space="preserve"> and Cost</w:t>
      </w:r>
      <w:r w:rsidRPr="00757789">
        <w:rPr>
          <w:b/>
          <w:bCs/>
          <w:i/>
        </w:rPr>
        <w:t xml:space="preserve"> Estimates</w:t>
      </w:r>
    </w:p>
    <w:p w:rsidR="00A73E5C" w:rsidP="0077493C" w:rsidRDefault="007D4000" w14:paraId="12DB64F9" w14:textId="587A0391">
      <w:pPr>
        <w:spacing w:after="60" w:line="240" w:lineRule="auto"/>
      </w:pPr>
      <w:r>
        <w:t xml:space="preserve">The following provides information about how </w:t>
      </w:r>
      <w:r w:rsidR="00F2424B">
        <w:t>w</w:t>
      </w:r>
      <w:r w:rsidR="00606E41">
        <w:t xml:space="preserve">e </w:t>
      </w:r>
      <w:r w:rsidR="00196DF6">
        <w:t>calculate</w:t>
      </w:r>
      <w:r w:rsidR="004C1377">
        <w:t>d</w:t>
      </w:r>
      <w:r w:rsidR="00606E41">
        <w:t xml:space="preserve"> </w:t>
      </w:r>
      <w:r w:rsidR="00D22E67">
        <w:t xml:space="preserve">respondent burden </w:t>
      </w:r>
      <w:r w:rsidR="00F30A7C">
        <w:t>for</w:t>
      </w:r>
      <w:r w:rsidR="00A73E5C">
        <w:t xml:space="preserve"> </w:t>
      </w:r>
      <w:r>
        <w:t>each activity:</w:t>
      </w:r>
      <w:r w:rsidR="00A73E5C">
        <w:t xml:space="preserve"> </w:t>
      </w:r>
    </w:p>
    <w:p w:rsidR="00A73E5C" w:rsidP="0077493C" w:rsidRDefault="00A73E5C" w14:paraId="4F72FC7A" w14:textId="49358BA8">
      <w:pPr>
        <w:pStyle w:val="NormalSS"/>
        <w:numPr>
          <w:ilvl w:val="0"/>
          <w:numId w:val="9"/>
        </w:numPr>
        <w:tabs>
          <w:tab w:val="clear" w:pos="432"/>
        </w:tabs>
        <w:spacing w:after="60"/>
        <w:jc w:val="left"/>
        <w:rPr>
          <w:rFonts w:asciiTheme="minorHAnsi" w:hAnsiTheme="minorHAnsi" w:cstheme="minorHAnsi"/>
          <w:sz w:val="22"/>
          <w:szCs w:val="22"/>
        </w:rPr>
      </w:pPr>
      <w:r w:rsidRPr="0077493C">
        <w:rPr>
          <w:rFonts w:asciiTheme="minorHAnsi" w:hAnsiTheme="minorHAnsi" w:cstheme="minorHAnsi"/>
          <w:b/>
          <w:bCs/>
          <w:sz w:val="22"/>
          <w:szCs w:val="22"/>
        </w:rPr>
        <w:t xml:space="preserve">Second follow-up survey (Attachment </w:t>
      </w:r>
      <w:r w:rsidRPr="0077493C" w:rsidR="00672CF1">
        <w:rPr>
          <w:rFonts w:asciiTheme="minorHAnsi" w:hAnsiTheme="minorHAnsi" w:cstheme="minorHAnsi"/>
          <w:b/>
          <w:bCs/>
          <w:sz w:val="22"/>
          <w:szCs w:val="22"/>
        </w:rPr>
        <w:t>N</w:t>
      </w:r>
      <w:r w:rsidRPr="0077493C">
        <w:rPr>
          <w:rFonts w:asciiTheme="minorHAnsi" w:hAnsiTheme="minorHAnsi" w:cstheme="minorHAnsi"/>
          <w:b/>
          <w:bCs/>
          <w:sz w:val="22"/>
          <w:szCs w:val="22"/>
        </w:rPr>
        <w:t>)</w:t>
      </w:r>
      <w:r w:rsidRPr="0077493C" w:rsidR="00196DF6">
        <w:rPr>
          <w:rFonts w:asciiTheme="minorHAnsi" w:hAnsiTheme="minorHAnsi" w:cstheme="minorHAnsi"/>
          <w:b/>
          <w:bCs/>
          <w:sz w:val="22"/>
          <w:szCs w:val="22"/>
        </w:rPr>
        <w:t>.</w:t>
      </w:r>
      <w:r w:rsidR="00196DF6">
        <w:rPr>
          <w:rFonts w:asciiTheme="minorHAnsi" w:hAnsiTheme="minorHAnsi" w:cstheme="minorHAnsi"/>
          <w:sz w:val="22"/>
          <w:szCs w:val="22"/>
        </w:rPr>
        <w:t xml:space="preserve"> </w:t>
      </w:r>
      <w:r w:rsidR="008732FB">
        <w:rPr>
          <w:rFonts w:asciiTheme="minorHAnsi" w:hAnsiTheme="minorHAnsi" w:cstheme="minorHAnsi"/>
          <w:sz w:val="22"/>
          <w:szCs w:val="22"/>
        </w:rPr>
        <w:t>For this ongoing data collection, w</w:t>
      </w:r>
      <w:r w:rsidR="00196DF6">
        <w:rPr>
          <w:rFonts w:asciiTheme="minorHAnsi" w:hAnsiTheme="minorHAnsi" w:cstheme="minorHAnsi"/>
          <w:sz w:val="22"/>
          <w:szCs w:val="22"/>
        </w:rPr>
        <w:t xml:space="preserve">e anticipate an average burden of about </w:t>
      </w:r>
      <w:r w:rsidR="00014AC7">
        <w:rPr>
          <w:rFonts w:asciiTheme="minorHAnsi" w:hAnsiTheme="minorHAnsi" w:cstheme="minorHAnsi"/>
          <w:sz w:val="22"/>
          <w:szCs w:val="22"/>
        </w:rPr>
        <w:t xml:space="preserve">45 minutes per completion based on </w:t>
      </w:r>
      <w:r w:rsidR="008732FB">
        <w:rPr>
          <w:rFonts w:asciiTheme="minorHAnsi" w:hAnsiTheme="minorHAnsi" w:cstheme="minorHAnsi"/>
          <w:sz w:val="22"/>
          <w:szCs w:val="22"/>
        </w:rPr>
        <w:t xml:space="preserve">responses to date. </w:t>
      </w:r>
      <w:r w:rsidR="007D4000">
        <w:rPr>
          <w:rFonts w:asciiTheme="minorHAnsi" w:hAnsiTheme="minorHAnsi" w:cstheme="minorHAnsi"/>
          <w:sz w:val="22"/>
          <w:szCs w:val="22"/>
        </w:rPr>
        <w:t xml:space="preserve">This is consistent with our previous estimate. </w:t>
      </w:r>
      <w:r w:rsidR="001B64F1">
        <w:rPr>
          <w:rFonts w:asciiTheme="minorHAnsi" w:hAnsiTheme="minorHAnsi" w:cstheme="minorHAnsi"/>
          <w:sz w:val="22"/>
          <w:szCs w:val="22"/>
        </w:rPr>
        <w:t>There are 824 remaining potential respondents.</w:t>
      </w:r>
    </w:p>
    <w:p w:rsidR="008732FB" w:rsidP="0077493C" w:rsidRDefault="008732FB" w14:paraId="19950561" w14:textId="482BA8C2">
      <w:pPr>
        <w:pStyle w:val="NormalSS"/>
        <w:numPr>
          <w:ilvl w:val="0"/>
          <w:numId w:val="9"/>
        </w:numPr>
        <w:tabs>
          <w:tab w:val="clear" w:pos="432"/>
        </w:tabs>
        <w:spacing w:after="60"/>
        <w:jc w:val="left"/>
        <w:rPr>
          <w:rFonts w:asciiTheme="minorHAnsi" w:hAnsiTheme="minorHAnsi" w:cstheme="minorHAnsi"/>
          <w:sz w:val="22"/>
          <w:szCs w:val="22"/>
        </w:rPr>
      </w:pPr>
      <w:bookmarkStart w:name="_Hlk96079090" w:id="6"/>
      <w:r w:rsidRPr="0077493C">
        <w:rPr>
          <w:rFonts w:asciiTheme="minorHAnsi" w:hAnsiTheme="minorHAnsi" w:cstheme="minorHAnsi"/>
          <w:b/>
          <w:bCs/>
          <w:sz w:val="22"/>
          <w:szCs w:val="22"/>
        </w:rPr>
        <w:t>Third follow-up survey (A</w:t>
      </w:r>
      <w:r w:rsidRPr="0077493C" w:rsidR="001B64F1">
        <w:rPr>
          <w:rFonts w:asciiTheme="minorHAnsi" w:hAnsiTheme="minorHAnsi" w:cstheme="minorHAnsi"/>
          <w:b/>
          <w:bCs/>
          <w:sz w:val="22"/>
          <w:szCs w:val="22"/>
        </w:rPr>
        <w:t>ttachment Q).</w:t>
      </w:r>
      <w:r w:rsidR="001B64F1">
        <w:rPr>
          <w:rFonts w:asciiTheme="minorHAnsi" w:hAnsiTheme="minorHAnsi" w:cstheme="minorHAnsi"/>
          <w:sz w:val="22"/>
          <w:szCs w:val="22"/>
        </w:rPr>
        <w:t xml:space="preserve"> </w:t>
      </w:r>
      <w:r w:rsidR="009D5267">
        <w:rPr>
          <w:rFonts w:asciiTheme="minorHAnsi" w:hAnsiTheme="minorHAnsi" w:cstheme="minorHAnsi"/>
          <w:sz w:val="22"/>
          <w:szCs w:val="22"/>
        </w:rPr>
        <w:t xml:space="preserve">We anticipate an average burden of about 45 minutes per completion given experience with the first and second follow-up surveys, which are similar in structure and content. </w:t>
      </w:r>
      <w:r w:rsidR="00575821">
        <w:rPr>
          <w:rFonts w:asciiTheme="minorHAnsi" w:hAnsiTheme="minorHAnsi" w:cstheme="minorHAnsi"/>
          <w:sz w:val="22"/>
          <w:szCs w:val="22"/>
        </w:rPr>
        <w:t xml:space="preserve">We plan to attempt to </w:t>
      </w:r>
      <w:r w:rsidR="001D6153">
        <w:rPr>
          <w:rFonts w:asciiTheme="minorHAnsi" w:hAnsiTheme="minorHAnsi" w:cstheme="minorHAnsi"/>
          <w:sz w:val="22"/>
          <w:szCs w:val="22"/>
        </w:rPr>
        <w:t xml:space="preserve">administer </w:t>
      </w:r>
      <w:r w:rsidR="00575821">
        <w:rPr>
          <w:rFonts w:asciiTheme="minorHAnsi" w:hAnsiTheme="minorHAnsi" w:cstheme="minorHAnsi"/>
          <w:sz w:val="22"/>
          <w:szCs w:val="22"/>
        </w:rPr>
        <w:t xml:space="preserve">the third follow-up survey for all study participants for the FaDSS, </w:t>
      </w:r>
      <w:r w:rsidR="004F6ED0">
        <w:rPr>
          <w:rFonts w:asciiTheme="minorHAnsi" w:hAnsiTheme="minorHAnsi" w:cstheme="minorHAnsi"/>
          <w:sz w:val="22"/>
          <w:szCs w:val="22"/>
        </w:rPr>
        <w:t xml:space="preserve">Goal4 It!, </w:t>
      </w:r>
      <w:r w:rsidR="00575821">
        <w:rPr>
          <w:rFonts w:asciiTheme="minorHAnsi" w:hAnsiTheme="minorHAnsi" w:cstheme="minorHAnsi"/>
          <w:sz w:val="22"/>
          <w:szCs w:val="22"/>
        </w:rPr>
        <w:t xml:space="preserve">LIFT, MyGoals Baltimore, and MyGoals Houston interventions who did not adamantly refuse response to the first or second follow-up surveys and who are not deceased. </w:t>
      </w:r>
      <w:r w:rsidR="005A3053">
        <w:rPr>
          <w:rFonts w:asciiTheme="minorHAnsi" w:hAnsiTheme="minorHAnsi" w:cstheme="minorHAnsi"/>
          <w:sz w:val="22"/>
          <w:szCs w:val="22"/>
        </w:rPr>
        <w:t>There are 4,239 potential respondents to the third follow-up survey</w:t>
      </w:r>
      <w:r w:rsidR="00575821">
        <w:rPr>
          <w:rFonts w:asciiTheme="minorHAnsi" w:hAnsiTheme="minorHAnsi" w:cstheme="minorHAnsi"/>
          <w:sz w:val="22"/>
          <w:szCs w:val="22"/>
        </w:rPr>
        <w:t xml:space="preserve"> from the original </w:t>
      </w:r>
      <w:r w:rsidR="0043713F">
        <w:rPr>
          <w:rFonts w:asciiTheme="minorHAnsi" w:hAnsiTheme="minorHAnsi" w:cstheme="minorHAnsi"/>
          <w:sz w:val="22"/>
          <w:szCs w:val="22"/>
        </w:rPr>
        <w:t>4,273</w:t>
      </w:r>
      <w:r w:rsidR="00575821">
        <w:rPr>
          <w:rFonts w:asciiTheme="minorHAnsi" w:hAnsiTheme="minorHAnsi" w:cstheme="minorHAnsi"/>
          <w:sz w:val="22"/>
          <w:szCs w:val="22"/>
        </w:rPr>
        <w:t xml:space="preserve"> study participants for these interventions</w:t>
      </w:r>
      <w:bookmarkEnd w:id="6"/>
      <w:r w:rsidR="005A3053">
        <w:rPr>
          <w:rFonts w:asciiTheme="minorHAnsi" w:hAnsiTheme="minorHAnsi" w:cstheme="minorHAnsi"/>
          <w:sz w:val="22"/>
          <w:szCs w:val="22"/>
        </w:rPr>
        <w:t>.</w:t>
      </w:r>
    </w:p>
    <w:p w:rsidR="005A3053" w:rsidP="0077493C" w:rsidRDefault="00420733" w14:paraId="72446D69" w14:textId="08255B9B">
      <w:pPr>
        <w:pStyle w:val="NormalSS"/>
        <w:numPr>
          <w:ilvl w:val="0"/>
          <w:numId w:val="9"/>
        </w:numPr>
        <w:tabs>
          <w:tab w:val="clear" w:pos="432"/>
        </w:tabs>
        <w:spacing w:after="60"/>
        <w:jc w:val="left"/>
        <w:rPr>
          <w:rFonts w:asciiTheme="minorHAnsi" w:hAnsiTheme="minorHAnsi" w:cstheme="minorHAnsi"/>
          <w:sz w:val="22"/>
          <w:szCs w:val="22"/>
        </w:rPr>
      </w:pPr>
      <w:r w:rsidRPr="0077493C">
        <w:rPr>
          <w:rFonts w:asciiTheme="minorHAnsi" w:hAnsiTheme="minorHAnsi" w:cstheme="minorHAnsi"/>
          <w:b/>
          <w:bCs/>
          <w:sz w:val="22"/>
          <w:szCs w:val="22"/>
        </w:rPr>
        <w:t>Semi-structured management</w:t>
      </w:r>
      <w:r w:rsidRPr="0077493C" w:rsidR="009723CC">
        <w:rPr>
          <w:rFonts w:asciiTheme="minorHAnsi" w:hAnsiTheme="minorHAnsi" w:cstheme="minorHAnsi"/>
          <w:b/>
          <w:bCs/>
          <w:sz w:val="22"/>
          <w:szCs w:val="22"/>
        </w:rPr>
        <w:t xml:space="preserve"> interviews (Attachment R).</w:t>
      </w:r>
      <w:r w:rsidRPr="0077493C" w:rsidR="00ED7CBC">
        <w:rPr>
          <w:rFonts w:asciiTheme="minorHAnsi" w:hAnsiTheme="minorHAnsi" w:cstheme="minorHAnsi"/>
          <w:b/>
          <w:bCs/>
          <w:sz w:val="22"/>
          <w:szCs w:val="22"/>
        </w:rPr>
        <w:t xml:space="preserve"> </w:t>
      </w:r>
      <w:r w:rsidR="00ED7CBC">
        <w:rPr>
          <w:rFonts w:asciiTheme="minorHAnsi" w:hAnsiTheme="minorHAnsi" w:cstheme="minorHAnsi"/>
          <w:sz w:val="22"/>
          <w:szCs w:val="22"/>
        </w:rPr>
        <w:t>We anticipate that these interviews will take an hour to complete on average</w:t>
      </w:r>
      <w:r w:rsidR="00C04D28">
        <w:rPr>
          <w:rFonts w:asciiTheme="minorHAnsi" w:hAnsiTheme="minorHAnsi" w:cstheme="minorHAnsi"/>
          <w:sz w:val="22"/>
          <w:szCs w:val="22"/>
        </w:rPr>
        <w:t xml:space="preserve"> based on experience with earlier semi-structured staff interviews conducted as part of the implementation study</w:t>
      </w:r>
      <w:r w:rsidR="00ED7CBC">
        <w:rPr>
          <w:rFonts w:asciiTheme="minorHAnsi" w:hAnsiTheme="minorHAnsi" w:cstheme="minorHAnsi"/>
          <w:sz w:val="22"/>
          <w:szCs w:val="22"/>
        </w:rPr>
        <w:t xml:space="preserve">. We propose </w:t>
      </w:r>
      <w:r w:rsidR="00C46B68">
        <w:rPr>
          <w:rFonts w:asciiTheme="minorHAnsi" w:hAnsiTheme="minorHAnsi" w:cstheme="minorHAnsi"/>
          <w:sz w:val="22"/>
          <w:szCs w:val="22"/>
        </w:rPr>
        <w:t xml:space="preserve">conducting 20 interviews with management </w:t>
      </w:r>
      <w:r w:rsidR="00956982">
        <w:rPr>
          <w:rFonts w:asciiTheme="minorHAnsi" w:hAnsiTheme="minorHAnsi" w:cstheme="minorHAnsi"/>
          <w:sz w:val="22"/>
          <w:szCs w:val="22"/>
        </w:rPr>
        <w:t>staff</w:t>
      </w:r>
      <w:r w:rsidR="00C04D28">
        <w:rPr>
          <w:rFonts w:asciiTheme="minorHAnsi" w:hAnsiTheme="minorHAnsi" w:cstheme="minorHAnsi"/>
          <w:sz w:val="22"/>
          <w:szCs w:val="22"/>
        </w:rPr>
        <w:t>.</w:t>
      </w:r>
    </w:p>
    <w:p w:rsidR="00956982" w:rsidP="0077493C" w:rsidRDefault="00956982" w14:paraId="15C2C959" w14:textId="754CBAA7">
      <w:pPr>
        <w:pStyle w:val="NormalSS"/>
        <w:numPr>
          <w:ilvl w:val="0"/>
          <w:numId w:val="9"/>
        </w:numPr>
        <w:tabs>
          <w:tab w:val="clear" w:pos="432"/>
        </w:tabs>
        <w:spacing w:after="60"/>
        <w:jc w:val="left"/>
        <w:rPr>
          <w:rFonts w:asciiTheme="minorHAnsi" w:hAnsiTheme="minorHAnsi" w:cstheme="minorHAnsi"/>
          <w:sz w:val="22"/>
          <w:szCs w:val="22"/>
        </w:rPr>
      </w:pPr>
      <w:r w:rsidRPr="0077493C">
        <w:rPr>
          <w:rFonts w:asciiTheme="minorHAnsi" w:hAnsiTheme="minorHAnsi" w:cstheme="minorHAnsi"/>
          <w:b/>
          <w:bCs/>
          <w:sz w:val="22"/>
          <w:szCs w:val="22"/>
        </w:rPr>
        <w:t>Semi-structured staff and supervisor interviews (Attachment S).</w:t>
      </w:r>
      <w:r>
        <w:rPr>
          <w:rFonts w:asciiTheme="minorHAnsi" w:hAnsiTheme="minorHAnsi" w:cstheme="minorHAnsi"/>
          <w:sz w:val="22"/>
          <w:szCs w:val="22"/>
        </w:rPr>
        <w:t xml:space="preserve"> We anticipate that these interviews will take an hour to complete on average based on experience with earlier semi-</w:t>
      </w:r>
      <w:r>
        <w:rPr>
          <w:rFonts w:asciiTheme="minorHAnsi" w:hAnsiTheme="minorHAnsi" w:cstheme="minorHAnsi"/>
          <w:sz w:val="22"/>
          <w:szCs w:val="22"/>
        </w:rPr>
        <w:lastRenderedPageBreak/>
        <w:t>structured staff interviews conducted as part of the implementation study. We propose conducting 40 interviews with staff and supervisors.</w:t>
      </w:r>
    </w:p>
    <w:p w:rsidRPr="00E435DD" w:rsidR="009723CC" w:rsidP="004E4C1D" w:rsidRDefault="009723CC" w14:paraId="6291C7AC" w14:textId="01F0976A">
      <w:pPr>
        <w:pStyle w:val="NormalSS"/>
        <w:numPr>
          <w:ilvl w:val="0"/>
          <w:numId w:val="9"/>
        </w:numPr>
        <w:tabs>
          <w:tab w:val="clear" w:pos="432"/>
        </w:tabs>
        <w:jc w:val="left"/>
        <w:rPr>
          <w:rFonts w:asciiTheme="minorHAnsi" w:hAnsiTheme="minorHAnsi" w:cstheme="minorHAnsi"/>
          <w:sz w:val="22"/>
          <w:szCs w:val="22"/>
        </w:rPr>
      </w:pPr>
      <w:r w:rsidRPr="0077493C">
        <w:rPr>
          <w:rFonts w:asciiTheme="minorHAnsi" w:hAnsiTheme="minorHAnsi" w:cstheme="minorHAnsi"/>
          <w:b/>
          <w:bCs/>
          <w:sz w:val="22"/>
          <w:szCs w:val="22"/>
        </w:rPr>
        <w:t xml:space="preserve">Semi-structured </w:t>
      </w:r>
      <w:r w:rsidRPr="0077493C" w:rsidR="00ED7CBC">
        <w:rPr>
          <w:rFonts w:asciiTheme="minorHAnsi" w:hAnsiTheme="minorHAnsi" w:cstheme="minorHAnsi"/>
          <w:b/>
          <w:bCs/>
          <w:sz w:val="22"/>
          <w:szCs w:val="22"/>
        </w:rPr>
        <w:t xml:space="preserve">participant interviews (Attachment </w:t>
      </w:r>
      <w:r w:rsidRPr="0077493C" w:rsidR="00D060BB">
        <w:rPr>
          <w:rFonts w:asciiTheme="minorHAnsi" w:hAnsiTheme="minorHAnsi" w:cstheme="minorHAnsi"/>
          <w:b/>
          <w:bCs/>
          <w:sz w:val="22"/>
          <w:szCs w:val="22"/>
        </w:rPr>
        <w:t>T</w:t>
      </w:r>
      <w:r w:rsidRPr="0077493C" w:rsidR="00ED7CBC">
        <w:rPr>
          <w:rFonts w:asciiTheme="minorHAnsi" w:hAnsiTheme="minorHAnsi" w:cstheme="minorHAnsi"/>
          <w:b/>
          <w:bCs/>
          <w:sz w:val="22"/>
          <w:szCs w:val="22"/>
        </w:rPr>
        <w:t>).</w:t>
      </w:r>
      <w:r w:rsidRPr="009379E0" w:rsidR="00C04D28">
        <w:rPr>
          <w:rFonts w:asciiTheme="minorHAnsi" w:hAnsiTheme="minorHAnsi" w:cstheme="minorHAnsi"/>
          <w:sz w:val="22"/>
          <w:szCs w:val="22"/>
        </w:rPr>
        <w:t xml:space="preserve"> </w:t>
      </w:r>
      <w:r w:rsidRPr="00BC1C00" w:rsidR="00C04D28">
        <w:rPr>
          <w:rFonts w:asciiTheme="minorHAnsi" w:hAnsiTheme="minorHAnsi" w:cstheme="minorHAnsi"/>
          <w:sz w:val="22"/>
          <w:szCs w:val="22"/>
        </w:rPr>
        <w:t>We anticipate that the</w:t>
      </w:r>
      <w:r w:rsidRPr="00BC1C00" w:rsidR="003710CF">
        <w:rPr>
          <w:rFonts w:asciiTheme="minorHAnsi" w:hAnsiTheme="minorHAnsi" w:cstheme="minorHAnsi"/>
          <w:sz w:val="22"/>
          <w:szCs w:val="22"/>
        </w:rPr>
        <w:t xml:space="preserve"> duration of the interviews will vary by site</w:t>
      </w:r>
      <w:r w:rsidRPr="006C511E" w:rsidR="00AE611C">
        <w:rPr>
          <w:rFonts w:asciiTheme="minorHAnsi" w:hAnsiTheme="minorHAnsi" w:cstheme="minorHAnsi"/>
          <w:sz w:val="22"/>
          <w:szCs w:val="22"/>
        </w:rPr>
        <w:t xml:space="preserve"> because </w:t>
      </w:r>
      <w:r w:rsidRPr="007231FA" w:rsidR="00AE611C">
        <w:rPr>
          <w:rFonts w:asciiTheme="minorHAnsi" w:hAnsiTheme="minorHAnsi" w:cstheme="minorHAnsi"/>
          <w:sz w:val="22"/>
          <w:szCs w:val="22"/>
        </w:rPr>
        <w:t xml:space="preserve">of differences in the number of questions asked by site. </w:t>
      </w:r>
      <w:r w:rsidRPr="007231FA" w:rsidR="002E18EC">
        <w:rPr>
          <w:rFonts w:asciiTheme="minorHAnsi" w:hAnsiTheme="minorHAnsi" w:cstheme="minorHAnsi"/>
          <w:sz w:val="22"/>
          <w:szCs w:val="22"/>
        </w:rPr>
        <w:t>We expect the average interview to last 90 minutes for FaDSS and Goal4 It!</w:t>
      </w:r>
      <w:r w:rsidR="00E435DD">
        <w:rPr>
          <w:rFonts w:asciiTheme="minorHAnsi" w:hAnsiTheme="minorHAnsi" w:cstheme="minorHAnsi"/>
          <w:sz w:val="22"/>
          <w:szCs w:val="22"/>
        </w:rPr>
        <w:t xml:space="preserve"> participants</w:t>
      </w:r>
      <w:r w:rsidRPr="00E435DD" w:rsidR="002E18EC">
        <w:rPr>
          <w:rFonts w:asciiTheme="minorHAnsi" w:hAnsiTheme="minorHAnsi" w:cstheme="minorHAnsi"/>
          <w:sz w:val="22"/>
          <w:szCs w:val="22"/>
        </w:rPr>
        <w:t>, 120 minutes for LIFT</w:t>
      </w:r>
      <w:r w:rsidR="00E435DD">
        <w:rPr>
          <w:rFonts w:asciiTheme="minorHAnsi" w:hAnsiTheme="minorHAnsi" w:cstheme="minorHAnsi"/>
          <w:sz w:val="22"/>
          <w:szCs w:val="22"/>
        </w:rPr>
        <w:t xml:space="preserve"> participants</w:t>
      </w:r>
      <w:r w:rsidRPr="00E435DD" w:rsidR="00E435DD">
        <w:rPr>
          <w:rFonts w:asciiTheme="minorHAnsi" w:hAnsiTheme="minorHAnsi" w:cstheme="minorHAnsi"/>
          <w:sz w:val="22"/>
          <w:szCs w:val="22"/>
        </w:rPr>
        <w:t>, and</w:t>
      </w:r>
      <w:r w:rsidR="00E435DD">
        <w:rPr>
          <w:rFonts w:asciiTheme="minorHAnsi" w:hAnsiTheme="minorHAnsi" w:cstheme="minorHAnsi"/>
          <w:sz w:val="22"/>
          <w:szCs w:val="22"/>
        </w:rPr>
        <w:t xml:space="preserve"> </w:t>
      </w:r>
      <w:r w:rsidRPr="00E435DD" w:rsidR="002E18EC">
        <w:rPr>
          <w:rFonts w:asciiTheme="minorHAnsi" w:hAnsiTheme="minorHAnsi" w:cstheme="minorHAnsi"/>
          <w:sz w:val="22"/>
          <w:szCs w:val="22"/>
        </w:rPr>
        <w:t xml:space="preserve">150 minutes </w:t>
      </w:r>
      <w:r w:rsidR="00E435DD">
        <w:rPr>
          <w:rFonts w:asciiTheme="minorHAnsi" w:hAnsiTheme="minorHAnsi" w:cstheme="minorHAnsi"/>
          <w:sz w:val="22"/>
          <w:szCs w:val="22"/>
        </w:rPr>
        <w:t xml:space="preserve">for </w:t>
      </w:r>
      <w:r w:rsidRPr="00E435DD" w:rsidR="002E18EC">
        <w:rPr>
          <w:rFonts w:asciiTheme="minorHAnsi" w:hAnsiTheme="minorHAnsi" w:cstheme="minorHAnsi"/>
          <w:sz w:val="22"/>
          <w:szCs w:val="22"/>
        </w:rPr>
        <w:t xml:space="preserve">MyGoals </w:t>
      </w:r>
      <w:r w:rsidR="00E435DD">
        <w:rPr>
          <w:rFonts w:asciiTheme="minorHAnsi" w:hAnsiTheme="minorHAnsi" w:cstheme="minorHAnsi"/>
          <w:sz w:val="22"/>
          <w:szCs w:val="22"/>
        </w:rPr>
        <w:t>participants.</w:t>
      </w:r>
      <w:r w:rsidRPr="00E435DD" w:rsidR="00C04D28">
        <w:rPr>
          <w:rFonts w:asciiTheme="minorHAnsi" w:hAnsiTheme="minorHAnsi" w:cstheme="minorHAnsi"/>
          <w:sz w:val="22"/>
          <w:szCs w:val="22"/>
        </w:rPr>
        <w:t xml:space="preserve"> We propose conducting</w:t>
      </w:r>
      <w:r w:rsidR="002964CC">
        <w:rPr>
          <w:rFonts w:asciiTheme="minorHAnsi" w:hAnsiTheme="minorHAnsi" w:cstheme="minorHAnsi"/>
          <w:sz w:val="22"/>
          <w:szCs w:val="22"/>
        </w:rPr>
        <w:t xml:space="preserve"> approximately</w:t>
      </w:r>
      <w:r w:rsidRPr="00E435DD" w:rsidR="00C04D28">
        <w:rPr>
          <w:rFonts w:asciiTheme="minorHAnsi" w:hAnsiTheme="minorHAnsi" w:cstheme="minorHAnsi"/>
          <w:sz w:val="22"/>
          <w:szCs w:val="22"/>
        </w:rPr>
        <w:t xml:space="preserve"> </w:t>
      </w:r>
      <w:r w:rsidR="00796C59">
        <w:rPr>
          <w:rFonts w:asciiTheme="minorHAnsi" w:hAnsiTheme="minorHAnsi" w:cstheme="minorHAnsi"/>
          <w:sz w:val="22"/>
          <w:szCs w:val="22"/>
        </w:rPr>
        <w:t>7</w:t>
      </w:r>
      <w:r w:rsidRPr="00E435DD" w:rsidR="00796C59">
        <w:rPr>
          <w:rFonts w:asciiTheme="minorHAnsi" w:hAnsiTheme="minorHAnsi" w:cstheme="minorHAnsi"/>
          <w:sz w:val="22"/>
          <w:szCs w:val="22"/>
        </w:rPr>
        <w:t xml:space="preserve"> </w:t>
      </w:r>
      <w:r w:rsidRPr="00E435DD" w:rsidR="00C04D28">
        <w:rPr>
          <w:rFonts w:asciiTheme="minorHAnsi" w:hAnsiTheme="minorHAnsi" w:cstheme="minorHAnsi"/>
          <w:sz w:val="22"/>
          <w:szCs w:val="22"/>
        </w:rPr>
        <w:t xml:space="preserve">interviews with </w:t>
      </w:r>
      <w:r w:rsidR="00C5498F">
        <w:rPr>
          <w:rFonts w:asciiTheme="minorHAnsi" w:hAnsiTheme="minorHAnsi" w:cstheme="minorHAnsi"/>
          <w:sz w:val="22"/>
          <w:szCs w:val="22"/>
        </w:rPr>
        <w:t xml:space="preserve">participants from each of the </w:t>
      </w:r>
      <w:r w:rsidRPr="000D6F0F" w:rsidR="00B10353">
        <w:rPr>
          <w:rFonts w:asciiTheme="minorHAnsi" w:hAnsiTheme="minorHAnsi" w:cstheme="minorHAnsi"/>
          <w:sz w:val="22"/>
          <w:szCs w:val="22"/>
        </w:rPr>
        <w:t>FaDSS</w:t>
      </w:r>
      <w:r w:rsidR="00796C59">
        <w:rPr>
          <w:rFonts w:asciiTheme="minorHAnsi" w:hAnsiTheme="minorHAnsi" w:cstheme="minorHAnsi"/>
          <w:sz w:val="22"/>
          <w:szCs w:val="22"/>
        </w:rPr>
        <w:t>,</w:t>
      </w:r>
      <w:r w:rsidRPr="000D6F0F" w:rsidR="00B10353">
        <w:rPr>
          <w:rFonts w:asciiTheme="minorHAnsi" w:hAnsiTheme="minorHAnsi" w:cstheme="minorHAnsi"/>
          <w:sz w:val="22"/>
          <w:szCs w:val="22"/>
        </w:rPr>
        <w:t xml:space="preserve"> Goal4 It!</w:t>
      </w:r>
      <w:r w:rsidR="00796C59">
        <w:rPr>
          <w:rFonts w:asciiTheme="minorHAnsi" w:hAnsiTheme="minorHAnsi" w:cstheme="minorHAnsi"/>
          <w:sz w:val="22"/>
          <w:szCs w:val="22"/>
        </w:rPr>
        <w:t>, LIFT</w:t>
      </w:r>
      <w:r w:rsidR="00C5498F">
        <w:rPr>
          <w:rFonts w:asciiTheme="minorHAnsi" w:hAnsiTheme="minorHAnsi" w:cstheme="minorHAnsi"/>
          <w:sz w:val="22"/>
          <w:szCs w:val="22"/>
        </w:rPr>
        <w:t>, MyGoals Baltimore, and MyGoals Houston sites</w:t>
      </w:r>
      <w:r w:rsidR="003D07BC">
        <w:rPr>
          <w:rFonts w:asciiTheme="minorHAnsi" w:hAnsiTheme="minorHAnsi" w:cstheme="minorHAnsi"/>
          <w:sz w:val="22"/>
          <w:szCs w:val="22"/>
        </w:rPr>
        <w:t xml:space="preserve">. </w:t>
      </w:r>
    </w:p>
    <w:p w:rsidRPr="00757789" w:rsidR="009379E0" w:rsidP="00D15A2F" w:rsidRDefault="009379E0" w14:paraId="52E03EF9" w14:textId="77777777">
      <w:pPr>
        <w:spacing w:after="60" w:line="240" w:lineRule="auto"/>
        <w:rPr>
          <w:b/>
          <w:bCs/>
          <w:i/>
        </w:rPr>
      </w:pPr>
      <w:r w:rsidRPr="00757789">
        <w:rPr>
          <w:b/>
          <w:bCs/>
          <w:i/>
        </w:rPr>
        <w:t>Estimated Annualized Cost to Respondents</w:t>
      </w:r>
    </w:p>
    <w:p w:rsidR="00B5239C" w:rsidP="004E4C1D" w:rsidRDefault="00D15A2F" w14:paraId="563EA1DB" w14:textId="61E36ADE">
      <w:pPr>
        <w:spacing w:after="240" w:line="240" w:lineRule="auto"/>
      </w:pPr>
      <w:r>
        <w:t>To estimate annualized costs to respondents to the second follow-up survey and semi-structured interviews with program participants, w</w:t>
      </w:r>
      <w:r w:rsidRPr="0077493C" w:rsidR="0077493C">
        <w:t xml:space="preserve">e used the federal minimum wage as the basis for program participant respondent hourly wage. </w:t>
      </w:r>
      <w:r>
        <w:t>For other semi-structured interviews, w</w:t>
      </w:r>
      <w:r w:rsidRPr="0077493C" w:rsidR="0077493C">
        <w:t>e used the U.S. Bureau of Labor Statistics Occupational Employment and Wages 11-9151 Social and Community Service Managers median rate as the basis for management, staff, and supervisor respondent hourly wage.</w:t>
      </w:r>
    </w:p>
    <w:p w:rsidR="00A73E5C" w:rsidP="004E4C1D" w:rsidRDefault="00A73E5C" w14:paraId="181721D2" w14:textId="240D5012">
      <w:pPr>
        <w:spacing w:after="240" w:line="240" w:lineRule="auto"/>
        <w:rPr>
          <w:i/>
        </w:rPr>
      </w:pPr>
      <w:r>
        <w:t>Table A.</w:t>
      </w:r>
      <w:r w:rsidR="00130D24">
        <w:t>2</w:t>
      </w:r>
      <w:r>
        <w:t xml:space="preserve"> presents the </w:t>
      </w:r>
      <w:r w:rsidR="00EE252C">
        <w:t xml:space="preserve">618 </w:t>
      </w:r>
      <w:r>
        <w:t>annual burden hours remaining at the time of this request from the previously approved information collection</w:t>
      </w:r>
      <w:r w:rsidR="00106D2C">
        <w:t xml:space="preserve"> for which we are requesting an </w:t>
      </w:r>
      <w:r w:rsidR="005E7706">
        <w:t>extension</w:t>
      </w:r>
      <w:r>
        <w:t>.</w:t>
      </w:r>
    </w:p>
    <w:p w:rsidRPr="00B22682" w:rsidR="00A12517" w:rsidP="007231FA" w:rsidRDefault="00106D2C" w14:paraId="0A80DC72" w14:textId="5F0C9B6A">
      <w:pPr>
        <w:pStyle w:val="TableTitle"/>
      </w:pPr>
      <w:r>
        <w:t>Table A.</w:t>
      </w:r>
      <w:r w:rsidR="00130D24">
        <w:t>2</w:t>
      </w:r>
      <w:r>
        <w:t xml:space="preserve">. </w:t>
      </w:r>
      <w:r w:rsidR="00A12517">
        <w:t xml:space="preserve">Annual Burden Estimates -- </w:t>
      </w:r>
      <w:r w:rsidRPr="009749F5" w:rsidR="00A12517">
        <w:t>Burden Remaining From Previously Approved Information Collections</w:t>
      </w:r>
    </w:p>
    <w:tbl>
      <w:tblPr>
        <w:tblW w:w="5000" w:type="pct"/>
        <w:tblBorders>
          <w:top w:val="single" w:color="auto" w:sz="4" w:space="0"/>
          <w:bottom w:val="single" w:color="auto" w:sz="4" w:space="0"/>
          <w:insideH w:val="single" w:color="auto" w:sz="4" w:space="0"/>
        </w:tblBorders>
        <w:shd w:val="pct12" w:color="auto" w:fill="auto"/>
        <w:tblLayout w:type="fixed"/>
        <w:tblLook w:val="0000" w:firstRow="0" w:lastRow="0" w:firstColumn="0" w:lastColumn="0" w:noHBand="0" w:noVBand="0"/>
      </w:tblPr>
      <w:tblGrid>
        <w:gridCol w:w="2055"/>
        <w:gridCol w:w="1347"/>
        <w:gridCol w:w="1326"/>
        <w:gridCol w:w="1082"/>
        <w:gridCol w:w="1051"/>
        <w:gridCol w:w="1051"/>
        <w:gridCol w:w="1448"/>
      </w:tblGrid>
      <w:tr w:rsidRPr="00757789" w:rsidR="00A27FC5" w:rsidTr="00757789" w14:paraId="442FAABB" w14:textId="14C1DFB0">
        <w:tc>
          <w:tcPr>
            <w:tcW w:w="2245" w:type="dxa"/>
            <w:shd w:val="pct12" w:color="auto" w:fill="auto"/>
            <w:vAlign w:val="center"/>
          </w:tcPr>
          <w:p w:rsidRPr="00757789" w:rsidR="00A27FC5" w:rsidP="00757789" w:rsidRDefault="00A27FC5" w14:paraId="0C95B1F9" w14:textId="77777777">
            <w:pPr>
              <w:spacing w:line="240" w:lineRule="auto"/>
              <w:rPr>
                <w:rFonts w:cs="Courier New"/>
                <w:b/>
                <w:bCs/>
                <w:sz w:val="16"/>
                <w:szCs w:val="16"/>
              </w:rPr>
            </w:pPr>
            <w:r w:rsidRPr="00757789">
              <w:rPr>
                <w:rFonts w:cs="Courier New"/>
                <w:b/>
                <w:bCs/>
                <w:sz w:val="16"/>
                <w:szCs w:val="16"/>
              </w:rPr>
              <w:t>Instrument</w:t>
            </w:r>
          </w:p>
        </w:tc>
        <w:tc>
          <w:tcPr>
            <w:tcW w:w="1463" w:type="dxa"/>
            <w:shd w:val="pct12" w:color="auto" w:fill="auto"/>
            <w:vAlign w:val="center"/>
          </w:tcPr>
          <w:p w:rsidRPr="00757789" w:rsidR="00A27FC5" w:rsidP="008161D2" w:rsidRDefault="00A27FC5" w14:paraId="65D9458B" w14:textId="77777777">
            <w:pPr>
              <w:spacing w:line="240" w:lineRule="auto"/>
              <w:jc w:val="center"/>
              <w:rPr>
                <w:rFonts w:cs="Courier New"/>
                <w:b/>
                <w:bCs/>
                <w:sz w:val="16"/>
                <w:szCs w:val="16"/>
              </w:rPr>
            </w:pPr>
            <w:r w:rsidRPr="00757789">
              <w:rPr>
                <w:rFonts w:cs="Courier New"/>
                <w:b/>
                <w:bCs/>
                <w:sz w:val="16"/>
                <w:szCs w:val="16"/>
              </w:rPr>
              <w:t>No.  of Respondents (total over request period)</w:t>
            </w:r>
          </w:p>
        </w:tc>
        <w:tc>
          <w:tcPr>
            <w:tcW w:w="1440" w:type="dxa"/>
            <w:shd w:val="pct12" w:color="auto" w:fill="auto"/>
            <w:vAlign w:val="center"/>
          </w:tcPr>
          <w:p w:rsidRPr="00757789" w:rsidR="00A27FC5" w:rsidP="008161D2" w:rsidRDefault="00A27FC5" w14:paraId="5B4DC627" w14:textId="77777777">
            <w:pPr>
              <w:spacing w:line="240" w:lineRule="auto"/>
              <w:jc w:val="center"/>
              <w:rPr>
                <w:rFonts w:cs="Courier New"/>
                <w:b/>
                <w:bCs/>
                <w:sz w:val="16"/>
                <w:szCs w:val="16"/>
              </w:rPr>
            </w:pPr>
            <w:r w:rsidRPr="00757789">
              <w:rPr>
                <w:rFonts w:cs="Courier New"/>
                <w:b/>
                <w:bCs/>
                <w:sz w:val="16"/>
                <w:szCs w:val="16"/>
              </w:rPr>
              <w:t>No.  of Responses per Respondent (total over request period)</w:t>
            </w:r>
          </w:p>
        </w:tc>
        <w:tc>
          <w:tcPr>
            <w:tcW w:w="1170" w:type="dxa"/>
            <w:shd w:val="pct12" w:color="auto" w:fill="auto"/>
            <w:vAlign w:val="center"/>
          </w:tcPr>
          <w:p w:rsidRPr="00757789" w:rsidR="00A27FC5" w:rsidP="008161D2" w:rsidRDefault="00A27FC5" w14:paraId="51B7AC25" w14:textId="77777777">
            <w:pPr>
              <w:spacing w:line="240" w:lineRule="auto"/>
              <w:jc w:val="center"/>
              <w:rPr>
                <w:rFonts w:cs="Courier New"/>
                <w:b/>
                <w:bCs/>
                <w:sz w:val="16"/>
                <w:szCs w:val="16"/>
              </w:rPr>
            </w:pPr>
            <w:r w:rsidRPr="00757789">
              <w:rPr>
                <w:rFonts w:cs="Courier New"/>
                <w:b/>
                <w:bCs/>
                <w:sz w:val="16"/>
                <w:szCs w:val="16"/>
              </w:rPr>
              <w:t>Avg.  Burden per Response (in hours)</w:t>
            </w:r>
          </w:p>
        </w:tc>
        <w:tc>
          <w:tcPr>
            <w:tcW w:w="1136" w:type="dxa"/>
            <w:shd w:val="pct12" w:color="auto" w:fill="auto"/>
            <w:vAlign w:val="center"/>
          </w:tcPr>
          <w:p w:rsidRPr="00757789" w:rsidR="00A27FC5" w:rsidP="008161D2" w:rsidRDefault="00B5239C" w14:paraId="0E53E973" w14:textId="232C2D19">
            <w:pPr>
              <w:spacing w:line="240" w:lineRule="auto"/>
              <w:jc w:val="center"/>
              <w:rPr>
                <w:rFonts w:cs="Courier New"/>
                <w:b/>
                <w:bCs/>
                <w:sz w:val="16"/>
                <w:szCs w:val="16"/>
              </w:rPr>
            </w:pPr>
            <w:r>
              <w:rPr>
                <w:rFonts w:cs="Courier New"/>
                <w:b/>
                <w:bCs/>
                <w:sz w:val="16"/>
                <w:szCs w:val="16"/>
              </w:rPr>
              <w:t xml:space="preserve">Total </w:t>
            </w:r>
            <w:r w:rsidRPr="00757789" w:rsidR="00A27FC5">
              <w:rPr>
                <w:rFonts w:cs="Courier New"/>
                <w:b/>
                <w:bCs/>
                <w:sz w:val="16"/>
                <w:szCs w:val="16"/>
              </w:rPr>
              <w:t>Burden (in hours)</w:t>
            </w:r>
          </w:p>
        </w:tc>
        <w:tc>
          <w:tcPr>
            <w:tcW w:w="1136" w:type="dxa"/>
            <w:shd w:val="pct12" w:color="auto" w:fill="auto"/>
          </w:tcPr>
          <w:p w:rsidRPr="00757789" w:rsidR="00A27FC5" w:rsidP="00A27FC5" w:rsidRDefault="00A27FC5" w14:paraId="3B7629CC" w14:textId="77777777">
            <w:pPr>
              <w:spacing w:line="240" w:lineRule="auto"/>
              <w:rPr>
                <w:rFonts w:cs="Courier New"/>
                <w:b/>
                <w:bCs/>
                <w:sz w:val="16"/>
                <w:szCs w:val="16"/>
              </w:rPr>
            </w:pPr>
          </w:p>
          <w:p w:rsidRPr="00757789" w:rsidR="00A27FC5" w:rsidP="00A27FC5" w:rsidRDefault="00A27FC5" w14:paraId="5B978E03" w14:textId="2A572A16">
            <w:pPr>
              <w:spacing w:line="240" w:lineRule="auto"/>
              <w:jc w:val="center"/>
              <w:rPr>
                <w:rFonts w:cs="Courier New"/>
                <w:b/>
                <w:bCs/>
                <w:sz w:val="16"/>
                <w:szCs w:val="16"/>
              </w:rPr>
            </w:pPr>
            <w:r w:rsidRPr="00757789">
              <w:rPr>
                <w:rFonts w:cs="Courier New"/>
                <w:b/>
                <w:bCs/>
                <w:sz w:val="16"/>
                <w:szCs w:val="16"/>
              </w:rPr>
              <w:t>Average Hourly Wage</w:t>
            </w:r>
            <w:r w:rsidRPr="00757789" w:rsidR="00993071">
              <w:rPr>
                <w:rFonts w:cs="Courier New"/>
                <w:b/>
                <w:bCs/>
                <w:sz w:val="16"/>
                <w:szCs w:val="16"/>
              </w:rPr>
              <w:t xml:space="preserve"> </w:t>
            </w:r>
          </w:p>
        </w:tc>
        <w:tc>
          <w:tcPr>
            <w:tcW w:w="1575" w:type="dxa"/>
            <w:shd w:val="pct12" w:color="auto" w:fill="auto"/>
          </w:tcPr>
          <w:p w:rsidRPr="00757789" w:rsidR="00A27FC5" w:rsidP="008161D2" w:rsidRDefault="00A27FC5" w14:paraId="7190C24C" w14:textId="77777777">
            <w:pPr>
              <w:spacing w:line="240" w:lineRule="auto"/>
              <w:jc w:val="center"/>
              <w:rPr>
                <w:rFonts w:cs="Courier New"/>
                <w:b/>
                <w:bCs/>
                <w:sz w:val="16"/>
                <w:szCs w:val="16"/>
              </w:rPr>
            </w:pPr>
          </w:p>
          <w:p w:rsidRPr="00757789" w:rsidR="00A27FC5" w:rsidP="008161D2" w:rsidRDefault="00A27FC5" w14:paraId="6CAF1271" w14:textId="578D7908">
            <w:pPr>
              <w:spacing w:line="240" w:lineRule="auto"/>
              <w:jc w:val="center"/>
              <w:rPr>
                <w:rFonts w:cs="Courier New"/>
                <w:b/>
                <w:bCs/>
                <w:sz w:val="16"/>
                <w:szCs w:val="16"/>
              </w:rPr>
            </w:pPr>
            <w:r w:rsidRPr="00757789">
              <w:rPr>
                <w:rFonts w:cs="Courier New"/>
                <w:b/>
                <w:bCs/>
                <w:sz w:val="16"/>
                <w:szCs w:val="16"/>
              </w:rPr>
              <w:t>Total Annual Cost</w:t>
            </w:r>
          </w:p>
        </w:tc>
      </w:tr>
      <w:tr w:rsidRPr="00B22682" w:rsidR="00A27FC5" w:rsidTr="00566DE2" w14:paraId="0E4FD136" w14:textId="13635909">
        <w:trPr>
          <w:trHeight w:val="602"/>
        </w:trPr>
        <w:tc>
          <w:tcPr>
            <w:tcW w:w="2245" w:type="dxa"/>
            <w:shd w:val="clear" w:color="auto" w:fill="auto"/>
          </w:tcPr>
          <w:p w:rsidRPr="007231FA" w:rsidR="00A27FC5" w:rsidP="008161D2" w:rsidRDefault="00A27FC5" w14:paraId="73B5AC7C" w14:textId="77777777">
            <w:pPr>
              <w:spacing w:line="240" w:lineRule="auto"/>
              <w:rPr>
                <w:rFonts w:cs="Courier New"/>
                <w:sz w:val="16"/>
                <w:szCs w:val="16"/>
              </w:rPr>
            </w:pPr>
            <w:r w:rsidRPr="007231FA">
              <w:rPr>
                <w:rFonts w:cs="Courier New"/>
                <w:sz w:val="16"/>
                <w:szCs w:val="16"/>
              </w:rPr>
              <w:t xml:space="preserve">Second follow-up survey </w:t>
            </w:r>
          </w:p>
        </w:tc>
        <w:tc>
          <w:tcPr>
            <w:tcW w:w="1463" w:type="dxa"/>
            <w:shd w:val="clear" w:color="auto" w:fill="auto"/>
          </w:tcPr>
          <w:p w:rsidRPr="007231FA" w:rsidR="00A27FC5" w:rsidP="008161D2" w:rsidRDefault="00A27FC5" w14:paraId="1BA7081C" w14:textId="77777777">
            <w:pPr>
              <w:spacing w:line="240" w:lineRule="auto"/>
              <w:jc w:val="center"/>
              <w:rPr>
                <w:rFonts w:cs="Courier New"/>
                <w:sz w:val="16"/>
                <w:szCs w:val="16"/>
              </w:rPr>
            </w:pPr>
            <w:r w:rsidRPr="007231FA">
              <w:rPr>
                <w:rFonts w:cs="Courier New"/>
                <w:sz w:val="16"/>
                <w:szCs w:val="16"/>
              </w:rPr>
              <w:t>824</w:t>
            </w:r>
          </w:p>
        </w:tc>
        <w:tc>
          <w:tcPr>
            <w:tcW w:w="1440" w:type="dxa"/>
            <w:shd w:val="clear" w:color="auto" w:fill="auto"/>
          </w:tcPr>
          <w:p w:rsidRPr="007231FA" w:rsidR="00A27FC5" w:rsidP="008161D2" w:rsidRDefault="00A27FC5" w14:paraId="71EEE5C6" w14:textId="77777777">
            <w:pPr>
              <w:spacing w:line="240" w:lineRule="auto"/>
              <w:jc w:val="center"/>
              <w:rPr>
                <w:rFonts w:cs="Courier New"/>
                <w:sz w:val="16"/>
                <w:szCs w:val="16"/>
              </w:rPr>
            </w:pPr>
            <w:r w:rsidRPr="007231FA">
              <w:rPr>
                <w:rFonts w:cs="Courier New"/>
                <w:sz w:val="16"/>
                <w:szCs w:val="16"/>
              </w:rPr>
              <w:t>1</w:t>
            </w:r>
          </w:p>
        </w:tc>
        <w:tc>
          <w:tcPr>
            <w:tcW w:w="1170" w:type="dxa"/>
            <w:shd w:val="clear" w:color="auto" w:fill="auto"/>
          </w:tcPr>
          <w:p w:rsidRPr="007231FA" w:rsidR="00A27FC5" w:rsidP="008161D2" w:rsidRDefault="00A27FC5" w14:paraId="74F1C155" w14:textId="77777777">
            <w:pPr>
              <w:spacing w:line="240" w:lineRule="auto"/>
              <w:jc w:val="center"/>
              <w:rPr>
                <w:rFonts w:cs="Courier New"/>
                <w:sz w:val="16"/>
                <w:szCs w:val="16"/>
              </w:rPr>
            </w:pPr>
            <w:r w:rsidRPr="007231FA">
              <w:rPr>
                <w:rFonts w:cs="Courier New"/>
                <w:sz w:val="16"/>
                <w:szCs w:val="16"/>
              </w:rPr>
              <w:t>0.75</w:t>
            </w:r>
          </w:p>
        </w:tc>
        <w:tc>
          <w:tcPr>
            <w:tcW w:w="1136" w:type="dxa"/>
            <w:shd w:val="clear" w:color="auto" w:fill="auto"/>
          </w:tcPr>
          <w:p w:rsidRPr="007231FA" w:rsidR="00A27FC5" w:rsidP="008161D2" w:rsidRDefault="00A27FC5" w14:paraId="7992C300" w14:textId="77777777">
            <w:pPr>
              <w:spacing w:line="240" w:lineRule="auto"/>
              <w:jc w:val="center"/>
              <w:rPr>
                <w:rFonts w:cs="Courier New"/>
                <w:sz w:val="16"/>
                <w:szCs w:val="16"/>
              </w:rPr>
            </w:pPr>
            <w:r w:rsidRPr="007231FA">
              <w:rPr>
                <w:rFonts w:cs="Courier New"/>
                <w:sz w:val="16"/>
                <w:szCs w:val="16"/>
              </w:rPr>
              <w:t>618</w:t>
            </w:r>
          </w:p>
        </w:tc>
        <w:tc>
          <w:tcPr>
            <w:tcW w:w="1136" w:type="dxa"/>
            <w:shd w:val="clear" w:color="auto" w:fill="auto"/>
          </w:tcPr>
          <w:p w:rsidRPr="007231FA" w:rsidR="00A27FC5" w:rsidP="008161D2" w:rsidRDefault="00A27FC5" w14:paraId="27C2BA67" w14:textId="503B882B">
            <w:pPr>
              <w:spacing w:line="240" w:lineRule="auto"/>
              <w:jc w:val="center"/>
              <w:rPr>
                <w:rFonts w:cs="Courier New"/>
                <w:sz w:val="16"/>
                <w:szCs w:val="16"/>
              </w:rPr>
            </w:pPr>
            <w:r w:rsidRPr="00CE52A6">
              <w:rPr>
                <w:rFonts w:cs="Courier New"/>
                <w:sz w:val="16"/>
                <w:szCs w:val="16"/>
              </w:rPr>
              <w:t>$7.25</w:t>
            </w:r>
          </w:p>
        </w:tc>
        <w:tc>
          <w:tcPr>
            <w:tcW w:w="1575" w:type="dxa"/>
          </w:tcPr>
          <w:p w:rsidRPr="007231FA" w:rsidR="00A27FC5" w:rsidP="008161D2" w:rsidRDefault="001B3698" w14:paraId="655B7BF8" w14:textId="7EDE4A62">
            <w:pPr>
              <w:spacing w:line="240" w:lineRule="auto"/>
              <w:jc w:val="center"/>
              <w:rPr>
                <w:rFonts w:cs="Courier New"/>
                <w:sz w:val="16"/>
                <w:szCs w:val="16"/>
              </w:rPr>
            </w:pPr>
            <w:r w:rsidRPr="007231FA">
              <w:rPr>
                <w:rFonts w:cs="Courier New"/>
                <w:sz w:val="16"/>
                <w:szCs w:val="16"/>
              </w:rPr>
              <w:t>$4</w:t>
            </w:r>
            <w:r w:rsidR="00CF3B86">
              <w:rPr>
                <w:rFonts w:cs="Courier New"/>
                <w:sz w:val="16"/>
                <w:szCs w:val="16"/>
              </w:rPr>
              <w:t>,</w:t>
            </w:r>
            <w:r w:rsidRPr="007231FA">
              <w:rPr>
                <w:rFonts w:cs="Courier New"/>
                <w:sz w:val="16"/>
                <w:szCs w:val="16"/>
              </w:rPr>
              <w:t>48</w:t>
            </w:r>
            <w:r w:rsidR="00CF3B86">
              <w:rPr>
                <w:rFonts w:cs="Courier New"/>
                <w:sz w:val="16"/>
                <w:szCs w:val="16"/>
              </w:rPr>
              <w:t>1</w:t>
            </w:r>
          </w:p>
        </w:tc>
      </w:tr>
    </w:tbl>
    <w:p w:rsidR="00A12517" w:rsidP="001D3538" w:rsidRDefault="00A12517" w14:paraId="2AE1C41E" w14:textId="5B05A047">
      <w:pPr>
        <w:spacing w:after="0" w:line="240" w:lineRule="auto"/>
        <w:rPr>
          <w:rFonts w:cs="Courier New"/>
          <w:sz w:val="16"/>
          <w:szCs w:val="16"/>
        </w:rPr>
      </w:pPr>
      <w:r w:rsidRPr="007231FA">
        <w:rPr>
          <w:rFonts w:cs="Courier New"/>
          <w:sz w:val="16"/>
          <w:szCs w:val="16"/>
        </w:rPr>
        <w:t>Estimated Total Annual Burden Hours:</w:t>
      </w:r>
      <w:r w:rsidRPr="007231FA">
        <w:rPr>
          <w:rFonts w:cs="Courier New"/>
          <w:sz w:val="16"/>
          <w:szCs w:val="16"/>
        </w:rPr>
        <w:tab/>
      </w:r>
      <w:r w:rsidRPr="007231FA" w:rsidR="00621CEE">
        <w:rPr>
          <w:rFonts w:cs="Courier New"/>
          <w:sz w:val="16"/>
          <w:szCs w:val="16"/>
        </w:rPr>
        <w:t>618</w:t>
      </w:r>
    </w:p>
    <w:p w:rsidRPr="00CE5371" w:rsidR="00CE5371" w:rsidP="00A12517" w:rsidRDefault="00CE5371" w14:paraId="01E2A5BA" w14:textId="5034DC63">
      <w:pPr>
        <w:spacing w:line="240" w:lineRule="auto"/>
        <w:rPr>
          <w:rFonts w:cs="Courier New"/>
          <w:sz w:val="16"/>
          <w:szCs w:val="16"/>
        </w:rPr>
      </w:pPr>
    </w:p>
    <w:p w:rsidR="00BB4FC3" w:rsidP="00BB4FC3" w:rsidRDefault="00BB4FC3" w14:paraId="7D90F8BE" w14:textId="29D868FB">
      <w:pPr>
        <w:spacing w:after="240" w:line="240" w:lineRule="auto"/>
        <w:rPr>
          <w:szCs w:val="20"/>
        </w:rPr>
      </w:pPr>
      <w:r w:rsidRPr="00D9779D">
        <w:rPr>
          <w:szCs w:val="20"/>
        </w:rPr>
        <w:t xml:space="preserve">Table </w:t>
      </w:r>
      <w:r>
        <w:rPr>
          <w:szCs w:val="20"/>
        </w:rPr>
        <w:t>A.</w:t>
      </w:r>
      <w:r w:rsidR="00130D24">
        <w:rPr>
          <w:szCs w:val="20"/>
        </w:rPr>
        <w:t>3</w:t>
      </w:r>
      <w:r w:rsidRPr="00D9779D">
        <w:rPr>
          <w:szCs w:val="20"/>
        </w:rPr>
        <w:t xml:space="preserve"> </w:t>
      </w:r>
      <w:r w:rsidRPr="0062513F">
        <w:rPr>
          <w:szCs w:val="20"/>
        </w:rPr>
        <w:t>provide</w:t>
      </w:r>
      <w:r>
        <w:rPr>
          <w:szCs w:val="20"/>
        </w:rPr>
        <w:t>s</w:t>
      </w:r>
      <w:r w:rsidRPr="0062513F">
        <w:rPr>
          <w:szCs w:val="20"/>
        </w:rPr>
        <w:t xml:space="preserve"> the estimated annual burden</w:t>
      </w:r>
      <w:r>
        <w:rPr>
          <w:szCs w:val="20"/>
        </w:rPr>
        <w:t xml:space="preserve"> and cost</w:t>
      </w:r>
      <w:r w:rsidRPr="0062513F">
        <w:rPr>
          <w:szCs w:val="20"/>
        </w:rPr>
        <w:t xml:space="preserve"> calculations for the</w:t>
      </w:r>
      <w:r>
        <w:rPr>
          <w:szCs w:val="20"/>
        </w:rPr>
        <w:t xml:space="preserve"> third follow-up survey </w:t>
      </w:r>
      <w:r w:rsidR="0043713F">
        <w:rPr>
          <w:szCs w:val="20"/>
        </w:rPr>
        <w:t xml:space="preserve">and semi-structured interview </w:t>
      </w:r>
      <w:r>
        <w:rPr>
          <w:szCs w:val="20"/>
        </w:rPr>
        <w:t>data collection</w:t>
      </w:r>
      <w:r w:rsidR="0043713F">
        <w:rPr>
          <w:szCs w:val="20"/>
        </w:rPr>
        <w:t>s</w:t>
      </w:r>
      <w:r>
        <w:rPr>
          <w:szCs w:val="20"/>
        </w:rPr>
        <w:t xml:space="preserve"> included in this ICR</w:t>
      </w:r>
      <w:r w:rsidRPr="0062513F">
        <w:rPr>
          <w:szCs w:val="20"/>
        </w:rPr>
        <w:t>.</w:t>
      </w:r>
      <w:r>
        <w:rPr>
          <w:szCs w:val="20"/>
        </w:rPr>
        <w:t xml:space="preserve"> The total annual estimated burden is 1</w:t>
      </w:r>
      <w:r w:rsidR="00BC7E6F">
        <w:rPr>
          <w:szCs w:val="20"/>
        </w:rPr>
        <w:t xml:space="preserve">,104 </w:t>
      </w:r>
      <w:r>
        <w:rPr>
          <w:szCs w:val="20"/>
        </w:rPr>
        <w:t>hours</w:t>
      </w:r>
      <w:r w:rsidRPr="00F342E7">
        <w:rPr>
          <w:szCs w:val="20"/>
        </w:rPr>
        <w:t xml:space="preserve">. </w:t>
      </w:r>
    </w:p>
    <w:p w:rsidRPr="00B22682" w:rsidR="00A12517" w:rsidP="007231FA" w:rsidRDefault="00BC1C00" w14:paraId="1829A416" w14:textId="424251D0">
      <w:pPr>
        <w:pStyle w:val="TableTitle"/>
      </w:pPr>
      <w:r>
        <w:t>Table A.</w:t>
      </w:r>
      <w:r w:rsidR="00130D24">
        <w:t>3</w:t>
      </w:r>
      <w:r w:rsidR="005F7CA9">
        <w:t xml:space="preserve">. </w:t>
      </w:r>
      <w:r w:rsidR="00A12517">
        <w:t xml:space="preserve">Annual Burden Estimates -- </w:t>
      </w:r>
      <w:r w:rsidRPr="009749F5" w:rsidR="00A12517">
        <w:t>New Burden Requested Under This Information Collection</w:t>
      </w:r>
    </w:p>
    <w:tbl>
      <w:tblPr>
        <w:tblW w:w="5000" w:type="pct"/>
        <w:tblBorders>
          <w:top w:val="single" w:color="auto" w:sz="4" w:space="0"/>
          <w:bottom w:val="single" w:color="auto" w:sz="4" w:space="0"/>
          <w:insideH w:val="single" w:color="auto" w:sz="4" w:space="0"/>
        </w:tblBorders>
        <w:shd w:val="pct12" w:color="auto" w:fill="auto"/>
        <w:tblLayout w:type="fixed"/>
        <w:tblLook w:val="0000" w:firstRow="0" w:lastRow="0" w:firstColumn="0" w:lastColumn="0" w:noHBand="0" w:noVBand="0"/>
      </w:tblPr>
      <w:tblGrid>
        <w:gridCol w:w="1257"/>
        <w:gridCol w:w="1153"/>
        <w:gridCol w:w="1102"/>
        <w:gridCol w:w="1169"/>
        <w:gridCol w:w="1169"/>
        <w:gridCol w:w="1170"/>
        <w:gridCol w:w="1170"/>
        <w:gridCol w:w="1170"/>
      </w:tblGrid>
      <w:tr w:rsidRPr="00757789" w:rsidR="00A27FC5" w:rsidTr="00757789" w14:paraId="799EB726" w14:textId="7C73830D">
        <w:tc>
          <w:tcPr>
            <w:tcW w:w="1255" w:type="dxa"/>
            <w:shd w:val="pct12" w:color="auto" w:fill="auto"/>
            <w:vAlign w:val="center"/>
          </w:tcPr>
          <w:p w:rsidRPr="00757789" w:rsidR="00A27FC5" w:rsidP="00757789" w:rsidRDefault="00A27FC5" w14:paraId="10889771" w14:textId="77777777">
            <w:pPr>
              <w:spacing w:line="240" w:lineRule="auto"/>
              <w:rPr>
                <w:rFonts w:cs="Courier New"/>
                <w:b/>
                <w:bCs/>
                <w:sz w:val="16"/>
                <w:szCs w:val="16"/>
              </w:rPr>
            </w:pPr>
            <w:r w:rsidRPr="00757789">
              <w:rPr>
                <w:rFonts w:cs="Courier New"/>
                <w:b/>
                <w:bCs/>
                <w:sz w:val="16"/>
                <w:szCs w:val="16"/>
              </w:rPr>
              <w:t>Instrument</w:t>
            </w:r>
          </w:p>
        </w:tc>
        <w:tc>
          <w:tcPr>
            <w:tcW w:w="1151" w:type="dxa"/>
            <w:shd w:val="pct12" w:color="auto" w:fill="auto"/>
            <w:vAlign w:val="center"/>
          </w:tcPr>
          <w:p w:rsidRPr="00757789" w:rsidR="00A27FC5" w:rsidP="008161D2" w:rsidRDefault="00A27FC5" w14:paraId="63268D69" w14:textId="77777777">
            <w:pPr>
              <w:spacing w:line="240" w:lineRule="auto"/>
              <w:jc w:val="center"/>
              <w:rPr>
                <w:rFonts w:cs="Courier New"/>
                <w:b/>
                <w:bCs/>
                <w:sz w:val="16"/>
                <w:szCs w:val="16"/>
              </w:rPr>
            </w:pPr>
            <w:r w:rsidRPr="00757789">
              <w:rPr>
                <w:rFonts w:cs="Courier New"/>
                <w:b/>
                <w:bCs/>
                <w:sz w:val="16"/>
                <w:szCs w:val="16"/>
              </w:rPr>
              <w:t>No.  of Respondents (total over request period)</w:t>
            </w:r>
          </w:p>
        </w:tc>
        <w:tc>
          <w:tcPr>
            <w:tcW w:w="1101" w:type="dxa"/>
            <w:shd w:val="pct12" w:color="auto" w:fill="auto"/>
            <w:vAlign w:val="center"/>
          </w:tcPr>
          <w:p w:rsidRPr="00757789" w:rsidR="00A27FC5" w:rsidP="008161D2" w:rsidRDefault="00A27FC5" w14:paraId="590BDA4C" w14:textId="77777777">
            <w:pPr>
              <w:spacing w:line="240" w:lineRule="auto"/>
              <w:jc w:val="center"/>
              <w:rPr>
                <w:rFonts w:cs="Courier New"/>
                <w:b/>
                <w:bCs/>
                <w:sz w:val="16"/>
                <w:szCs w:val="16"/>
              </w:rPr>
            </w:pPr>
            <w:r w:rsidRPr="00757789">
              <w:rPr>
                <w:rFonts w:cs="Courier New"/>
                <w:b/>
                <w:bCs/>
                <w:sz w:val="16"/>
                <w:szCs w:val="16"/>
              </w:rPr>
              <w:t>No.  of Responses per Respondent (total over request period)</w:t>
            </w:r>
          </w:p>
        </w:tc>
        <w:tc>
          <w:tcPr>
            <w:tcW w:w="1168" w:type="dxa"/>
            <w:shd w:val="pct12" w:color="auto" w:fill="auto"/>
            <w:vAlign w:val="center"/>
          </w:tcPr>
          <w:p w:rsidRPr="00757789" w:rsidR="00A27FC5" w:rsidP="008161D2" w:rsidRDefault="00A27FC5" w14:paraId="36C277B1" w14:textId="77777777">
            <w:pPr>
              <w:spacing w:line="240" w:lineRule="auto"/>
              <w:jc w:val="center"/>
              <w:rPr>
                <w:rFonts w:cs="Courier New"/>
                <w:b/>
                <w:bCs/>
                <w:sz w:val="16"/>
                <w:szCs w:val="16"/>
              </w:rPr>
            </w:pPr>
            <w:r w:rsidRPr="00757789">
              <w:rPr>
                <w:rFonts w:cs="Courier New"/>
                <w:b/>
                <w:bCs/>
                <w:sz w:val="16"/>
                <w:szCs w:val="16"/>
              </w:rPr>
              <w:t>Avg.  Burden per Response (in hours)</w:t>
            </w:r>
          </w:p>
        </w:tc>
        <w:tc>
          <w:tcPr>
            <w:tcW w:w="1168" w:type="dxa"/>
            <w:shd w:val="pct12" w:color="auto" w:fill="auto"/>
            <w:vAlign w:val="center"/>
          </w:tcPr>
          <w:p w:rsidRPr="00757789" w:rsidR="00A27FC5" w:rsidP="008161D2" w:rsidRDefault="00A27FC5" w14:paraId="5D769239" w14:textId="77777777">
            <w:pPr>
              <w:spacing w:line="240" w:lineRule="auto"/>
              <w:jc w:val="center"/>
              <w:rPr>
                <w:rFonts w:cs="Courier New"/>
                <w:b/>
                <w:bCs/>
                <w:sz w:val="16"/>
                <w:szCs w:val="16"/>
              </w:rPr>
            </w:pPr>
            <w:r w:rsidRPr="00757789">
              <w:rPr>
                <w:rFonts w:cs="Courier New"/>
                <w:b/>
                <w:bCs/>
                <w:sz w:val="16"/>
                <w:szCs w:val="16"/>
              </w:rPr>
              <w:t>Total Burden (in hours)</w:t>
            </w:r>
          </w:p>
        </w:tc>
        <w:tc>
          <w:tcPr>
            <w:tcW w:w="1169" w:type="dxa"/>
            <w:shd w:val="pct12" w:color="auto" w:fill="auto"/>
            <w:vAlign w:val="center"/>
          </w:tcPr>
          <w:p w:rsidRPr="00757789" w:rsidR="00A27FC5" w:rsidP="008161D2" w:rsidRDefault="00A27FC5" w14:paraId="28D47524" w14:textId="77777777">
            <w:pPr>
              <w:spacing w:line="240" w:lineRule="auto"/>
              <w:jc w:val="center"/>
              <w:rPr>
                <w:rFonts w:cs="Courier New"/>
                <w:b/>
                <w:bCs/>
                <w:sz w:val="16"/>
                <w:szCs w:val="16"/>
              </w:rPr>
            </w:pPr>
            <w:r w:rsidRPr="00757789">
              <w:rPr>
                <w:rFonts w:cs="Courier New"/>
                <w:b/>
                <w:bCs/>
                <w:sz w:val="16"/>
                <w:szCs w:val="16"/>
              </w:rPr>
              <w:t>Annual Burden (in hours)</w:t>
            </w:r>
          </w:p>
        </w:tc>
        <w:tc>
          <w:tcPr>
            <w:tcW w:w="1169" w:type="dxa"/>
            <w:shd w:val="pct12" w:color="auto" w:fill="auto"/>
            <w:vAlign w:val="center"/>
          </w:tcPr>
          <w:p w:rsidRPr="00757789" w:rsidR="00A27FC5" w:rsidP="00F74D1F" w:rsidRDefault="001B3698" w14:paraId="7164CEBE" w14:textId="16F7ABC4">
            <w:pPr>
              <w:spacing w:line="240" w:lineRule="auto"/>
              <w:jc w:val="center"/>
              <w:rPr>
                <w:rFonts w:cs="Courier New"/>
                <w:b/>
                <w:bCs/>
                <w:sz w:val="16"/>
                <w:szCs w:val="16"/>
              </w:rPr>
            </w:pPr>
            <w:r w:rsidRPr="00757789">
              <w:rPr>
                <w:rFonts w:cs="Courier New"/>
                <w:b/>
                <w:bCs/>
                <w:sz w:val="16"/>
                <w:szCs w:val="16"/>
              </w:rPr>
              <w:t>Average Hourly Wage</w:t>
            </w:r>
          </w:p>
        </w:tc>
        <w:tc>
          <w:tcPr>
            <w:tcW w:w="1169" w:type="dxa"/>
            <w:shd w:val="pct12" w:color="auto" w:fill="auto"/>
            <w:vAlign w:val="center"/>
          </w:tcPr>
          <w:p w:rsidRPr="00757789" w:rsidR="00A27FC5" w:rsidP="00F74D1F" w:rsidRDefault="001B3698" w14:paraId="76778F9E" w14:textId="3CA11A08">
            <w:pPr>
              <w:spacing w:line="240" w:lineRule="auto"/>
              <w:jc w:val="center"/>
              <w:rPr>
                <w:rFonts w:cs="Courier New"/>
                <w:b/>
                <w:bCs/>
                <w:sz w:val="16"/>
                <w:szCs w:val="16"/>
              </w:rPr>
            </w:pPr>
            <w:r w:rsidRPr="00757789">
              <w:rPr>
                <w:rFonts w:cs="Courier New"/>
                <w:b/>
                <w:bCs/>
                <w:sz w:val="16"/>
                <w:szCs w:val="16"/>
              </w:rPr>
              <w:t>Total Annual Cost</w:t>
            </w:r>
          </w:p>
        </w:tc>
      </w:tr>
      <w:tr w:rsidRPr="00291139" w:rsidR="00A27FC5" w:rsidTr="00566DE2" w14:paraId="5232157A" w14:textId="63CD9104">
        <w:trPr>
          <w:trHeight w:val="602"/>
        </w:trPr>
        <w:tc>
          <w:tcPr>
            <w:tcW w:w="1255" w:type="dxa"/>
            <w:shd w:val="clear" w:color="auto" w:fill="auto"/>
          </w:tcPr>
          <w:p w:rsidRPr="007231FA" w:rsidR="00A27FC5" w:rsidP="008161D2" w:rsidRDefault="00A27FC5" w14:paraId="58E51B2C" w14:textId="77777777">
            <w:pPr>
              <w:spacing w:line="240" w:lineRule="auto"/>
              <w:rPr>
                <w:rFonts w:cs="Courier New"/>
                <w:sz w:val="16"/>
                <w:szCs w:val="16"/>
              </w:rPr>
            </w:pPr>
            <w:r w:rsidRPr="007231FA">
              <w:rPr>
                <w:rFonts w:cs="Courier New"/>
                <w:sz w:val="16"/>
                <w:szCs w:val="16"/>
              </w:rPr>
              <w:t>Third follow-up survey</w:t>
            </w:r>
          </w:p>
        </w:tc>
        <w:tc>
          <w:tcPr>
            <w:tcW w:w="1151" w:type="dxa"/>
            <w:shd w:val="clear" w:color="auto" w:fill="auto"/>
          </w:tcPr>
          <w:p w:rsidRPr="007231FA" w:rsidR="00A27FC5" w:rsidP="008161D2" w:rsidRDefault="00A27FC5" w14:paraId="68505640" w14:textId="77777777">
            <w:pPr>
              <w:spacing w:line="240" w:lineRule="auto"/>
              <w:jc w:val="center"/>
              <w:rPr>
                <w:rFonts w:cs="Courier New"/>
                <w:sz w:val="16"/>
                <w:szCs w:val="16"/>
              </w:rPr>
            </w:pPr>
            <w:r w:rsidRPr="007231FA">
              <w:rPr>
                <w:rFonts w:cs="Courier New"/>
                <w:sz w:val="16"/>
                <w:szCs w:val="16"/>
              </w:rPr>
              <w:t>4,239</w:t>
            </w:r>
          </w:p>
        </w:tc>
        <w:tc>
          <w:tcPr>
            <w:tcW w:w="1101" w:type="dxa"/>
            <w:shd w:val="clear" w:color="auto" w:fill="auto"/>
          </w:tcPr>
          <w:p w:rsidRPr="007231FA" w:rsidR="00A27FC5" w:rsidP="008161D2" w:rsidRDefault="00A27FC5" w14:paraId="6D09CB56" w14:textId="77777777">
            <w:pPr>
              <w:spacing w:line="240" w:lineRule="auto"/>
              <w:jc w:val="center"/>
              <w:rPr>
                <w:rFonts w:cs="Courier New"/>
                <w:sz w:val="16"/>
                <w:szCs w:val="16"/>
              </w:rPr>
            </w:pPr>
            <w:r w:rsidRPr="007231FA">
              <w:rPr>
                <w:rFonts w:cs="Courier New"/>
                <w:sz w:val="16"/>
                <w:szCs w:val="16"/>
              </w:rPr>
              <w:t>1</w:t>
            </w:r>
          </w:p>
        </w:tc>
        <w:tc>
          <w:tcPr>
            <w:tcW w:w="1168" w:type="dxa"/>
            <w:shd w:val="clear" w:color="auto" w:fill="auto"/>
          </w:tcPr>
          <w:p w:rsidRPr="007231FA" w:rsidR="00A27FC5" w:rsidP="008161D2" w:rsidRDefault="00A27FC5" w14:paraId="2BCA8646" w14:textId="77777777">
            <w:pPr>
              <w:spacing w:line="240" w:lineRule="auto"/>
              <w:jc w:val="center"/>
              <w:rPr>
                <w:rFonts w:cs="Courier New"/>
                <w:sz w:val="16"/>
                <w:szCs w:val="16"/>
              </w:rPr>
            </w:pPr>
            <w:r w:rsidRPr="007231FA">
              <w:rPr>
                <w:rFonts w:cs="Courier New"/>
                <w:sz w:val="16"/>
                <w:szCs w:val="16"/>
              </w:rPr>
              <w:t>0.75</w:t>
            </w:r>
          </w:p>
        </w:tc>
        <w:tc>
          <w:tcPr>
            <w:tcW w:w="1168" w:type="dxa"/>
          </w:tcPr>
          <w:p w:rsidRPr="007231FA" w:rsidR="00A27FC5" w:rsidP="008161D2" w:rsidRDefault="00A27FC5" w14:paraId="138DF1CA" w14:textId="31259E99">
            <w:pPr>
              <w:spacing w:line="240" w:lineRule="auto"/>
              <w:jc w:val="center"/>
              <w:rPr>
                <w:rFonts w:cs="Courier New"/>
                <w:sz w:val="16"/>
                <w:szCs w:val="16"/>
              </w:rPr>
            </w:pPr>
            <w:r w:rsidRPr="007231FA">
              <w:rPr>
                <w:rFonts w:cs="Courier New"/>
                <w:sz w:val="16"/>
                <w:szCs w:val="16"/>
              </w:rPr>
              <w:t>3,179</w:t>
            </w:r>
          </w:p>
        </w:tc>
        <w:tc>
          <w:tcPr>
            <w:tcW w:w="1169" w:type="dxa"/>
            <w:shd w:val="clear" w:color="auto" w:fill="auto"/>
          </w:tcPr>
          <w:p w:rsidRPr="007231FA" w:rsidR="00A27FC5" w:rsidP="008161D2" w:rsidRDefault="00A27FC5" w14:paraId="47819B5D" w14:textId="241DF301">
            <w:pPr>
              <w:spacing w:line="240" w:lineRule="auto"/>
              <w:jc w:val="center"/>
              <w:rPr>
                <w:rFonts w:cs="Courier New"/>
                <w:sz w:val="16"/>
                <w:szCs w:val="16"/>
              </w:rPr>
            </w:pPr>
            <w:r w:rsidRPr="007231FA">
              <w:rPr>
                <w:rFonts w:cs="Courier New"/>
                <w:sz w:val="16"/>
                <w:szCs w:val="16"/>
              </w:rPr>
              <w:t>1,0</w:t>
            </w:r>
            <w:r w:rsidR="0035656A">
              <w:rPr>
                <w:rFonts w:cs="Courier New"/>
                <w:sz w:val="16"/>
                <w:szCs w:val="16"/>
              </w:rPr>
              <w:t>60</w:t>
            </w:r>
          </w:p>
        </w:tc>
        <w:tc>
          <w:tcPr>
            <w:tcW w:w="1169" w:type="dxa"/>
          </w:tcPr>
          <w:p w:rsidRPr="007231FA" w:rsidR="00A27FC5" w:rsidP="008161D2" w:rsidRDefault="001B3698" w14:paraId="44AC1499" w14:textId="795DE714">
            <w:pPr>
              <w:spacing w:line="240" w:lineRule="auto"/>
              <w:jc w:val="center"/>
              <w:rPr>
                <w:rFonts w:cs="Courier New"/>
                <w:sz w:val="16"/>
                <w:szCs w:val="16"/>
              </w:rPr>
            </w:pPr>
            <w:r w:rsidRPr="007231FA">
              <w:rPr>
                <w:rFonts w:cs="Courier New"/>
                <w:sz w:val="16"/>
                <w:szCs w:val="16"/>
              </w:rPr>
              <w:t>$7.25</w:t>
            </w:r>
          </w:p>
        </w:tc>
        <w:tc>
          <w:tcPr>
            <w:tcW w:w="1169" w:type="dxa"/>
          </w:tcPr>
          <w:p w:rsidRPr="007231FA" w:rsidR="00A27FC5" w:rsidP="008161D2" w:rsidRDefault="001B3698" w14:paraId="60412097" w14:textId="6E402013">
            <w:pPr>
              <w:spacing w:line="240" w:lineRule="auto"/>
              <w:jc w:val="center"/>
              <w:rPr>
                <w:rFonts w:cs="Courier New"/>
                <w:sz w:val="16"/>
                <w:szCs w:val="16"/>
              </w:rPr>
            </w:pPr>
            <w:r w:rsidRPr="007231FA">
              <w:rPr>
                <w:rFonts w:cs="Courier New"/>
                <w:sz w:val="16"/>
                <w:szCs w:val="16"/>
              </w:rPr>
              <w:t>$7,68</w:t>
            </w:r>
            <w:r w:rsidR="00D060BB">
              <w:rPr>
                <w:rFonts w:cs="Courier New"/>
                <w:sz w:val="16"/>
                <w:szCs w:val="16"/>
              </w:rPr>
              <w:t>5</w:t>
            </w:r>
          </w:p>
        </w:tc>
      </w:tr>
      <w:tr w:rsidRPr="00291139" w:rsidR="0011094A" w:rsidTr="00566DE2" w14:paraId="3FE7B7BD" w14:textId="77777777">
        <w:trPr>
          <w:trHeight w:val="602"/>
        </w:trPr>
        <w:tc>
          <w:tcPr>
            <w:tcW w:w="1255" w:type="dxa"/>
            <w:shd w:val="clear" w:color="auto" w:fill="auto"/>
          </w:tcPr>
          <w:p w:rsidRPr="007231FA" w:rsidR="0011094A" w:rsidP="0011094A" w:rsidRDefault="0011094A" w14:paraId="3614B123" w14:textId="026B02A8">
            <w:pPr>
              <w:spacing w:line="240" w:lineRule="auto"/>
              <w:rPr>
                <w:rFonts w:cs="Courier New"/>
                <w:sz w:val="16"/>
                <w:szCs w:val="16"/>
              </w:rPr>
            </w:pPr>
            <w:r w:rsidRPr="007231FA">
              <w:rPr>
                <w:rFonts w:cs="Courier New"/>
                <w:sz w:val="16"/>
                <w:szCs w:val="16"/>
              </w:rPr>
              <w:t xml:space="preserve">Semi-structured management interviews </w:t>
            </w:r>
          </w:p>
        </w:tc>
        <w:tc>
          <w:tcPr>
            <w:tcW w:w="1151" w:type="dxa"/>
            <w:shd w:val="clear" w:color="auto" w:fill="auto"/>
          </w:tcPr>
          <w:p w:rsidRPr="007231FA" w:rsidR="0011094A" w:rsidP="0011094A" w:rsidRDefault="0011094A" w14:paraId="52DC4C87" w14:textId="5E51A718">
            <w:pPr>
              <w:spacing w:line="240" w:lineRule="auto"/>
              <w:jc w:val="center"/>
              <w:rPr>
                <w:rFonts w:cs="Courier New"/>
                <w:sz w:val="16"/>
                <w:szCs w:val="16"/>
              </w:rPr>
            </w:pPr>
            <w:r w:rsidRPr="007231FA">
              <w:rPr>
                <w:rFonts w:cs="Courier New"/>
                <w:sz w:val="16"/>
                <w:szCs w:val="16"/>
              </w:rPr>
              <w:t>20</w:t>
            </w:r>
          </w:p>
        </w:tc>
        <w:tc>
          <w:tcPr>
            <w:tcW w:w="1101" w:type="dxa"/>
            <w:shd w:val="clear" w:color="auto" w:fill="auto"/>
          </w:tcPr>
          <w:p w:rsidRPr="007231FA" w:rsidR="0011094A" w:rsidP="0011094A" w:rsidRDefault="0011094A" w14:paraId="6870B573" w14:textId="7D84292C">
            <w:pPr>
              <w:spacing w:line="240" w:lineRule="auto"/>
              <w:jc w:val="center"/>
              <w:rPr>
                <w:rFonts w:cs="Courier New"/>
                <w:sz w:val="16"/>
                <w:szCs w:val="16"/>
              </w:rPr>
            </w:pPr>
            <w:r w:rsidRPr="007231FA">
              <w:rPr>
                <w:rFonts w:cs="Courier New"/>
                <w:sz w:val="16"/>
                <w:szCs w:val="16"/>
              </w:rPr>
              <w:t>1</w:t>
            </w:r>
          </w:p>
        </w:tc>
        <w:tc>
          <w:tcPr>
            <w:tcW w:w="1168" w:type="dxa"/>
            <w:shd w:val="clear" w:color="auto" w:fill="auto"/>
          </w:tcPr>
          <w:p w:rsidRPr="007231FA" w:rsidR="0011094A" w:rsidP="0011094A" w:rsidRDefault="0011094A" w14:paraId="46EDF7E2" w14:textId="522C6B94">
            <w:pPr>
              <w:spacing w:line="240" w:lineRule="auto"/>
              <w:jc w:val="center"/>
              <w:rPr>
                <w:rFonts w:cs="Courier New"/>
                <w:sz w:val="16"/>
                <w:szCs w:val="16"/>
              </w:rPr>
            </w:pPr>
            <w:r w:rsidRPr="007231FA">
              <w:rPr>
                <w:rFonts w:cs="Courier New"/>
                <w:sz w:val="16"/>
                <w:szCs w:val="16"/>
              </w:rPr>
              <w:t>1</w:t>
            </w:r>
          </w:p>
        </w:tc>
        <w:tc>
          <w:tcPr>
            <w:tcW w:w="1168" w:type="dxa"/>
          </w:tcPr>
          <w:p w:rsidRPr="007231FA" w:rsidR="0011094A" w:rsidP="0011094A" w:rsidRDefault="0011094A" w14:paraId="324B83A7" w14:textId="0D27EA81">
            <w:pPr>
              <w:spacing w:line="240" w:lineRule="auto"/>
              <w:jc w:val="center"/>
              <w:rPr>
                <w:rFonts w:cs="Courier New"/>
                <w:sz w:val="16"/>
                <w:szCs w:val="16"/>
              </w:rPr>
            </w:pPr>
            <w:r w:rsidRPr="007231FA">
              <w:rPr>
                <w:rFonts w:cs="Courier New"/>
                <w:sz w:val="16"/>
                <w:szCs w:val="16"/>
              </w:rPr>
              <w:t>20</w:t>
            </w:r>
          </w:p>
        </w:tc>
        <w:tc>
          <w:tcPr>
            <w:tcW w:w="1169" w:type="dxa"/>
            <w:shd w:val="clear" w:color="auto" w:fill="auto"/>
          </w:tcPr>
          <w:p w:rsidRPr="007231FA" w:rsidR="0011094A" w:rsidP="0011094A" w:rsidRDefault="0011094A" w14:paraId="16065C63" w14:textId="4F5C1341">
            <w:pPr>
              <w:spacing w:line="240" w:lineRule="auto"/>
              <w:jc w:val="center"/>
              <w:rPr>
                <w:rFonts w:cs="Courier New"/>
                <w:sz w:val="16"/>
                <w:szCs w:val="16"/>
              </w:rPr>
            </w:pPr>
            <w:r w:rsidRPr="007231FA">
              <w:rPr>
                <w:rFonts w:cs="Courier New"/>
                <w:sz w:val="16"/>
                <w:szCs w:val="16"/>
              </w:rPr>
              <w:t>7</w:t>
            </w:r>
          </w:p>
        </w:tc>
        <w:tc>
          <w:tcPr>
            <w:tcW w:w="1169" w:type="dxa"/>
          </w:tcPr>
          <w:p w:rsidRPr="007231FA" w:rsidR="0011094A" w:rsidP="0011094A" w:rsidRDefault="0011094A" w14:paraId="0D12F6B8" w14:textId="3C208AB3">
            <w:pPr>
              <w:spacing w:line="240" w:lineRule="auto"/>
              <w:jc w:val="center"/>
              <w:rPr>
                <w:rFonts w:cs="Courier New"/>
                <w:sz w:val="16"/>
                <w:szCs w:val="16"/>
              </w:rPr>
            </w:pPr>
            <w:r w:rsidRPr="007231FA">
              <w:rPr>
                <w:rFonts w:cs="Courier New"/>
                <w:sz w:val="16"/>
                <w:szCs w:val="16"/>
              </w:rPr>
              <w:t>$3</w:t>
            </w:r>
            <w:r w:rsidR="004C1377">
              <w:rPr>
                <w:rFonts w:cs="Courier New"/>
                <w:sz w:val="16"/>
                <w:szCs w:val="16"/>
              </w:rPr>
              <w:t>3</w:t>
            </w:r>
            <w:r w:rsidRPr="007231FA">
              <w:rPr>
                <w:rFonts w:cs="Courier New"/>
                <w:sz w:val="16"/>
                <w:szCs w:val="16"/>
              </w:rPr>
              <w:t>.46</w:t>
            </w:r>
          </w:p>
        </w:tc>
        <w:tc>
          <w:tcPr>
            <w:tcW w:w="1169" w:type="dxa"/>
          </w:tcPr>
          <w:p w:rsidRPr="007231FA" w:rsidR="0011094A" w:rsidP="0011094A" w:rsidRDefault="0035656A" w14:paraId="2B8F9F87" w14:textId="3AB7BEC1">
            <w:pPr>
              <w:spacing w:line="240" w:lineRule="auto"/>
              <w:jc w:val="center"/>
              <w:rPr>
                <w:rFonts w:cs="Courier New"/>
                <w:sz w:val="16"/>
                <w:szCs w:val="16"/>
              </w:rPr>
            </w:pPr>
            <w:r>
              <w:rPr>
                <w:rFonts w:cs="Courier New"/>
                <w:sz w:val="16"/>
                <w:szCs w:val="16"/>
              </w:rPr>
              <w:t>$</w:t>
            </w:r>
            <w:r w:rsidR="004F3ADD">
              <w:rPr>
                <w:rFonts w:cs="Courier New"/>
                <w:sz w:val="16"/>
                <w:szCs w:val="16"/>
              </w:rPr>
              <w:t>234</w:t>
            </w:r>
          </w:p>
        </w:tc>
      </w:tr>
      <w:tr w:rsidRPr="00291139" w:rsidR="0011094A" w:rsidTr="00566DE2" w14:paraId="374E36B6" w14:textId="77777777">
        <w:trPr>
          <w:trHeight w:val="602"/>
        </w:trPr>
        <w:tc>
          <w:tcPr>
            <w:tcW w:w="1255" w:type="dxa"/>
            <w:shd w:val="clear" w:color="auto" w:fill="auto"/>
          </w:tcPr>
          <w:p w:rsidRPr="007231FA" w:rsidR="0011094A" w:rsidP="0011094A" w:rsidRDefault="0011094A" w14:paraId="5E9DC477" w14:textId="4E95C7FF">
            <w:pPr>
              <w:spacing w:line="240" w:lineRule="auto"/>
              <w:rPr>
                <w:rFonts w:cs="Courier New"/>
                <w:sz w:val="16"/>
                <w:szCs w:val="16"/>
              </w:rPr>
            </w:pPr>
            <w:r w:rsidRPr="007231FA">
              <w:rPr>
                <w:rFonts w:cs="Courier New"/>
                <w:sz w:val="16"/>
                <w:szCs w:val="16"/>
              </w:rPr>
              <w:lastRenderedPageBreak/>
              <w:t>Semi-structured staff and supervisor interviews</w:t>
            </w:r>
          </w:p>
        </w:tc>
        <w:tc>
          <w:tcPr>
            <w:tcW w:w="1151" w:type="dxa"/>
            <w:shd w:val="clear" w:color="auto" w:fill="auto"/>
          </w:tcPr>
          <w:p w:rsidRPr="007231FA" w:rsidR="0011094A" w:rsidP="0011094A" w:rsidRDefault="0011094A" w14:paraId="65870323" w14:textId="63266058">
            <w:pPr>
              <w:spacing w:line="240" w:lineRule="auto"/>
              <w:jc w:val="center"/>
              <w:rPr>
                <w:rFonts w:cs="Courier New"/>
                <w:sz w:val="16"/>
                <w:szCs w:val="16"/>
              </w:rPr>
            </w:pPr>
            <w:r w:rsidRPr="007231FA">
              <w:rPr>
                <w:rFonts w:cs="Courier New"/>
                <w:sz w:val="16"/>
                <w:szCs w:val="16"/>
              </w:rPr>
              <w:t>40</w:t>
            </w:r>
          </w:p>
        </w:tc>
        <w:tc>
          <w:tcPr>
            <w:tcW w:w="1101" w:type="dxa"/>
            <w:shd w:val="clear" w:color="auto" w:fill="auto"/>
          </w:tcPr>
          <w:p w:rsidRPr="007231FA" w:rsidR="0011094A" w:rsidP="0011094A" w:rsidRDefault="0011094A" w14:paraId="079043DD" w14:textId="524B0096">
            <w:pPr>
              <w:spacing w:line="240" w:lineRule="auto"/>
              <w:jc w:val="center"/>
              <w:rPr>
                <w:rFonts w:cs="Courier New"/>
                <w:sz w:val="16"/>
                <w:szCs w:val="16"/>
              </w:rPr>
            </w:pPr>
            <w:r w:rsidRPr="007231FA">
              <w:rPr>
                <w:rFonts w:cs="Courier New"/>
                <w:sz w:val="16"/>
                <w:szCs w:val="16"/>
              </w:rPr>
              <w:t>1</w:t>
            </w:r>
          </w:p>
        </w:tc>
        <w:tc>
          <w:tcPr>
            <w:tcW w:w="1168" w:type="dxa"/>
            <w:shd w:val="clear" w:color="auto" w:fill="auto"/>
          </w:tcPr>
          <w:p w:rsidRPr="007231FA" w:rsidR="0011094A" w:rsidP="0011094A" w:rsidRDefault="0011094A" w14:paraId="44882936" w14:textId="2262548F">
            <w:pPr>
              <w:spacing w:line="240" w:lineRule="auto"/>
              <w:jc w:val="center"/>
              <w:rPr>
                <w:rFonts w:cs="Courier New"/>
                <w:sz w:val="16"/>
                <w:szCs w:val="16"/>
              </w:rPr>
            </w:pPr>
            <w:r w:rsidRPr="007231FA">
              <w:rPr>
                <w:rFonts w:cs="Courier New"/>
                <w:sz w:val="16"/>
                <w:szCs w:val="16"/>
              </w:rPr>
              <w:t>1</w:t>
            </w:r>
          </w:p>
        </w:tc>
        <w:tc>
          <w:tcPr>
            <w:tcW w:w="1168" w:type="dxa"/>
          </w:tcPr>
          <w:p w:rsidRPr="007231FA" w:rsidR="0011094A" w:rsidP="0011094A" w:rsidRDefault="0011094A" w14:paraId="36A1D1BD" w14:textId="3152B22A">
            <w:pPr>
              <w:spacing w:line="240" w:lineRule="auto"/>
              <w:jc w:val="center"/>
              <w:rPr>
                <w:rFonts w:cs="Courier New"/>
                <w:sz w:val="16"/>
                <w:szCs w:val="16"/>
              </w:rPr>
            </w:pPr>
            <w:r w:rsidRPr="007231FA">
              <w:rPr>
                <w:rFonts w:cs="Courier New"/>
                <w:sz w:val="16"/>
                <w:szCs w:val="16"/>
              </w:rPr>
              <w:t>40</w:t>
            </w:r>
          </w:p>
        </w:tc>
        <w:tc>
          <w:tcPr>
            <w:tcW w:w="1169" w:type="dxa"/>
            <w:shd w:val="clear" w:color="auto" w:fill="auto"/>
          </w:tcPr>
          <w:p w:rsidRPr="007231FA" w:rsidR="0011094A" w:rsidP="0011094A" w:rsidRDefault="0011094A" w14:paraId="78F80052" w14:textId="4C89C249">
            <w:pPr>
              <w:spacing w:line="240" w:lineRule="auto"/>
              <w:jc w:val="center"/>
              <w:rPr>
                <w:rFonts w:cs="Courier New"/>
                <w:sz w:val="16"/>
                <w:szCs w:val="16"/>
              </w:rPr>
            </w:pPr>
            <w:r w:rsidRPr="007231FA">
              <w:rPr>
                <w:rFonts w:cs="Courier New"/>
                <w:sz w:val="16"/>
                <w:szCs w:val="16"/>
              </w:rPr>
              <w:t>13</w:t>
            </w:r>
          </w:p>
        </w:tc>
        <w:tc>
          <w:tcPr>
            <w:tcW w:w="1169" w:type="dxa"/>
          </w:tcPr>
          <w:p w:rsidRPr="007231FA" w:rsidR="0011094A" w:rsidP="0011094A" w:rsidRDefault="0011094A" w14:paraId="5D3140A0" w14:textId="5C5254B2">
            <w:pPr>
              <w:spacing w:line="240" w:lineRule="auto"/>
              <w:jc w:val="center"/>
              <w:rPr>
                <w:rFonts w:cs="Courier New"/>
                <w:b/>
                <w:bCs/>
                <w:sz w:val="16"/>
                <w:szCs w:val="16"/>
              </w:rPr>
            </w:pPr>
            <w:r w:rsidRPr="007231FA">
              <w:rPr>
                <w:rFonts w:cs="Courier New"/>
                <w:sz w:val="16"/>
                <w:szCs w:val="16"/>
              </w:rPr>
              <w:t>$3</w:t>
            </w:r>
            <w:r w:rsidR="004C1377">
              <w:rPr>
                <w:rFonts w:cs="Courier New"/>
                <w:sz w:val="16"/>
                <w:szCs w:val="16"/>
              </w:rPr>
              <w:t>3</w:t>
            </w:r>
            <w:r w:rsidRPr="007231FA">
              <w:rPr>
                <w:rFonts w:cs="Courier New"/>
                <w:sz w:val="16"/>
                <w:szCs w:val="16"/>
              </w:rPr>
              <w:t>.46</w:t>
            </w:r>
          </w:p>
        </w:tc>
        <w:tc>
          <w:tcPr>
            <w:tcW w:w="1169" w:type="dxa"/>
          </w:tcPr>
          <w:p w:rsidRPr="007231FA" w:rsidR="0011094A" w:rsidP="0011094A" w:rsidRDefault="0035656A" w14:paraId="45891743" w14:textId="361DB6E6">
            <w:pPr>
              <w:spacing w:line="240" w:lineRule="auto"/>
              <w:jc w:val="center"/>
              <w:rPr>
                <w:rFonts w:cs="Courier New"/>
                <w:sz w:val="16"/>
                <w:szCs w:val="16"/>
              </w:rPr>
            </w:pPr>
            <w:r>
              <w:rPr>
                <w:rFonts w:cs="Courier New"/>
                <w:sz w:val="16"/>
                <w:szCs w:val="16"/>
              </w:rPr>
              <w:t>$</w:t>
            </w:r>
            <w:r w:rsidR="004F3ADD">
              <w:rPr>
                <w:rFonts w:cs="Courier New"/>
                <w:sz w:val="16"/>
                <w:szCs w:val="16"/>
              </w:rPr>
              <w:t>435</w:t>
            </w:r>
          </w:p>
        </w:tc>
      </w:tr>
      <w:tr w:rsidRPr="00291139" w:rsidR="0011094A" w:rsidTr="00566DE2" w14:paraId="3AB2BB6F" w14:textId="77777777">
        <w:trPr>
          <w:trHeight w:val="602"/>
        </w:trPr>
        <w:tc>
          <w:tcPr>
            <w:tcW w:w="1255" w:type="dxa"/>
            <w:shd w:val="clear" w:color="auto" w:fill="auto"/>
            <w:vAlign w:val="center"/>
          </w:tcPr>
          <w:p w:rsidRPr="007231FA" w:rsidR="0011094A" w:rsidP="0011094A" w:rsidRDefault="0011094A" w14:paraId="3660B697" w14:textId="75CD682A">
            <w:pPr>
              <w:spacing w:line="240" w:lineRule="auto"/>
              <w:rPr>
                <w:rFonts w:cs="Courier New"/>
                <w:sz w:val="16"/>
                <w:szCs w:val="16"/>
              </w:rPr>
            </w:pPr>
            <w:r w:rsidRPr="007231FA">
              <w:rPr>
                <w:rFonts w:cs="Courier New"/>
                <w:sz w:val="16"/>
                <w:szCs w:val="16"/>
              </w:rPr>
              <w:t>Semi-structured participant interviews, FaDSS and Goal4 It!</w:t>
            </w:r>
          </w:p>
        </w:tc>
        <w:tc>
          <w:tcPr>
            <w:tcW w:w="1151" w:type="dxa"/>
            <w:shd w:val="clear" w:color="auto" w:fill="auto"/>
          </w:tcPr>
          <w:p w:rsidRPr="007231FA" w:rsidR="0011094A" w:rsidP="0011094A" w:rsidRDefault="0011094A" w14:paraId="3749830B" w14:textId="6422011A">
            <w:pPr>
              <w:spacing w:line="240" w:lineRule="auto"/>
              <w:jc w:val="center"/>
              <w:rPr>
                <w:rFonts w:cs="Courier New"/>
                <w:sz w:val="16"/>
                <w:szCs w:val="16"/>
              </w:rPr>
            </w:pPr>
            <w:r w:rsidRPr="007231FA">
              <w:rPr>
                <w:rFonts w:cs="Courier New"/>
                <w:sz w:val="16"/>
                <w:szCs w:val="16"/>
              </w:rPr>
              <w:t>14</w:t>
            </w:r>
          </w:p>
        </w:tc>
        <w:tc>
          <w:tcPr>
            <w:tcW w:w="1101" w:type="dxa"/>
            <w:shd w:val="clear" w:color="auto" w:fill="auto"/>
          </w:tcPr>
          <w:p w:rsidRPr="007231FA" w:rsidR="0011094A" w:rsidP="0011094A" w:rsidRDefault="0011094A" w14:paraId="1A34FBB7" w14:textId="07912761">
            <w:pPr>
              <w:spacing w:line="240" w:lineRule="auto"/>
              <w:jc w:val="center"/>
              <w:rPr>
                <w:rFonts w:cs="Courier New"/>
                <w:sz w:val="16"/>
                <w:szCs w:val="16"/>
              </w:rPr>
            </w:pPr>
            <w:r w:rsidRPr="007231FA">
              <w:rPr>
                <w:rFonts w:cs="Courier New"/>
                <w:sz w:val="16"/>
                <w:szCs w:val="16"/>
              </w:rPr>
              <w:t>1</w:t>
            </w:r>
          </w:p>
        </w:tc>
        <w:tc>
          <w:tcPr>
            <w:tcW w:w="1168" w:type="dxa"/>
            <w:shd w:val="clear" w:color="auto" w:fill="auto"/>
          </w:tcPr>
          <w:p w:rsidRPr="007231FA" w:rsidR="0011094A" w:rsidP="0011094A" w:rsidRDefault="0011094A" w14:paraId="7DA9503A" w14:textId="23A4FDF9">
            <w:pPr>
              <w:spacing w:line="240" w:lineRule="auto"/>
              <w:jc w:val="center"/>
              <w:rPr>
                <w:rFonts w:cs="Courier New"/>
                <w:sz w:val="16"/>
                <w:szCs w:val="16"/>
              </w:rPr>
            </w:pPr>
            <w:r w:rsidRPr="007231FA">
              <w:rPr>
                <w:rFonts w:cs="Courier New"/>
                <w:sz w:val="16"/>
                <w:szCs w:val="16"/>
              </w:rPr>
              <w:t>1</w:t>
            </w:r>
            <w:r w:rsidR="00C229D5">
              <w:rPr>
                <w:rFonts w:cs="Courier New"/>
                <w:sz w:val="16"/>
                <w:szCs w:val="16"/>
              </w:rPr>
              <w:t>.5</w:t>
            </w:r>
          </w:p>
        </w:tc>
        <w:tc>
          <w:tcPr>
            <w:tcW w:w="1168" w:type="dxa"/>
          </w:tcPr>
          <w:p w:rsidRPr="007231FA" w:rsidR="0011094A" w:rsidP="0011094A" w:rsidRDefault="0035656A" w14:paraId="6377BC7A" w14:textId="02EF8FC4">
            <w:pPr>
              <w:spacing w:line="240" w:lineRule="auto"/>
              <w:jc w:val="center"/>
              <w:rPr>
                <w:rFonts w:cs="Courier New"/>
                <w:sz w:val="16"/>
                <w:szCs w:val="16"/>
              </w:rPr>
            </w:pPr>
            <w:r>
              <w:rPr>
                <w:rFonts w:cs="Courier New"/>
                <w:sz w:val="16"/>
                <w:szCs w:val="16"/>
              </w:rPr>
              <w:t>21</w:t>
            </w:r>
          </w:p>
        </w:tc>
        <w:tc>
          <w:tcPr>
            <w:tcW w:w="1169" w:type="dxa"/>
            <w:shd w:val="clear" w:color="auto" w:fill="auto"/>
          </w:tcPr>
          <w:p w:rsidRPr="007231FA" w:rsidR="0011094A" w:rsidP="0011094A" w:rsidRDefault="0035656A" w14:paraId="03867475" w14:textId="3B6B0B26">
            <w:pPr>
              <w:spacing w:line="240" w:lineRule="auto"/>
              <w:jc w:val="center"/>
              <w:rPr>
                <w:rFonts w:cs="Courier New"/>
                <w:sz w:val="16"/>
                <w:szCs w:val="16"/>
              </w:rPr>
            </w:pPr>
            <w:r>
              <w:rPr>
                <w:rFonts w:cs="Courier New"/>
                <w:sz w:val="16"/>
                <w:szCs w:val="16"/>
              </w:rPr>
              <w:t>7</w:t>
            </w:r>
          </w:p>
        </w:tc>
        <w:tc>
          <w:tcPr>
            <w:tcW w:w="1169" w:type="dxa"/>
          </w:tcPr>
          <w:p w:rsidRPr="007231FA" w:rsidR="0011094A" w:rsidP="0011094A" w:rsidRDefault="0011094A" w14:paraId="582E61B4" w14:textId="4860B904">
            <w:pPr>
              <w:spacing w:line="240" w:lineRule="auto"/>
              <w:jc w:val="center"/>
              <w:rPr>
                <w:rFonts w:cs="Courier New"/>
                <w:sz w:val="16"/>
                <w:szCs w:val="16"/>
              </w:rPr>
            </w:pPr>
            <w:r w:rsidRPr="007231FA">
              <w:rPr>
                <w:rFonts w:cs="Courier New"/>
                <w:sz w:val="16"/>
                <w:szCs w:val="16"/>
              </w:rPr>
              <w:t>$3</w:t>
            </w:r>
            <w:r w:rsidR="004C1377">
              <w:rPr>
                <w:rFonts w:cs="Courier New"/>
                <w:sz w:val="16"/>
                <w:szCs w:val="16"/>
              </w:rPr>
              <w:t>3</w:t>
            </w:r>
            <w:r w:rsidRPr="007231FA">
              <w:rPr>
                <w:rFonts w:cs="Courier New"/>
                <w:sz w:val="16"/>
                <w:szCs w:val="16"/>
              </w:rPr>
              <w:t>.46</w:t>
            </w:r>
          </w:p>
        </w:tc>
        <w:tc>
          <w:tcPr>
            <w:tcW w:w="1169" w:type="dxa"/>
          </w:tcPr>
          <w:p w:rsidRPr="007231FA" w:rsidR="0011094A" w:rsidP="0011094A" w:rsidRDefault="0035656A" w14:paraId="06670EE3" w14:textId="2CFE65A8">
            <w:pPr>
              <w:spacing w:line="240" w:lineRule="auto"/>
              <w:jc w:val="center"/>
              <w:rPr>
                <w:rFonts w:cs="Courier New"/>
                <w:sz w:val="16"/>
                <w:szCs w:val="16"/>
              </w:rPr>
            </w:pPr>
            <w:r>
              <w:rPr>
                <w:rFonts w:cs="Courier New"/>
                <w:sz w:val="16"/>
                <w:szCs w:val="16"/>
              </w:rPr>
              <w:t>$</w:t>
            </w:r>
            <w:r w:rsidR="004F3ADD">
              <w:rPr>
                <w:rFonts w:cs="Courier New"/>
                <w:sz w:val="16"/>
                <w:szCs w:val="16"/>
              </w:rPr>
              <w:t>234</w:t>
            </w:r>
          </w:p>
        </w:tc>
      </w:tr>
      <w:tr w:rsidRPr="00291139" w:rsidR="0011094A" w:rsidTr="00566DE2" w14:paraId="7F261746" w14:textId="77777777">
        <w:trPr>
          <w:trHeight w:val="602"/>
        </w:trPr>
        <w:tc>
          <w:tcPr>
            <w:tcW w:w="1255" w:type="dxa"/>
            <w:shd w:val="clear" w:color="auto" w:fill="auto"/>
            <w:vAlign w:val="center"/>
          </w:tcPr>
          <w:p w:rsidRPr="007231FA" w:rsidR="0011094A" w:rsidP="0011094A" w:rsidRDefault="0011094A" w14:paraId="39EF73D9" w14:textId="7357E5AB">
            <w:pPr>
              <w:spacing w:line="240" w:lineRule="auto"/>
              <w:rPr>
                <w:rFonts w:cs="Courier New"/>
                <w:sz w:val="16"/>
                <w:szCs w:val="16"/>
              </w:rPr>
            </w:pPr>
            <w:r w:rsidRPr="007231FA">
              <w:rPr>
                <w:rFonts w:cs="Courier New"/>
                <w:sz w:val="16"/>
                <w:szCs w:val="16"/>
              </w:rPr>
              <w:t xml:space="preserve">Semi-structured participant interviews, LIFT </w:t>
            </w:r>
          </w:p>
        </w:tc>
        <w:tc>
          <w:tcPr>
            <w:tcW w:w="1151" w:type="dxa"/>
            <w:shd w:val="clear" w:color="auto" w:fill="auto"/>
          </w:tcPr>
          <w:p w:rsidRPr="007231FA" w:rsidR="0011094A" w:rsidP="0011094A" w:rsidRDefault="0011094A" w14:paraId="323C1556" w14:textId="0E12BA19">
            <w:pPr>
              <w:spacing w:line="240" w:lineRule="auto"/>
              <w:jc w:val="center"/>
              <w:rPr>
                <w:rFonts w:cs="Courier New"/>
                <w:sz w:val="16"/>
                <w:szCs w:val="16"/>
              </w:rPr>
            </w:pPr>
            <w:r w:rsidRPr="007231FA">
              <w:rPr>
                <w:rFonts w:cs="Courier New"/>
                <w:sz w:val="16"/>
                <w:szCs w:val="16"/>
              </w:rPr>
              <w:t>7</w:t>
            </w:r>
          </w:p>
        </w:tc>
        <w:tc>
          <w:tcPr>
            <w:tcW w:w="1101" w:type="dxa"/>
            <w:shd w:val="clear" w:color="auto" w:fill="auto"/>
          </w:tcPr>
          <w:p w:rsidRPr="007231FA" w:rsidR="0011094A" w:rsidP="0011094A" w:rsidRDefault="0011094A" w14:paraId="460B6559" w14:textId="7F7A16FD">
            <w:pPr>
              <w:spacing w:line="240" w:lineRule="auto"/>
              <w:jc w:val="center"/>
              <w:rPr>
                <w:rFonts w:cs="Courier New"/>
                <w:sz w:val="16"/>
                <w:szCs w:val="16"/>
              </w:rPr>
            </w:pPr>
            <w:r w:rsidRPr="007231FA">
              <w:rPr>
                <w:rFonts w:cs="Courier New"/>
                <w:sz w:val="16"/>
                <w:szCs w:val="16"/>
              </w:rPr>
              <w:t>1</w:t>
            </w:r>
          </w:p>
        </w:tc>
        <w:tc>
          <w:tcPr>
            <w:tcW w:w="1168" w:type="dxa"/>
            <w:shd w:val="clear" w:color="auto" w:fill="auto"/>
          </w:tcPr>
          <w:p w:rsidRPr="007231FA" w:rsidR="0011094A" w:rsidP="0011094A" w:rsidRDefault="0011094A" w14:paraId="3E3BF0C2" w14:textId="09D0D3CF">
            <w:pPr>
              <w:spacing w:line="240" w:lineRule="auto"/>
              <w:jc w:val="center"/>
              <w:rPr>
                <w:rFonts w:cs="Courier New"/>
                <w:sz w:val="16"/>
                <w:szCs w:val="16"/>
              </w:rPr>
            </w:pPr>
            <w:r w:rsidRPr="007231FA">
              <w:rPr>
                <w:rFonts w:cs="Courier New"/>
                <w:sz w:val="16"/>
                <w:szCs w:val="16"/>
              </w:rPr>
              <w:t>2</w:t>
            </w:r>
          </w:p>
        </w:tc>
        <w:tc>
          <w:tcPr>
            <w:tcW w:w="1168" w:type="dxa"/>
          </w:tcPr>
          <w:p w:rsidRPr="007231FA" w:rsidR="0011094A" w:rsidP="0011094A" w:rsidRDefault="0011094A" w14:paraId="1C900BC2" w14:textId="2B5A7542">
            <w:pPr>
              <w:spacing w:line="240" w:lineRule="auto"/>
              <w:jc w:val="center"/>
              <w:rPr>
                <w:rFonts w:cs="Courier New"/>
                <w:sz w:val="16"/>
                <w:szCs w:val="16"/>
              </w:rPr>
            </w:pPr>
            <w:r w:rsidRPr="007231FA">
              <w:rPr>
                <w:rFonts w:cs="Courier New"/>
                <w:sz w:val="16"/>
                <w:szCs w:val="16"/>
              </w:rPr>
              <w:t>14</w:t>
            </w:r>
          </w:p>
        </w:tc>
        <w:tc>
          <w:tcPr>
            <w:tcW w:w="1169" w:type="dxa"/>
            <w:shd w:val="clear" w:color="auto" w:fill="auto"/>
          </w:tcPr>
          <w:p w:rsidRPr="007231FA" w:rsidR="0011094A" w:rsidP="0011094A" w:rsidRDefault="0011094A" w14:paraId="5D1FDDAD" w14:textId="48511C46">
            <w:pPr>
              <w:spacing w:line="240" w:lineRule="auto"/>
              <w:jc w:val="center"/>
              <w:rPr>
                <w:rFonts w:cs="Courier New"/>
                <w:sz w:val="16"/>
                <w:szCs w:val="16"/>
              </w:rPr>
            </w:pPr>
            <w:r w:rsidRPr="007231FA">
              <w:rPr>
                <w:rFonts w:cs="Courier New"/>
                <w:sz w:val="16"/>
                <w:szCs w:val="16"/>
              </w:rPr>
              <w:t>5</w:t>
            </w:r>
          </w:p>
        </w:tc>
        <w:tc>
          <w:tcPr>
            <w:tcW w:w="1169" w:type="dxa"/>
          </w:tcPr>
          <w:p w:rsidRPr="007231FA" w:rsidR="0011094A" w:rsidP="0011094A" w:rsidRDefault="0011094A" w14:paraId="2A882BA3" w14:textId="3222D074">
            <w:pPr>
              <w:spacing w:line="240" w:lineRule="auto"/>
              <w:jc w:val="center"/>
              <w:rPr>
                <w:rFonts w:cs="Courier New"/>
                <w:sz w:val="16"/>
                <w:szCs w:val="16"/>
              </w:rPr>
            </w:pPr>
            <w:r w:rsidRPr="007231FA">
              <w:rPr>
                <w:rFonts w:cs="Courier New"/>
                <w:sz w:val="16"/>
                <w:szCs w:val="16"/>
              </w:rPr>
              <w:t>$3</w:t>
            </w:r>
            <w:r w:rsidR="004C1377">
              <w:rPr>
                <w:rFonts w:cs="Courier New"/>
                <w:sz w:val="16"/>
                <w:szCs w:val="16"/>
              </w:rPr>
              <w:t>3</w:t>
            </w:r>
            <w:r w:rsidRPr="007231FA">
              <w:rPr>
                <w:rFonts w:cs="Courier New"/>
                <w:sz w:val="16"/>
                <w:szCs w:val="16"/>
              </w:rPr>
              <w:t>.46</w:t>
            </w:r>
          </w:p>
        </w:tc>
        <w:tc>
          <w:tcPr>
            <w:tcW w:w="1169" w:type="dxa"/>
          </w:tcPr>
          <w:p w:rsidRPr="007231FA" w:rsidR="0011094A" w:rsidP="0011094A" w:rsidRDefault="0035656A" w14:paraId="44FED45F" w14:textId="368E982D">
            <w:pPr>
              <w:spacing w:line="240" w:lineRule="auto"/>
              <w:jc w:val="center"/>
              <w:rPr>
                <w:rFonts w:cs="Courier New"/>
                <w:sz w:val="16"/>
                <w:szCs w:val="16"/>
              </w:rPr>
            </w:pPr>
            <w:r>
              <w:rPr>
                <w:rFonts w:cs="Courier New"/>
                <w:sz w:val="16"/>
                <w:szCs w:val="16"/>
              </w:rPr>
              <w:t>$</w:t>
            </w:r>
            <w:r w:rsidR="004F3ADD">
              <w:rPr>
                <w:rFonts w:cs="Courier New"/>
                <w:sz w:val="16"/>
                <w:szCs w:val="16"/>
              </w:rPr>
              <w:t>167</w:t>
            </w:r>
          </w:p>
        </w:tc>
      </w:tr>
      <w:tr w:rsidRPr="00291139" w:rsidR="0011094A" w:rsidTr="00566DE2" w14:paraId="53580BF1" w14:textId="77777777">
        <w:trPr>
          <w:trHeight w:val="602"/>
        </w:trPr>
        <w:tc>
          <w:tcPr>
            <w:tcW w:w="1255" w:type="dxa"/>
            <w:shd w:val="clear" w:color="auto" w:fill="auto"/>
            <w:vAlign w:val="center"/>
          </w:tcPr>
          <w:p w:rsidRPr="007231FA" w:rsidR="0011094A" w:rsidP="0011094A" w:rsidRDefault="0011094A" w14:paraId="49682478" w14:textId="73CEEE38">
            <w:pPr>
              <w:spacing w:line="240" w:lineRule="auto"/>
              <w:rPr>
                <w:rFonts w:cs="Courier New"/>
                <w:sz w:val="16"/>
                <w:szCs w:val="16"/>
              </w:rPr>
            </w:pPr>
            <w:r w:rsidRPr="007231FA">
              <w:rPr>
                <w:rFonts w:cs="Courier New"/>
                <w:sz w:val="16"/>
                <w:szCs w:val="16"/>
              </w:rPr>
              <w:t>Semi-structured participant interviews, MyGoals</w:t>
            </w:r>
          </w:p>
        </w:tc>
        <w:tc>
          <w:tcPr>
            <w:tcW w:w="1151" w:type="dxa"/>
            <w:shd w:val="clear" w:color="auto" w:fill="auto"/>
          </w:tcPr>
          <w:p w:rsidRPr="007231FA" w:rsidR="0011094A" w:rsidP="0011094A" w:rsidRDefault="00DA0F3C" w14:paraId="3B4BE9E2" w14:textId="2EF0157D">
            <w:pPr>
              <w:spacing w:line="240" w:lineRule="auto"/>
              <w:jc w:val="center"/>
              <w:rPr>
                <w:rFonts w:cs="Courier New"/>
                <w:sz w:val="16"/>
                <w:szCs w:val="16"/>
              </w:rPr>
            </w:pPr>
            <w:r w:rsidRPr="007231FA">
              <w:rPr>
                <w:rFonts w:cs="Courier New"/>
                <w:sz w:val="16"/>
                <w:szCs w:val="16"/>
              </w:rPr>
              <w:t>14</w:t>
            </w:r>
          </w:p>
        </w:tc>
        <w:tc>
          <w:tcPr>
            <w:tcW w:w="1101" w:type="dxa"/>
            <w:shd w:val="clear" w:color="auto" w:fill="auto"/>
          </w:tcPr>
          <w:p w:rsidRPr="007231FA" w:rsidR="0011094A" w:rsidP="0011094A" w:rsidRDefault="0011094A" w14:paraId="6A585838" w14:textId="63DCBF61">
            <w:pPr>
              <w:spacing w:line="240" w:lineRule="auto"/>
              <w:jc w:val="center"/>
              <w:rPr>
                <w:rFonts w:cs="Courier New"/>
                <w:sz w:val="16"/>
                <w:szCs w:val="16"/>
              </w:rPr>
            </w:pPr>
            <w:r w:rsidRPr="007231FA">
              <w:rPr>
                <w:rFonts w:cs="Courier New"/>
                <w:sz w:val="16"/>
                <w:szCs w:val="16"/>
              </w:rPr>
              <w:t>1</w:t>
            </w:r>
          </w:p>
        </w:tc>
        <w:tc>
          <w:tcPr>
            <w:tcW w:w="1168" w:type="dxa"/>
            <w:shd w:val="clear" w:color="auto" w:fill="auto"/>
          </w:tcPr>
          <w:p w:rsidRPr="007231FA" w:rsidR="0011094A" w:rsidP="0011094A" w:rsidRDefault="0011094A" w14:paraId="5A3D435E" w14:textId="26A6E553">
            <w:pPr>
              <w:spacing w:line="240" w:lineRule="auto"/>
              <w:jc w:val="center"/>
              <w:rPr>
                <w:rFonts w:cs="Courier New"/>
                <w:sz w:val="16"/>
                <w:szCs w:val="16"/>
              </w:rPr>
            </w:pPr>
            <w:r w:rsidRPr="007231FA">
              <w:rPr>
                <w:rFonts w:cs="Courier New"/>
                <w:sz w:val="16"/>
                <w:szCs w:val="16"/>
              </w:rPr>
              <w:t>2.5</w:t>
            </w:r>
          </w:p>
        </w:tc>
        <w:tc>
          <w:tcPr>
            <w:tcW w:w="1168" w:type="dxa"/>
          </w:tcPr>
          <w:p w:rsidRPr="007231FA" w:rsidR="0011094A" w:rsidP="0011094A" w:rsidRDefault="00DA0F3C" w14:paraId="7B4E63FB" w14:textId="41353BCC">
            <w:pPr>
              <w:spacing w:line="240" w:lineRule="auto"/>
              <w:jc w:val="center"/>
              <w:rPr>
                <w:rFonts w:cs="Courier New"/>
                <w:sz w:val="16"/>
                <w:szCs w:val="16"/>
              </w:rPr>
            </w:pPr>
            <w:r w:rsidRPr="007231FA">
              <w:rPr>
                <w:rFonts w:cs="Courier New"/>
                <w:sz w:val="16"/>
                <w:szCs w:val="16"/>
              </w:rPr>
              <w:t>3</w:t>
            </w:r>
            <w:r w:rsidRPr="007231FA" w:rsidR="007E6B7B">
              <w:rPr>
                <w:rFonts w:cs="Courier New"/>
                <w:sz w:val="16"/>
                <w:szCs w:val="16"/>
              </w:rPr>
              <w:t>5</w:t>
            </w:r>
          </w:p>
        </w:tc>
        <w:tc>
          <w:tcPr>
            <w:tcW w:w="1169" w:type="dxa"/>
            <w:shd w:val="clear" w:color="auto" w:fill="auto"/>
          </w:tcPr>
          <w:p w:rsidRPr="007231FA" w:rsidR="0011094A" w:rsidP="0011094A" w:rsidRDefault="00DA0F3C" w14:paraId="095E9789" w14:textId="5CC6093A">
            <w:pPr>
              <w:spacing w:line="240" w:lineRule="auto"/>
              <w:jc w:val="center"/>
              <w:rPr>
                <w:rFonts w:cs="Courier New"/>
                <w:sz w:val="16"/>
                <w:szCs w:val="16"/>
              </w:rPr>
            </w:pPr>
            <w:r w:rsidRPr="007231FA">
              <w:rPr>
                <w:rFonts w:cs="Courier New"/>
                <w:sz w:val="16"/>
                <w:szCs w:val="16"/>
              </w:rPr>
              <w:t>12</w:t>
            </w:r>
          </w:p>
        </w:tc>
        <w:tc>
          <w:tcPr>
            <w:tcW w:w="1169" w:type="dxa"/>
          </w:tcPr>
          <w:p w:rsidRPr="007231FA" w:rsidR="0011094A" w:rsidP="0011094A" w:rsidRDefault="0011094A" w14:paraId="0CE82649" w14:textId="30A1C734">
            <w:pPr>
              <w:spacing w:line="240" w:lineRule="auto"/>
              <w:jc w:val="center"/>
              <w:rPr>
                <w:rFonts w:cs="Courier New"/>
                <w:sz w:val="16"/>
                <w:szCs w:val="16"/>
              </w:rPr>
            </w:pPr>
            <w:r w:rsidRPr="007231FA">
              <w:rPr>
                <w:rFonts w:cs="Courier New"/>
                <w:sz w:val="16"/>
                <w:szCs w:val="16"/>
              </w:rPr>
              <w:t>$3</w:t>
            </w:r>
            <w:r w:rsidR="004C1377">
              <w:rPr>
                <w:rFonts w:cs="Courier New"/>
                <w:sz w:val="16"/>
                <w:szCs w:val="16"/>
              </w:rPr>
              <w:t>3</w:t>
            </w:r>
            <w:r w:rsidRPr="007231FA">
              <w:rPr>
                <w:rFonts w:cs="Courier New"/>
                <w:sz w:val="16"/>
                <w:szCs w:val="16"/>
              </w:rPr>
              <w:t>.46</w:t>
            </w:r>
          </w:p>
        </w:tc>
        <w:tc>
          <w:tcPr>
            <w:tcW w:w="1169" w:type="dxa"/>
          </w:tcPr>
          <w:p w:rsidRPr="007231FA" w:rsidR="0011094A" w:rsidP="0011094A" w:rsidRDefault="0035656A" w14:paraId="411164E2" w14:textId="4775BB63">
            <w:pPr>
              <w:spacing w:line="240" w:lineRule="auto"/>
              <w:jc w:val="center"/>
              <w:rPr>
                <w:rFonts w:cs="Courier New"/>
                <w:sz w:val="16"/>
                <w:szCs w:val="16"/>
              </w:rPr>
            </w:pPr>
            <w:r>
              <w:rPr>
                <w:rFonts w:cs="Courier New"/>
                <w:sz w:val="16"/>
                <w:szCs w:val="16"/>
              </w:rPr>
              <w:t>$</w:t>
            </w:r>
            <w:r w:rsidR="004F3ADD">
              <w:rPr>
                <w:rFonts w:cs="Courier New"/>
                <w:sz w:val="16"/>
                <w:szCs w:val="16"/>
              </w:rPr>
              <w:t>402</w:t>
            </w:r>
          </w:p>
        </w:tc>
      </w:tr>
    </w:tbl>
    <w:p w:rsidRPr="001D3538" w:rsidR="00A12517" w:rsidP="001D3538" w:rsidRDefault="00A12517" w14:paraId="666EC93A" w14:textId="3D2A7BD4">
      <w:pPr>
        <w:spacing w:after="0"/>
        <w:rPr>
          <w:sz w:val="16"/>
          <w:szCs w:val="16"/>
        </w:rPr>
      </w:pPr>
      <w:r w:rsidRPr="001D3538">
        <w:rPr>
          <w:sz w:val="16"/>
          <w:szCs w:val="16"/>
        </w:rPr>
        <w:t>Estimated Total Annual Burden Hours:</w:t>
      </w:r>
      <w:r w:rsidRPr="001D3538">
        <w:rPr>
          <w:sz w:val="16"/>
          <w:szCs w:val="16"/>
        </w:rPr>
        <w:tab/>
        <w:t>1,</w:t>
      </w:r>
      <w:r w:rsidRPr="001D3538" w:rsidR="00105C56">
        <w:rPr>
          <w:sz w:val="16"/>
          <w:szCs w:val="16"/>
        </w:rPr>
        <w:t>104</w:t>
      </w:r>
    </w:p>
    <w:p w:rsidR="00F74D1F" w:rsidP="00F74D1F" w:rsidRDefault="00F74D1F" w14:paraId="4131A58B" w14:textId="427CB876">
      <w:pPr>
        <w:spacing w:line="240" w:lineRule="auto"/>
        <w:rPr>
          <w:sz w:val="16"/>
          <w:szCs w:val="16"/>
        </w:rPr>
      </w:pPr>
    </w:p>
    <w:p w:rsidRPr="00566DE2" w:rsidR="007B5D16" w:rsidP="00C473A2" w:rsidRDefault="007B5D16" w14:paraId="2FBC40F2" w14:textId="77777777">
      <w:pPr>
        <w:spacing w:after="0" w:line="240" w:lineRule="auto"/>
        <w:rPr>
          <w:rFonts w:cs="Courier New"/>
          <w:sz w:val="16"/>
          <w:szCs w:val="16"/>
        </w:rPr>
      </w:pPr>
    </w:p>
    <w:p w:rsidRPr="00566DE2" w:rsidR="001D1C73" w:rsidP="00C473A2" w:rsidRDefault="001D1C73" w14:paraId="37B3A42A" w14:textId="1A6A44D2">
      <w:pPr>
        <w:spacing w:after="120" w:line="240" w:lineRule="auto"/>
        <w:rPr>
          <w:rFonts w:cstheme="minorHAnsi"/>
        </w:rPr>
      </w:pPr>
      <w:r w:rsidRPr="00566DE2">
        <w:rPr>
          <w:rFonts w:cstheme="minorHAnsi"/>
          <w:b/>
        </w:rPr>
        <w:t>A13</w:t>
      </w:r>
      <w:r w:rsidRPr="00566DE2">
        <w:rPr>
          <w:rFonts w:cstheme="minorHAnsi"/>
        </w:rPr>
        <w:t>.</w:t>
      </w:r>
      <w:r w:rsidRPr="00566DE2">
        <w:rPr>
          <w:rFonts w:cstheme="minorHAnsi"/>
        </w:rPr>
        <w:tab/>
      </w:r>
      <w:r w:rsidRPr="00566DE2">
        <w:rPr>
          <w:rFonts w:cstheme="minorHAnsi"/>
          <w:b/>
        </w:rPr>
        <w:t>Costs</w:t>
      </w:r>
    </w:p>
    <w:p w:rsidR="001D1C73" w:rsidP="004D5CC0" w:rsidRDefault="0031011C" w14:paraId="7ECB5AF6" w14:textId="7C80053B">
      <w:pPr>
        <w:autoSpaceDE w:val="0"/>
        <w:autoSpaceDN w:val="0"/>
        <w:adjustRightInd w:val="0"/>
        <w:spacing w:after="240" w:line="240" w:lineRule="auto"/>
        <w:rPr>
          <w:rFonts w:cstheme="minorHAnsi"/>
        </w:rPr>
      </w:pPr>
      <w:r w:rsidRPr="00566DE2">
        <w:rPr>
          <w:rFonts w:cstheme="minorHAnsi"/>
        </w:rPr>
        <w:t>There are no additional costs</w:t>
      </w:r>
      <w:r w:rsidRPr="00566DE2" w:rsidR="002B0595">
        <w:rPr>
          <w:rFonts w:cstheme="minorHAnsi"/>
        </w:rPr>
        <w:t xml:space="preserve"> </w:t>
      </w:r>
      <w:r w:rsidRPr="00566DE2" w:rsidR="00F74D1F">
        <w:rPr>
          <w:rFonts w:cstheme="minorHAnsi"/>
        </w:rPr>
        <w:t xml:space="preserve">beyond </w:t>
      </w:r>
      <w:r w:rsidRPr="00566DE2" w:rsidR="002B0595">
        <w:rPr>
          <w:rFonts w:cstheme="minorHAnsi"/>
        </w:rPr>
        <w:t>what is outlined in A12 and A14.</w:t>
      </w:r>
      <w:r w:rsidRPr="00566DE2">
        <w:rPr>
          <w:rFonts w:cstheme="minorHAnsi"/>
        </w:rPr>
        <w:t xml:space="preserve"> </w:t>
      </w:r>
    </w:p>
    <w:p w:rsidRPr="00566DE2" w:rsidR="007B5D16" w:rsidP="00C473A2" w:rsidRDefault="007B5D16" w14:paraId="56559D19" w14:textId="77777777">
      <w:pPr>
        <w:autoSpaceDE w:val="0"/>
        <w:autoSpaceDN w:val="0"/>
        <w:adjustRightInd w:val="0"/>
        <w:spacing w:after="0" w:line="240" w:lineRule="auto"/>
        <w:rPr>
          <w:rFonts w:cstheme="minorHAnsi"/>
        </w:rPr>
      </w:pPr>
    </w:p>
    <w:p w:rsidRPr="00566DE2" w:rsidR="0031011C" w:rsidP="00C473A2" w:rsidRDefault="001D1C73" w14:paraId="1DB559CD" w14:textId="340919A7">
      <w:pPr>
        <w:spacing w:after="120" w:line="240" w:lineRule="auto"/>
        <w:rPr>
          <w:rFonts w:cstheme="minorHAnsi"/>
        </w:rPr>
      </w:pPr>
      <w:bookmarkStart w:name="_Hlk62120847" w:id="7"/>
      <w:r w:rsidRPr="00566DE2">
        <w:rPr>
          <w:rFonts w:cstheme="minorHAnsi"/>
          <w:b/>
        </w:rPr>
        <w:t>A14</w:t>
      </w:r>
      <w:r w:rsidRPr="00566DE2">
        <w:rPr>
          <w:rFonts w:cstheme="minorHAnsi"/>
        </w:rPr>
        <w:t>.</w:t>
      </w:r>
      <w:r w:rsidRPr="00566DE2">
        <w:rPr>
          <w:rFonts w:cstheme="minorHAnsi"/>
        </w:rPr>
        <w:tab/>
      </w:r>
      <w:r w:rsidRPr="00566DE2">
        <w:rPr>
          <w:rFonts w:cstheme="minorHAnsi"/>
          <w:b/>
        </w:rPr>
        <w:t>Estimated Annualized Costs to the Federal Government</w:t>
      </w:r>
      <w:r w:rsidRPr="00566DE2">
        <w:rPr>
          <w:rFonts w:cstheme="minorHAnsi"/>
        </w:rPr>
        <w:t xml:space="preserve"> </w:t>
      </w:r>
    </w:p>
    <w:p w:rsidRPr="00566DE2" w:rsidR="00404E4D" w:rsidP="004D5CC0" w:rsidRDefault="00404E4D" w14:paraId="3524EC15" w14:textId="0CB27740">
      <w:pPr>
        <w:spacing w:after="240" w:line="240" w:lineRule="auto"/>
        <w:rPr>
          <w:rFonts w:cstheme="minorHAnsi"/>
        </w:rPr>
      </w:pPr>
      <w:r w:rsidRPr="00566DE2">
        <w:rPr>
          <w:rFonts w:cstheme="minorHAnsi"/>
        </w:rPr>
        <w:t xml:space="preserve">The total cost to the federal government for the data collection activities </w:t>
      </w:r>
      <w:r w:rsidR="007B5D16">
        <w:rPr>
          <w:rFonts w:cstheme="minorHAnsi"/>
        </w:rPr>
        <w:t>described in this request</w:t>
      </w:r>
      <w:r w:rsidRPr="00566DE2">
        <w:rPr>
          <w:rFonts w:cstheme="minorHAnsi"/>
        </w:rPr>
        <w:t xml:space="preserve"> is estimated at </w:t>
      </w:r>
      <w:r w:rsidRPr="0069770C">
        <w:rPr>
          <w:rFonts w:cstheme="minorHAnsi"/>
        </w:rPr>
        <w:t>$</w:t>
      </w:r>
      <w:r w:rsidRPr="0069770C" w:rsidR="00DF72EB">
        <w:t>5,472,374</w:t>
      </w:r>
      <w:r w:rsidRPr="00566DE2">
        <w:rPr>
          <w:rFonts w:cstheme="minorHAnsi"/>
        </w:rPr>
        <w:t xml:space="preserve">. Annualized costs to the federal government are estimated at </w:t>
      </w:r>
      <w:r w:rsidRPr="0069770C">
        <w:rPr>
          <w:rFonts w:cstheme="minorHAnsi"/>
        </w:rPr>
        <w:t>$</w:t>
      </w:r>
      <w:r w:rsidRPr="0069770C" w:rsidR="002379EA">
        <w:t>1,</w:t>
      </w:r>
      <w:r w:rsidRPr="0069770C" w:rsidR="00DF72EB">
        <w:t>824,125</w:t>
      </w:r>
      <w:r w:rsidRPr="00566DE2">
        <w:rPr>
          <w:rFonts w:cstheme="minorHAnsi"/>
        </w:rPr>
        <w:t>. These estimates of costs are derived from Mathematica’s budgeted estimates and include labor rates and, direct and indirect costs and are displayed below in Table A.</w:t>
      </w:r>
      <w:r w:rsidRPr="00566DE2" w:rsidR="0070005B">
        <w:rPr>
          <w:rFonts w:cstheme="minorHAnsi"/>
        </w:rPr>
        <w:t>6</w:t>
      </w:r>
      <w:r w:rsidRPr="00566DE2">
        <w:rPr>
          <w:rFonts w:cstheme="minorHAnsi"/>
        </w:rPr>
        <w:t xml:space="preserve">. </w:t>
      </w:r>
    </w:p>
    <w:p w:rsidRPr="00566DE2" w:rsidR="001D1C73" w:rsidP="001D1C73" w:rsidRDefault="00560D39" w14:paraId="30A9FAE4" w14:textId="6CF8F39F">
      <w:pPr>
        <w:spacing w:after="0"/>
        <w:rPr>
          <w:b/>
          <w:bCs/>
        </w:rPr>
      </w:pPr>
      <w:r w:rsidRPr="00566DE2">
        <w:rPr>
          <w:b/>
          <w:bCs/>
        </w:rPr>
        <w:t>Table A</w:t>
      </w:r>
      <w:r w:rsidRPr="00566DE2" w:rsidR="00494DF2">
        <w:rPr>
          <w:b/>
          <w:bCs/>
        </w:rPr>
        <w:t>.</w:t>
      </w:r>
      <w:r w:rsidRPr="00566DE2" w:rsidR="00130D24">
        <w:rPr>
          <w:b/>
          <w:bCs/>
        </w:rPr>
        <w:t>4</w:t>
      </w:r>
      <w:r w:rsidRPr="00566DE2">
        <w:t xml:space="preserve">. </w:t>
      </w:r>
      <w:r w:rsidRPr="00566DE2">
        <w:rPr>
          <w:b/>
          <w:bCs/>
        </w:rPr>
        <w:t xml:space="preserve">Estimated Annualized Costs </w:t>
      </w:r>
    </w:p>
    <w:tbl>
      <w:tblPr>
        <w:tblW w:w="5000" w:type="pct"/>
        <w:tblBorders>
          <w:top w:val="single" w:color="auto" w:sz="4" w:space="0"/>
          <w:bottom w:val="single" w:color="auto" w:sz="4" w:space="0"/>
          <w:insideH w:val="single" w:color="auto" w:sz="4" w:space="0"/>
        </w:tblBorders>
        <w:tblCellMar>
          <w:left w:w="0" w:type="dxa"/>
          <w:right w:w="0" w:type="dxa"/>
        </w:tblCellMar>
        <w:tblLook w:val="04A0" w:firstRow="1" w:lastRow="0" w:firstColumn="1" w:lastColumn="0" w:noHBand="0" w:noVBand="1"/>
      </w:tblPr>
      <w:tblGrid>
        <w:gridCol w:w="4229"/>
        <w:gridCol w:w="5131"/>
      </w:tblGrid>
      <w:tr w:rsidRPr="00566DE2" w:rsidR="001D1C73" w:rsidTr="00800056" w14:paraId="03A6925A" w14:textId="77777777">
        <w:tc>
          <w:tcPr>
            <w:tcW w:w="4229" w:type="dxa"/>
            <w:shd w:val="clear" w:color="auto" w:fill="BFBFBF"/>
            <w:tcMar>
              <w:top w:w="0" w:type="dxa"/>
              <w:left w:w="108" w:type="dxa"/>
              <w:bottom w:w="0" w:type="dxa"/>
              <w:right w:w="108" w:type="dxa"/>
            </w:tcMar>
            <w:hideMark/>
          </w:tcPr>
          <w:p w:rsidRPr="00566DE2" w:rsidR="001D1C73" w:rsidP="003555C3" w:rsidRDefault="00560D39" w14:paraId="040ACCEE" w14:textId="6481A9B5">
            <w:pPr>
              <w:spacing w:after="0"/>
              <w:rPr>
                <w:b/>
                <w:bCs/>
                <w:sz w:val="20"/>
              </w:rPr>
            </w:pPr>
            <w:r w:rsidRPr="00566DE2">
              <w:rPr>
                <w:b/>
                <w:bCs/>
                <w:sz w:val="20"/>
              </w:rPr>
              <w:t xml:space="preserve">Cost </w:t>
            </w:r>
            <w:r w:rsidRPr="00566DE2" w:rsidR="001D1C73">
              <w:rPr>
                <w:b/>
                <w:bCs/>
                <w:sz w:val="20"/>
              </w:rPr>
              <w:t xml:space="preserve"> Category</w:t>
            </w:r>
          </w:p>
        </w:tc>
        <w:tc>
          <w:tcPr>
            <w:tcW w:w="5131" w:type="dxa"/>
            <w:shd w:val="clear" w:color="auto" w:fill="BFBFBF"/>
            <w:tcMar>
              <w:top w:w="0" w:type="dxa"/>
              <w:left w:w="108" w:type="dxa"/>
              <w:bottom w:w="0" w:type="dxa"/>
              <w:right w:w="108" w:type="dxa"/>
            </w:tcMar>
            <w:hideMark/>
          </w:tcPr>
          <w:p w:rsidRPr="00566DE2" w:rsidR="001D1C73" w:rsidP="003555C3" w:rsidRDefault="001D1C73" w14:paraId="2D64809B" w14:textId="77777777">
            <w:pPr>
              <w:spacing w:after="0"/>
              <w:jc w:val="center"/>
              <w:rPr>
                <w:b/>
                <w:bCs/>
                <w:sz w:val="20"/>
              </w:rPr>
            </w:pPr>
            <w:r w:rsidRPr="00566DE2">
              <w:rPr>
                <w:b/>
                <w:bCs/>
                <w:sz w:val="20"/>
              </w:rPr>
              <w:t>Estimated Costs</w:t>
            </w:r>
          </w:p>
        </w:tc>
      </w:tr>
      <w:tr w:rsidRPr="00566DE2" w:rsidR="001D1C73" w:rsidTr="00800056" w14:paraId="15425C41" w14:textId="77777777">
        <w:tc>
          <w:tcPr>
            <w:tcW w:w="4229" w:type="dxa"/>
            <w:tcMar>
              <w:top w:w="0" w:type="dxa"/>
              <w:left w:w="108" w:type="dxa"/>
              <w:bottom w:w="0" w:type="dxa"/>
              <w:right w:w="108" w:type="dxa"/>
            </w:tcMar>
            <w:vAlign w:val="center"/>
            <w:hideMark/>
          </w:tcPr>
          <w:p w:rsidRPr="00566DE2" w:rsidR="001D1C73" w:rsidP="003555C3" w:rsidRDefault="001D1C73" w14:paraId="299A5ADE" w14:textId="77777777">
            <w:pPr>
              <w:spacing w:after="0"/>
              <w:rPr>
                <w:rFonts w:ascii="Calibri" w:hAnsi="Calibri" w:eastAsia="Calibri" w:cs="Calibri"/>
                <w:sz w:val="20"/>
              </w:rPr>
            </w:pPr>
            <w:r w:rsidRPr="00566DE2">
              <w:rPr>
                <w:sz w:val="20"/>
              </w:rPr>
              <w:t>Field Work</w:t>
            </w:r>
          </w:p>
        </w:tc>
        <w:tc>
          <w:tcPr>
            <w:tcW w:w="5131" w:type="dxa"/>
            <w:tcMar>
              <w:top w:w="0" w:type="dxa"/>
              <w:left w:w="108" w:type="dxa"/>
              <w:bottom w:w="0" w:type="dxa"/>
              <w:right w:w="108" w:type="dxa"/>
            </w:tcMar>
            <w:vAlign w:val="center"/>
            <w:hideMark/>
          </w:tcPr>
          <w:p w:rsidRPr="00566DE2" w:rsidR="001D1C73" w:rsidP="003555C3" w:rsidRDefault="00864CCC" w14:paraId="219CBE6F" w14:textId="51A4F00F">
            <w:pPr>
              <w:spacing w:after="0"/>
              <w:jc w:val="center"/>
              <w:rPr>
                <w:sz w:val="20"/>
              </w:rPr>
            </w:pPr>
            <w:r w:rsidRPr="00566DE2">
              <w:rPr>
                <w:sz w:val="20"/>
              </w:rPr>
              <w:t>$</w:t>
            </w:r>
            <w:r w:rsidRPr="00566DE2" w:rsidR="00134449">
              <w:rPr>
                <w:sz w:val="20"/>
              </w:rPr>
              <w:t>4,</w:t>
            </w:r>
            <w:r w:rsidR="0069770C">
              <w:rPr>
                <w:sz w:val="20"/>
              </w:rPr>
              <w:t>332,938</w:t>
            </w:r>
          </w:p>
        </w:tc>
      </w:tr>
      <w:tr w:rsidRPr="00566DE2" w:rsidR="001D1C73" w:rsidTr="00800056" w14:paraId="71F20FD1" w14:textId="77777777">
        <w:tc>
          <w:tcPr>
            <w:tcW w:w="4229" w:type="dxa"/>
            <w:tcMar>
              <w:top w:w="0" w:type="dxa"/>
              <w:left w:w="108" w:type="dxa"/>
              <w:bottom w:w="0" w:type="dxa"/>
              <w:right w:w="108" w:type="dxa"/>
            </w:tcMar>
            <w:vAlign w:val="center"/>
          </w:tcPr>
          <w:p w:rsidRPr="00566DE2" w:rsidR="001D1C73" w:rsidP="003555C3" w:rsidRDefault="001D1C73" w14:paraId="2DD9D85F" w14:textId="77777777">
            <w:pPr>
              <w:spacing w:after="0"/>
              <w:rPr>
                <w:sz w:val="20"/>
              </w:rPr>
            </w:pPr>
            <w:r w:rsidRPr="00566DE2">
              <w:rPr>
                <w:sz w:val="20"/>
              </w:rPr>
              <w:t>Analysis</w:t>
            </w:r>
          </w:p>
        </w:tc>
        <w:tc>
          <w:tcPr>
            <w:tcW w:w="5131" w:type="dxa"/>
            <w:tcMar>
              <w:top w:w="0" w:type="dxa"/>
              <w:left w:w="108" w:type="dxa"/>
              <w:bottom w:w="0" w:type="dxa"/>
              <w:right w:w="108" w:type="dxa"/>
            </w:tcMar>
            <w:vAlign w:val="center"/>
          </w:tcPr>
          <w:p w:rsidRPr="00566DE2" w:rsidR="001D1C73" w:rsidP="003555C3" w:rsidRDefault="00864CCC" w14:paraId="194E752D" w14:textId="37239F39">
            <w:pPr>
              <w:spacing w:after="0"/>
              <w:jc w:val="center"/>
              <w:rPr>
                <w:sz w:val="20"/>
              </w:rPr>
            </w:pPr>
            <w:r w:rsidRPr="00566DE2">
              <w:rPr>
                <w:sz w:val="20"/>
              </w:rPr>
              <w:t>$</w:t>
            </w:r>
            <w:r w:rsidRPr="00566DE2" w:rsidR="00134449">
              <w:rPr>
                <w:sz w:val="20"/>
              </w:rPr>
              <w:t>608,261</w:t>
            </w:r>
          </w:p>
        </w:tc>
      </w:tr>
      <w:tr w:rsidRPr="00566DE2" w:rsidR="001D1C73" w:rsidTr="00800056" w14:paraId="19E4F024" w14:textId="77777777">
        <w:tc>
          <w:tcPr>
            <w:tcW w:w="4229" w:type="dxa"/>
            <w:tcMar>
              <w:top w:w="0" w:type="dxa"/>
              <w:left w:w="108" w:type="dxa"/>
              <w:bottom w:w="0" w:type="dxa"/>
              <w:right w:w="108" w:type="dxa"/>
            </w:tcMar>
            <w:vAlign w:val="center"/>
            <w:hideMark/>
          </w:tcPr>
          <w:p w:rsidRPr="00566DE2" w:rsidR="001D1C73" w:rsidP="003555C3" w:rsidRDefault="001D1C73" w14:paraId="6E55C846" w14:textId="77777777">
            <w:pPr>
              <w:spacing w:after="0"/>
              <w:rPr>
                <w:rFonts w:ascii="Calibri" w:hAnsi="Calibri" w:eastAsia="Calibri" w:cs="Calibri"/>
                <w:sz w:val="20"/>
              </w:rPr>
            </w:pPr>
            <w:r w:rsidRPr="00566DE2">
              <w:rPr>
                <w:sz w:val="20"/>
              </w:rPr>
              <w:t>Publications/Dissemination</w:t>
            </w:r>
          </w:p>
        </w:tc>
        <w:tc>
          <w:tcPr>
            <w:tcW w:w="5131" w:type="dxa"/>
            <w:tcMar>
              <w:top w:w="0" w:type="dxa"/>
              <w:left w:w="108" w:type="dxa"/>
              <w:bottom w:w="0" w:type="dxa"/>
              <w:right w:w="108" w:type="dxa"/>
            </w:tcMar>
            <w:vAlign w:val="center"/>
            <w:hideMark/>
          </w:tcPr>
          <w:p w:rsidRPr="00566DE2" w:rsidR="001D1C73" w:rsidP="003555C3" w:rsidRDefault="00864CCC" w14:paraId="6BF10F4D" w14:textId="2B90F158">
            <w:pPr>
              <w:spacing w:after="0"/>
              <w:jc w:val="center"/>
              <w:rPr>
                <w:sz w:val="20"/>
              </w:rPr>
            </w:pPr>
            <w:r w:rsidRPr="00566DE2">
              <w:rPr>
                <w:sz w:val="20"/>
              </w:rPr>
              <w:t>$</w:t>
            </w:r>
            <w:r w:rsidRPr="00566DE2" w:rsidR="00134449">
              <w:rPr>
                <w:sz w:val="20"/>
              </w:rPr>
              <w:t>688,345</w:t>
            </w:r>
          </w:p>
        </w:tc>
      </w:tr>
      <w:tr w:rsidRPr="00566DE2" w:rsidR="001D1C73" w:rsidTr="00800056" w14:paraId="35F03C17" w14:textId="77777777">
        <w:tc>
          <w:tcPr>
            <w:tcW w:w="4229" w:type="dxa"/>
            <w:tcMar>
              <w:top w:w="0" w:type="dxa"/>
              <w:left w:w="108" w:type="dxa"/>
              <w:bottom w:w="0" w:type="dxa"/>
              <w:right w:w="108" w:type="dxa"/>
            </w:tcMar>
            <w:vAlign w:val="center"/>
            <w:hideMark/>
          </w:tcPr>
          <w:p w:rsidRPr="00566DE2" w:rsidR="001D1C73" w:rsidP="00D611D2" w:rsidRDefault="001D1C73" w14:paraId="7EDD4F98" w14:textId="77777777">
            <w:pPr>
              <w:spacing w:after="0"/>
              <w:rPr>
                <w:rFonts w:ascii="Calibri" w:hAnsi="Calibri" w:eastAsia="Calibri" w:cs="Calibri"/>
                <w:b/>
                <w:bCs/>
                <w:sz w:val="20"/>
              </w:rPr>
            </w:pPr>
            <w:r w:rsidRPr="00566DE2">
              <w:rPr>
                <w:b/>
                <w:color w:val="000000"/>
                <w:sz w:val="20"/>
              </w:rPr>
              <w:t>Total costs over the request period</w:t>
            </w:r>
          </w:p>
        </w:tc>
        <w:tc>
          <w:tcPr>
            <w:tcW w:w="5131" w:type="dxa"/>
            <w:tcMar>
              <w:top w:w="0" w:type="dxa"/>
              <w:left w:w="108" w:type="dxa"/>
              <w:bottom w:w="0" w:type="dxa"/>
              <w:right w:w="108" w:type="dxa"/>
            </w:tcMar>
            <w:vAlign w:val="center"/>
            <w:hideMark/>
          </w:tcPr>
          <w:p w:rsidRPr="00566DE2" w:rsidR="001D1C73" w:rsidP="003555C3" w:rsidRDefault="001D1C73" w14:paraId="0B43751B" w14:textId="3F9A4E29">
            <w:pPr>
              <w:spacing w:after="0"/>
              <w:jc w:val="center"/>
              <w:rPr>
                <w:b/>
                <w:bCs/>
                <w:sz w:val="20"/>
              </w:rPr>
            </w:pPr>
            <w:r w:rsidRPr="00566DE2">
              <w:rPr>
                <w:sz w:val="20"/>
              </w:rPr>
              <w:t>$</w:t>
            </w:r>
            <w:r w:rsidRPr="00566DE2" w:rsidR="002379EA">
              <w:rPr>
                <w:sz w:val="20"/>
              </w:rPr>
              <w:t>5,</w:t>
            </w:r>
            <w:r w:rsidR="0069770C">
              <w:rPr>
                <w:sz w:val="20"/>
              </w:rPr>
              <w:t>629,544</w:t>
            </w:r>
          </w:p>
        </w:tc>
      </w:tr>
      <w:tr w:rsidRPr="00566DE2" w:rsidR="001D1C73" w:rsidTr="00800056" w14:paraId="4590F9AC" w14:textId="77777777">
        <w:tc>
          <w:tcPr>
            <w:tcW w:w="4229" w:type="dxa"/>
            <w:tcMar>
              <w:top w:w="0" w:type="dxa"/>
              <w:left w:w="108" w:type="dxa"/>
              <w:bottom w:w="0" w:type="dxa"/>
              <w:right w:w="108" w:type="dxa"/>
            </w:tcMar>
            <w:vAlign w:val="center"/>
          </w:tcPr>
          <w:p w:rsidRPr="00566DE2" w:rsidR="001D1C73" w:rsidP="00D611D2" w:rsidRDefault="001D1C73" w14:paraId="5C3E096F" w14:textId="77777777">
            <w:pPr>
              <w:spacing w:after="0"/>
              <w:rPr>
                <w:b/>
                <w:bCs/>
                <w:sz w:val="20"/>
              </w:rPr>
            </w:pPr>
            <w:r w:rsidRPr="00566DE2">
              <w:rPr>
                <w:b/>
                <w:color w:val="000000"/>
                <w:sz w:val="20"/>
              </w:rPr>
              <w:t>Annual costs</w:t>
            </w:r>
          </w:p>
        </w:tc>
        <w:tc>
          <w:tcPr>
            <w:tcW w:w="5131" w:type="dxa"/>
            <w:tcMar>
              <w:top w:w="0" w:type="dxa"/>
              <w:left w:w="108" w:type="dxa"/>
              <w:bottom w:w="0" w:type="dxa"/>
              <w:right w:w="108" w:type="dxa"/>
            </w:tcMar>
            <w:vAlign w:val="center"/>
          </w:tcPr>
          <w:p w:rsidRPr="00566DE2" w:rsidR="001D1C73" w:rsidP="003555C3" w:rsidRDefault="001D1C73" w14:paraId="52FCC150" w14:textId="1DB54527">
            <w:pPr>
              <w:spacing w:after="0"/>
              <w:jc w:val="center"/>
              <w:rPr>
                <w:b/>
                <w:bCs/>
                <w:sz w:val="20"/>
              </w:rPr>
            </w:pPr>
            <w:r w:rsidRPr="00566DE2">
              <w:rPr>
                <w:sz w:val="20"/>
              </w:rPr>
              <w:t>$</w:t>
            </w:r>
            <w:r w:rsidRPr="00566DE2" w:rsidR="002379EA">
              <w:rPr>
                <w:sz w:val="20"/>
              </w:rPr>
              <w:t>1,</w:t>
            </w:r>
            <w:r w:rsidR="0069770C">
              <w:rPr>
                <w:sz w:val="20"/>
              </w:rPr>
              <w:t>876,515</w:t>
            </w:r>
          </w:p>
        </w:tc>
      </w:tr>
      <w:bookmarkEnd w:id="7"/>
    </w:tbl>
    <w:p w:rsidR="007C7DE9" w:rsidP="001D1C73" w:rsidRDefault="007C7DE9" w14:paraId="5082D07C" w14:textId="1FF19E8C">
      <w:pPr>
        <w:spacing w:after="120" w:line="240" w:lineRule="auto"/>
        <w:rPr>
          <w:rFonts w:cstheme="minorHAnsi"/>
          <w:b/>
        </w:rPr>
      </w:pPr>
    </w:p>
    <w:p w:rsidRPr="00566DE2" w:rsidR="007B5D16" w:rsidP="001F2782" w:rsidRDefault="007B5D16" w14:paraId="135C26D8" w14:textId="77777777">
      <w:pPr>
        <w:spacing w:after="0" w:line="240" w:lineRule="auto"/>
        <w:rPr>
          <w:rFonts w:cstheme="minorHAnsi"/>
          <w:b/>
        </w:rPr>
      </w:pPr>
    </w:p>
    <w:p w:rsidRPr="00566DE2" w:rsidR="001D1C73" w:rsidP="001F2782" w:rsidRDefault="001D1C73" w14:paraId="60855735" w14:textId="5C29F402">
      <w:pPr>
        <w:spacing w:after="120" w:line="240" w:lineRule="auto"/>
        <w:rPr>
          <w:rFonts w:cstheme="minorHAnsi"/>
        </w:rPr>
      </w:pPr>
      <w:r w:rsidRPr="00566DE2">
        <w:rPr>
          <w:rFonts w:cstheme="minorHAnsi"/>
          <w:b/>
        </w:rPr>
        <w:t>A15</w:t>
      </w:r>
      <w:r w:rsidRPr="00566DE2">
        <w:rPr>
          <w:rFonts w:cstheme="minorHAnsi"/>
        </w:rPr>
        <w:t>.</w:t>
      </w:r>
      <w:r w:rsidRPr="00566DE2">
        <w:rPr>
          <w:rFonts w:cstheme="minorHAnsi"/>
        </w:rPr>
        <w:tab/>
      </w:r>
      <w:r w:rsidRPr="00566DE2">
        <w:rPr>
          <w:rFonts w:cstheme="minorHAnsi"/>
          <w:b/>
        </w:rPr>
        <w:t>Reasons for changes in burden</w:t>
      </w:r>
      <w:r w:rsidRPr="00566DE2">
        <w:rPr>
          <w:rFonts w:cstheme="minorHAnsi"/>
        </w:rPr>
        <w:t xml:space="preserve"> </w:t>
      </w:r>
    </w:p>
    <w:p w:rsidR="001D1C73" w:rsidP="004D5CC0" w:rsidRDefault="004539EC" w14:paraId="766F8004" w14:textId="514AF8F8">
      <w:pPr>
        <w:spacing w:after="240" w:line="240" w:lineRule="auto"/>
        <w:rPr>
          <w:rFonts w:cstheme="minorHAnsi"/>
        </w:rPr>
      </w:pPr>
      <w:r w:rsidRPr="00566DE2">
        <w:rPr>
          <w:rFonts w:cstheme="minorHAnsi"/>
        </w:rPr>
        <w:t>This is</w:t>
      </w:r>
      <w:r w:rsidR="00D060BB">
        <w:rPr>
          <w:rFonts w:cstheme="minorHAnsi"/>
        </w:rPr>
        <w:t xml:space="preserve"> in part</w:t>
      </w:r>
      <w:r w:rsidRPr="00566DE2">
        <w:rPr>
          <w:rFonts w:cstheme="minorHAnsi"/>
        </w:rPr>
        <w:t xml:space="preserve"> a new information collection request.</w:t>
      </w:r>
      <w:r w:rsidR="00D060BB">
        <w:rPr>
          <w:rFonts w:cstheme="minorHAnsi"/>
        </w:rPr>
        <w:t xml:space="preserve"> For the continuing collection for which an extension is requested, there is no change in burden.</w:t>
      </w:r>
    </w:p>
    <w:p w:rsidR="007B5D16" w:rsidP="001F2782" w:rsidRDefault="007B5D16" w14:paraId="443E2D64" w14:textId="24BE74B3">
      <w:pPr>
        <w:spacing w:after="0" w:line="240" w:lineRule="auto"/>
        <w:rPr>
          <w:rFonts w:cstheme="minorHAnsi"/>
        </w:rPr>
      </w:pPr>
    </w:p>
    <w:p w:rsidR="00CA337A" w:rsidP="001F2782" w:rsidRDefault="00CA337A" w14:paraId="398FC70D" w14:textId="5BD41743">
      <w:pPr>
        <w:spacing w:after="0" w:line="240" w:lineRule="auto"/>
        <w:rPr>
          <w:rFonts w:cstheme="minorHAnsi"/>
        </w:rPr>
      </w:pPr>
    </w:p>
    <w:p w:rsidRPr="00566DE2" w:rsidR="00CA337A" w:rsidP="001F2782" w:rsidRDefault="00CA337A" w14:paraId="728D4180" w14:textId="77777777">
      <w:pPr>
        <w:spacing w:after="0" w:line="240" w:lineRule="auto"/>
        <w:rPr>
          <w:rFonts w:cstheme="minorHAnsi"/>
        </w:rPr>
      </w:pPr>
    </w:p>
    <w:p w:rsidRPr="00566DE2" w:rsidR="001D1C73" w:rsidP="001F2782" w:rsidRDefault="001D1C73" w14:paraId="69096039" w14:textId="45850422">
      <w:pPr>
        <w:spacing w:after="120" w:line="240" w:lineRule="auto"/>
        <w:rPr>
          <w:rFonts w:cstheme="minorHAnsi"/>
          <w:b/>
        </w:rPr>
      </w:pPr>
      <w:r w:rsidRPr="00566DE2">
        <w:rPr>
          <w:rFonts w:cstheme="minorHAnsi"/>
          <w:b/>
        </w:rPr>
        <w:lastRenderedPageBreak/>
        <w:t>A16</w:t>
      </w:r>
      <w:r w:rsidRPr="00566DE2">
        <w:rPr>
          <w:rFonts w:cstheme="minorHAnsi"/>
        </w:rPr>
        <w:t>.</w:t>
      </w:r>
      <w:r w:rsidRPr="00566DE2">
        <w:rPr>
          <w:rFonts w:cstheme="minorHAnsi"/>
        </w:rPr>
        <w:tab/>
      </w:r>
      <w:r w:rsidRPr="00566DE2">
        <w:rPr>
          <w:rFonts w:cstheme="minorHAnsi"/>
          <w:b/>
        </w:rPr>
        <w:t>Timeline</w:t>
      </w:r>
    </w:p>
    <w:p w:rsidRPr="00566DE2" w:rsidR="002C0F4B" w:rsidP="004D5CC0" w:rsidRDefault="002C0F4B" w14:paraId="7930A6D3" w14:textId="609DC5B7">
      <w:pPr>
        <w:spacing w:after="240" w:line="240" w:lineRule="auto"/>
        <w:rPr>
          <w:rFonts w:eastAsia="Times New Roman" w:cstheme="minorHAnsi"/>
        </w:rPr>
      </w:pPr>
      <w:r w:rsidRPr="00566DE2">
        <w:rPr>
          <w:rFonts w:eastAsia="Times New Roman" w:cstheme="minorHAnsi"/>
        </w:rPr>
        <w:t>Study enrollment and baseline data collection began in summer 2018</w:t>
      </w:r>
      <w:r w:rsidR="007B5D16">
        <w:rPr>
          <w:rFonts w:eastAsia="Times New Roman" w:cstheme="minorHAnsi"/>
        </w:rPr>
        <w:t xml:space="preserve">, as previously </w:t>
      </w:r>
      <w:r w:rsidRPr="00566DE2">
        <w:rPr>
          <w:rFonts w:eastAsia="Times New Roman" w:cstheme="minorHAnsi"/>
        </w:rPr>
        <w:t xml:space="preserve">approved by OMB (OMB #0970-0506). Over the duration of the evaluation, a series of reports will be generated, the timing for which is highlighted in Table A.5. </w:t>
      </w:r>
      <w:r w:rsidRPr="00566DE2" w:rsidR="00D243AF">
        <w:rPr>
          <w:rFonts w:eastAsia="Times New Roman" w:cstheme="minorHAnsi"/>
        </w:rPr>
        <w:t xml:space="preserve">We will produce </w:t>
      </w:r>
      <w:r w:rsidRPr="00566DE2">
        <w:rPr>
          <w:rFonts w:eastAsia="Times New Roman" w:cstheme="minorHAnsi"/>
        </w:rPr>
        <w:t>reports on the impact findings</w:t>
      </w:r>
      <w:r w:rsidRPr="00566DE2" w:rsidR="00303C6E">
        <w:rPr>
          <w:rFonts w:eastAsia="Times New Roman" w:cstheme="minorHAnsi"/>
        </w:rPr>
        <w:t xml:space="preserve"> for the first, second</w:t>
      </w:r>
      <w:r w:rsidR="00D060BB">
        <w:rPr>
          <w:rFonts w:eastAsia="Times New Roman" w:cstheme="minorHAnsi"/>
        </w:rPr>
        <w:t>,</w:t>
      </w:r>
      <w:r w:rsidRPr="00566DE2" w:rsidR="00303C6E">
        <w:rPr>
          <w:rFonts w:eastAsia="Times New Roman" w:cstheme="minorHAnsi"/>
        </w:rPr>
        <w:t xml:space="preserve"> and third follow-up periods</w:t>
      </w:r>
      <w:r w:rsidRPr="00566DE2">
        <w:rPr>
          <w:rFonts w:eastAsia="Times New Roman" w:cstheme="minorHAnsi"/>
        </w:rPr>
        <w:t xml:space="preserve">. Reports on the implementation study include a detailed report describing each program and a report examining the implementation findings across all programs (a cross-site implementation study report). In addition to these reports, this evaluation may provide opportunities for analyzing and disseminating additional information through special topics reports and research or issue briefs. We will also provide a public or restricted-use data file for others to replicate and extend our analyses. Findings </w:t>
      </w:r>
      <w:r w:rsidR="00C5498F">
        <w:rPr>
          <w:rFonts w:eastAsia="Times New Roman" w:cstheme="minorHAnsi"/>
        </w:rPr>
        <w:t>related to the proposed semi-structured interviews</w:t>
      </w:r>
      <w:r w:rsidRPr="00566DE2">
        <w:rPr>
          <w:rFonts w:eastAsia="Times New Roman" w:cstheme="minorHAnsi"/>
        </w:rPr>
        <w:t xml:space="preserve"> will be incorporated into the evaluation’s implementation reports and impact analyses and reporting.</w:t>
      </w:r>
    </w:p>
    <w:p w:rsidRPr="00566DE2" w:rsidR="002C0F4B" w:rsidP="002C0F4B" w:rsidRDefault="002C0F4B" w14:paraId="4F21458D" w14:textId="77777777">
      <w:pPr>
        <w:pStyle w:val="BodyText"/>
        <w:spacing w:line="240" w:lineRule="auto"/>
        <w:rPr>
          <w:rFonts w:asciiTheme="minorHAnsi" w:hAnsiTheme="minorHAnsi" w:cstheme="minorHAnsi"/>
          <w:b/>
          <w:szCs w:val="22"/>
        </w:rPr>
      </w:pPr>
      <w:r w:rsidRPr="00566DE2">
        <w:rPr>
          <w:rFonts w:asciiTheme="minorHAnsi" w:hAnsiTheme="minorHAnsi" w:cstheme="minorHAnsi"/>
          <w:b/>
          <w:szCs w:val="22"/>
        </w:rPr>
        <w:t>Table A.5. Study schedule</w:t>
      </w:r>
    </w:p>
    <w:tbl>
      <w:tblPr>
        <w:tblW w:w="5000" w:type="pct"/>
        <w:tblLook w:val="0620" w:firstRow="1" w:lastRow="0" w:firstColumn="0" w:lastColumn="0" w:noHBand="1" w:noVBand="1"/>
      </w:tblPr>
      <w:tblGrid>
        <w:gridCol w:w="4950"/>
        <w:gridCol w:w="4410"/>
      </w:tblGrid>
      <w:tr w:rsidRPr="00757789" w:rsidR="00757789" w:rsidTr="00757789" w14:paraId="4748BAAC" w14:textId="77777777">
        <w:trPr>
          <w:tblHeader/>
        </w:trPr>
        <w:tc>
          <w:tcPr>
            <w:tcW w:w="2644" w:type="pct"/>
            <w:tcBorders>
              <w:top w:val="single" w:color="auto" w:sz="4" w:space="0"/>
              <w:bottom w:val="single" w:color="000000" w:sz="8" w:space="0"/>
            </w:tcBorders>
            <w:shd w:val="clear" w:color="auto" w:fill="D9D9D9" w:themeFill="background1" w:themeFillShade="D9"/>
            <w:vAlign w:val="bottom"/>
          </w:tcPr>
          <w:p w:rsidRPr="00757789" w:rsidR="002C0F4B" w:rsidP="00757789" w:rsidRDefault="002C0F4B" w14:paraId="4A760C96" w14:textId="77777777">
            <w:pPr>
              <w:pStyle w:val="TableHeaderLeft"/>
              <w:spacing w:before="0" w:after="0"/>
              <w:rPr>
                <w:rFonts w:asciiTheme="minorHAnsi" w:hAnsiTheme="minorHAnsi" w:cstheme="minorHAnsi"/>
                <w:b w:val="0"/>
                <w:bCs/>
                <w:color w:val="auto"/>
                <w:sz w:val="22"/>
                <w:szCs w:val="22"/>
              </w:rPr>
            </w:pPr>
            <w:r w:rsidRPr="00757789">
              <w:rPr>
                <w:rFonts w:asciiTheme="minorHAnsi" w:hAnsiTheme="minorHAnsi" w:cstheme="minorHAnsi"/>
                <w:bCs/>
                <w:color w:val="auto"/>
                <w:sz w:val="22"/>
                <w:szCs w:val="22"/>
              </w:rPr>
              <w:t>Activity</w:t>
            </w:r>
          </w:p>
        </w:tc>
        <w:tc>
          <w:tcPr>
            <w:tcW w:w="2356" w:type="pct"/>
            <w:tcBorders>
              <w:top w:val="single" w:color="auto" w:sz="4" w:space="0"/>
              <w:bottom w:val="single" w:color="000000" w:sz="8" w:space="0"/>
            </w:tcBorders>
            <w:shd w:val="clear" w:color="auto" w:fill="D9D9D9" w:themeFill="background1" w:themeFillShade="D9"/>
            <w:vAlign w:val="bottom"/>
          </w:tcPr>
          <w:p w:rsidRPr="00757789" w:rsidR="002C0F4B" w:rsidP="00757789" w:rsidRDefault="002C0F4B" w14:paraId="2DCDB295" w14:textId="77777777">
            <w:pPr>
              <w:pStyle w:val="TableHeaderCenter"/>
              <w:spacing w:before="0" w:after="0"/>
              <w:rPr>
                <w:rFonts w:asciiTheme="minorHAnsi" w:hAnsiTheme="minorHAnsi" w:cstheme="minorHAnsi"/>
                <w:b w:val="0"/>
                <w:bCs/>
                <w:color w:val="auto"/>
                <w:sz w:val="22"/>
                <w:szCs w:val="22"/>
                <w:vertAlign w:val="superscript"/>
              </w:rPr>
            </w:pPr>
            <w:r w:rsidRPr="00757789">
              <w:rPr>
                <w:rFonts w:asciiTheme="minorHAnsi" w:hAnsiTheme="minorHAnsi" w:cstheme="minorHAnsi"/>
                <w:bCs/>
                <w:color w:val="auto"/>
                <w:sz w:val="22"/>
                <w:szCs w:val="22"/>
              </w:rPr>
              <w:t>Timing*</w:t>
            </w:r>
          </w:p>
        </w:tc>
      </w:tr>
      <w:tr w:rsidRPr="00566DE2" w:rsidR="002C0F4B" w:rsidTr="00C976AC" w14:paraId="3B2CB42A" w14:textId="77777777">
        <w:tc>
          <w:tcPr>
            <w:tcW w:w="2644" w:type="pct"/>
            <w:tcBorders>
              <w:top w:val="single" w:color="000000" w:sz="8" w:space="0"/>
            </w:tcBorders>
            <w:shd w:val="clear" w:color="auto" w:fill="auto"/>
          </w:tcPr>
          <w:p w:rsidRPr="00566DE2" w:rsidR="002C0F4B" w:rsidP="00C976AC" w:rsidRDefault="002C0F4B" w14:paraId="4C2E2955" w14:textId="77777777">
            <w:pPr>
              <w:pStyle w:val="TableHeaderLeft"/>
              <w:spacing w:after="0"/>
              <w:rPr>
                <w:rFonts w:asciiTheme="minorHAnsi" w:hAnsiTheme="minorHAnsi" w:cstheme="minorHAnsi"/>
                <w:color w:val="auto"/>
                <w:sz w:val="22"/>
                <w:szCs w:val="22"/>
              </w:rPr>
            </w:pPr>
            <w:r w:rsidRPr="00566DE2">
              <w:rPr>
                <w:rFonts w:asciiTheme="minorHAnsi" w:hAnsiTheme="minorHAnsi" w:cstheme="minorHAnsi"/>
                <w:color w:val="auto"/>
                <w:sz w:val="22"/>
                <w:szCs w:val="22"/>
              </w:rPr>
              <w:t>Data collection</w:t>
            </w:r>
          </w:p>
        </w:tc>
        <w:tc>
          <w:tcPr>
            <w:tcW w:w="2356" w:type="pct"/>
            <w:tcBorders>
              <w:top w:val="single" w:color="000000" w:sz="8" w:space="0"/>
            </w:tcBorders>
            <w:shd w:val="clear" w:color="auto" w:fill="auto"/>
          </w:tcPr>
          <w:p w:rsidRPr="00566DE2" w:rsidR="002C0F4B" w:rsidP="00C976AC" w:rsidRDefault="002C0F4B" w14:paraId="21F47B58" w14:textId="77777777">
            <w:pPr>
              <w:pStyle w:val="TableHeaderLeft"/>
              <w:spacing w:after="0"/>
              <w:rPr>
                <w:rFonts w:asciiTheme="minorHAnsi" w:hAnsiTheme="minorHAnsi" w:cstheme="minorHAnsi"/>
                <w:color w:val="auto"/>
                <w:sz w:val="22"/>
                <w:szCs w:val="22"/>
              </w:rPr>
            </w:pPr>
          </w:p>
        </w:tc>
      </w:tr>
      <w:tr w:rsidRPr="00566DE2" w:rsidR="002C0F4B" w:rsidTr="00C976AC" w14:paraId="28902313" w14:textId="77777777">
        <w:tc>
          <w:tcPr>
            <w:tcW w:w="2644" w:type="pct"/>
            <w:shd w:val="clear" w:color="auto" w:fill="auto"/>
          </w:tcPr>
          <w:p w:rsidRPr="00566DE2" w:rsidR="002C0F4B" w:rsidP="00C976AC" w:rsidRDefault="002C0F4B" w14:paraId="3D0876E4" w14:textId="77777777">
            <w:pPr>
              <w:pStyle w:val="TableHeaderLeft"/>
              <w:spacing w:before="0" w:after="0"/>
              <w:rPr>
                <w:rFonts w:asciiTheme="minorHAnsi" w:hAnsiTheme="minorHAnsi" w:cstheme="minorHAnsi"/>
                <w:b w:val="0"/>
                <w:color w:val="auto"/>
                <w:sz w:val="22"/>
                <w:szCs w:val="22"/>
              </w:rPr>
            </w:pPr>
            <w:r w:rsidRPr="00566DE2">
              <w:rPr>
                <w:rFonts w:asciiTheme="minorHAnsi" w:hAnsiTheme="minorHAnsi" w:cstheme="minorHAnsi"/>
                <w:b w:val="0"/>
                <w:color w:val="auto"/>
                <w:sz w:val="22"/>
                <w:szCs w:val="22"/>
              </w:rPr>
              <w:t xml:space="preserve">Sample enrollment and baseline data collection </w:t>
            </w:r>
          </w:p>
        </w:tc>
        <w:tc>
          <w:tcPr>
            <w:tcW w:w="2356" w:type="pct"/>
            <w:shd w:val="clear" w:color="auto" w:fill="auto"/>
          </w:tcPr>
          <w:p w:rsidRPr="00566DE2" w:rsidR="002C0F4B" w:rsidP="00C976AC" w:rsidRDefault="002C0F4B" w14:paraId="08C5D52F" w14:textId="77777777">
            <w:pPr>
              <w:rPr>
                <w:rFonts w:cstheme="minorHAnsi"/>
              </w:rPr>
            </w:pPr>
            <w:r w:rsidRPr="00566DE2">
              <w:rPr>
                <w:rFonts w:cstheme="minorHAnsi"/>
              </w:rPr>
              <w:t>Spring 2018 through Fall 2019 for FaDSS; Summer 2018 through Fall 2019 for LIFT and Goal4 It!; Spring 2019 through Spring 2020 for Work Success; Not applicable for the two MyGoals sites</w:t>
            </w:r>
          </w:p>
        </w:tc>
      </w:tr>
      <w:tr w:rsidRPr="00566DE2" w:rsidR="002C0F4B" w:rsidTr="00C976AC" w14:paraId="71DDBAE2" w14:textId="77777777">
        <w:tc>
          <w:tcPr>
            <w:tcW w:w="2644" w:type="pct"/>
            <w:shd w:val="clear" w:color="auto" w:fill="auto"/>
          </w:tcPr>
          <w:p w:rsidRPr="00566DE2" w:rsidR="002C0F4B" w:rsidP="00C976AC" w:rsidRDefault="002C0F4B" w14:paraId="3C9E4FD1" w14:textId="77777777">
            <w:pPr>
              <w:pStyle w:val="TableHeaderLeft"/>
              <w:spacing w:before="0" w:after="0"/>
              <w:rPr>
                <w:rFonts w:asciiTheme="minorHAnsi" w:hAnsiTheme="minorHAnsi" w:cstheme="minorHAnsi"/>
                <w:b w:val="0"/>
                <w:color w:val="auto"/>
                <w:sz w:val="22"/>
                <w:szCs w:val="22"/>
              </w:rPr>
            </w:pPr>
            <w:r w:rsidRPr="00566DE2">
              <w:rPr>
                <w:rFonts w:asciiTheme="minorHAnsi" w:hAnsiTheme="minorHAnsi" w:cstheme="minorHAnsi"/>
                <w:b w:val="0"/>
                <w:color w:val="auto"/>
                <w:sz w:val="22"/>
                <w:szCs w:val="22"/>
              </w:rPr>
              <w:t>Implementation study data collection</w:t>
            </w:r>
          </w:p>
        </w:tc>
        <w:tc>
          <w:tcPr>
            <w:tcW w:w="2356" w:type="pct"/>
            <w:shd w:val="clear" w:color="auto" w:fill="auto"/>
          </w:tcPr>
          <w:p w:rsidRPr="00566DE2" w:rsidR="002C0F4B" w:rsidP="00C976AC" w:rsidRDefault="002C0F4B" w14:paraId="2068DC72" w14:textId="77777777">
            <w:pPr>
              <w:rPr>
                <w:rFonts w:cstheme="minorHAnsi"/>
              </w:rPr>
            </w:pPr>
            <w:r w:rsidRPr="00566DE2">
              <w:rPr>
                <w:rFonts w:cstheme="minorHAnsi"/>
              </w:rPr>
              <w:t>Summer 2018 through Fall 2020</w:t>
            </w:r>
          </w:p>
        </w:tc>
      </w:tr>
      <w:tr w:rsidRPr="00566DE2" w:rsidR="002C0F4B" w:rsidTr="00C976AC" w14:paraId="149EB405" w14:textId="77777777">
        <w:tc>
          <w:tcPr>
            <w:tcW w:w="2644" w:type="pct"/>
            <w:shd w:val="clear" w:color="auto" w:fill="auto"/>
          </w:tcPr>
          <w:p w:rsidRPr="00566DE2" w:rsidR="002C0F4B" w:rsidP="00C976AC" w:rsidRDefault="002C0F4B" w14:paraId="62575627" w14:textId="77777777">
            <w:pPr>
              <w:pStyle w:val="TableHeaderLeft"/>
              <w:spacing w:before="0" w:after="0"/>
              <w:rPr>
                <w:rFonts w:asciiTheme="minorHAnsi" w:hAnsiTheme="minorHAnsi" w:cstheme="minorHAnsi"/>
                <w:b w:val="0"/>
                <w:color w:val="auto"/>
                <w:sz w:val="22"/>
                <w:szCs w:val="22"/>
              </w:rPr>
            </w:pPr>
            <w:r w:rsidRPr="00566DE2">
              <w:rPr>
                <w:rFonts w:asciiTheme="minorHAnsi" w:hAnsiTheme="minorHAnsi" w:cstheme="minorHAnsi"/>
                <w:b w:val="0"/>
                <w:color w:val="auto"/>
                <w:sz w:val="22"/>
                <w:szCs w:val="22"/>
              </w:rPr>
              <w:t>First follow-up survey</w:t>
            </w:r>
          </w:p>
        </w:tc>
        <w:tc>
          <w:tcPr>
            <w:tcW w:w="2356" w:type="pct"/>
            <w:shd w:val="clear" w:color="auto" w:fill="auto"/>
          </w:tcPr>
          <w:p w:rsidRPr="00566DE2" w:rsidR="002C0F4B" w:rsidP="00C976AC" w:rsidRDefault="002C0F4B" w14:paraId="4B90FF4B" w14:textId="77777777">
            <w:pPr>
              <w:rPr>
                <w:rFonts w:cstheme="minorHAnsi"/>
              </w:rPr>
            </w:pPr>
            <w:r w:rsidRPr="00566DE2">
              <w:rPr>
                <w:rFonts w:cstheme="minorHAnsi"/>
              </w:rPr>
              <w:t>Spring 2018 through Spring 2021</w:t>
            </w:r>
          </w:p>
        </w:tc>
      </w:tr>
      <w:tr w:rsidRPr="00566DE2" w:rsidR="002C0F4B" w:rsidTr="00C976AC" w14:paraId="1BA4AD9C" w14:textId="77777777">
        <w:tc>
          <w:tcPr>
            <w:tcW w:w="2644" w:type="pct"/>
            <w:shd w:val="clear" w:color="auto" w:fill="auto"/>
          </w:tcPr>
          <w:p w:rsidRPr="00566DE2" w:rsidR="004128A5" w:rsidP="004128A5" w:rsidRDefault="002C0F4B" w14:paraId="6F714F9E" w14:textId="77777777">
            <w:pPr>
              <w:pStyle w:val="TableHeaderLeft"/>
              <w:spacing w:before="0" w:after="0"/>
              <w:rPr>
                <w:rFonts w:asciiTheme="minorHAnsi" w:hAnsiTheme="minorHAnsi" w:cstheme="minorHAnsi"/>
                <w:b w:val="0"/>
                <w:color w:val="auto"/>
                <w:sz w:val="22"/>
                <w:szCs w:val="22"/>
              </w:rPr>
            </w:pPr>
            <w:r w:rsidRPr="00566DE2">
              <w:rPr>
                <w:rFonts w:asciiTheme="minorHAnsi" w:hAnsiTheme="minorHAnsi" w:cstheme="minorHAnsi"/>
                <w:b w:val="0"/>
                <w:color w:val="auto"/>
                <w:sz w:val="22"/>
                <w:szCs w:val="22"/>
              </w:rPr>
              <w:t>Second follow-up survey</w:t>
            </w:r>
          </w:p>
          <w:p w:rsidRPr="00566DE2" w:rsidR="004128A5" w:rsidP="00E336E2" w:rsidRDefault="004128A5" w14:paraId="276CDA24" w14:textId="4FD66D52">
            <w:pPr>
              <w:rPr>
                <w:rFonts w:cstheme="minorHAnsi"/>
              </w:rPr>
            </w:pPr>
          </w:p>
        </w:tc>
        <w:tc>
          <w:tcPr>
            <w:tcW w:w="2356" w:type="pct"/>
            <w:shd w:val="clear" w:color="auto" w:fill="auto"/>
          </w:tcPr>
          <w:p w:rsidRPr="00566DE2" w:rsidR="004128A5" w:rsidP="00E336E2" w:rsidRDefault="002C0F4B" w14:paraId="15F96502" w14:textId="00B76DDF">
            <w:pPr>
              <w:rPr>
                <w:rFonts w:cstheme="minorHAnsi"/>
                <w:b/>
              </w:rPr>
            </w:pPr>
            <w:r w:rsidRPr="00566DE2">
              <w:rPr>
                <w:rFonts w:cstheme="minorHAnsi"/>
              </w:rPr>
              <w:t>Spring 2019 through Summer 2022</w:t>
            </w:r>
          </w:p>
        </w:tc>
      </w:tr>
      <w:tr w:rsidRPr="00566DE2" w:rsidR="004128A5" w:rsidTr="00C976AC" w14:paraId="788855AE" w14:textId="77777777">
        <w:tc>
          <w:tcPr>
            <w:tcW w:w="2644" w:type="pct"/>
            <w:shd w:val="clear" w:color="auto" w:fill="auto"/>
          </w:tcPr>
          <w:p w:rsidRPr="00566DE2" w:rsidR="004128A5" w:rsidP="004128A5" w:rsidRDefault="004128A5" w14:paraId="74892122" w14:textId="214BDAF5">
            <w:pPr>
              <w:pStyle w:val="TableHeaderLeft"/>
              <w:spacing w:before="0" w:after="0"/>
              <w:rPr>
                <w:rFonts w:asciiTheme="minorHAnsi" w:hAnsiTheme="minorHAnsi" w:cstheme="minorHAnsi"/>
                <w:b w:val="0"/>
                <w:color w:val="auto"/>
                <w:sz w:val="22"/>
                <w:szCs w:val="22"/>
              </w:rPr>
            </w:pPr>
            <w:r w:rsidRPr="00566DE2">
              <w:rPr>
                <w:rFonts w:asciiTheme="minorHAnsi" w:hAnsiTheme="minorHAnsi" w:cstheme="minorHAnsi"/>
                <w:b w:val="0"/>
                <w:color w:val="auto"/>
                <w:sz w:val="22"/>
                <w:szCs w:val="22"/>
              </w:rPr>
              <w:t>Third follow-up survey</w:t>
            </w:r>
          </w:p>
        </w:tc>
        <w:tc>
          <w:tcPr>
            <w:tcW w:w="2356" w:type="pct"/>
            <w:shd w:val="clear" w:color="auto" w:fill="auto"/>
          </w:tcPr>
          <w:p w:rsidRPr="00566DE2" w:rsidR="004128A5" w:rsidP="004128A5" w:rsidRDefault="004128A5" w14:paraId="4BC8FC6A" w14:textId="2250B27F">
            <w:pPr>
              <w:rPr>
                <w:rFonts w:cstheme="minorHAnsi"/>
              </w:rPr>
            </w:pPr>
            <w:r w:rsidRPr="00566DE2">
              <w:rPr>
                <w:rFonts w:cstheme="minorHAnsi"/>
              </w:rPr>
              <w:t>Fall 2022-</w:t>
            </w:r>
            <w:r w:rsidRPr="00566DE2" w:rsidR="00E336E2">
              <w:rPr>
                <w:rFonts w:cstheme="minorHAnsi"/>
              </w:rPr>
              <w:t>Spring 2024</w:t>
            </w:r>
          </w:p>
        </w:tc>
      </w:tr>
      <w:tr w:rsidRPr="00566DE2" w:rsidR="003B38E3" w:rsidTr="00C976AC" w14:paraId="0CD3FD7B" w14:textId="77777777">
        <w:tc>
          <w:tcPr>
            <w:tcW w:w="2644" w:type="pct"/>
            <w:shd w:val="clear" w:color="auto" w:fill="auto"/>
          </w:tcPr>
          <w:p w:rsidRPr="00566DE2" w:rsidR="003B38E3" w:rsidP="004128A5" w:rsidRDefault="003B38E3" w14:paraId="39E693D8" w14:textId="659FD696">
            <w:pPr>
              <w:pStyle w:val="TableHeaderLeft"/>
              <w:spacing w:before="0" w:after="0"/>
              <w:rPr>
                <w:rFonts w:asciiTheme="minorHAnsi" w:hAnsiTheme="minorHAnsi" w:cstheme="minorHAnsi"/>
                <w:b w:val="0"/>
                <w:color w:val="auto"/>
                <w:sz w:val="22"/>
                <w:szCs w:val="22"/>
              </w:rPr>
            </w:pPr>
            <w:r w:rsidRPr="00566DE2">
              <w:rPr>
                <w:rFonts w:asciiTheme="minorHAnsi" w:hAnsiTheme="minorHAnsi" w:cstheme="minorHAnsi"/>
                <w:b w:val="0"/>
                <w:color w:val="auto"/>
                <w:sz w:val="22"/>
                <w:szCs w:val="22"/>
              </w:rPr>
              <w:t>Additional management, supervisor, staff, and participant semi-structured interviews</w:t>
            </w:r>
          </w:p>
        </w:tc>
        <w:tc>
          <w:tcPr>
            <w:tcW w:w="2356" w:type="pct"/>
            <w:shd w:val="clear" w:color="auto" w:fill="auto"/>
          </w:tcPr>
          <w:p w:rsidRPr="00566DE2" w:rsidR="003B38E3" w:rsidP="004128A5" w:rsidRDefault="003B38E3" w14:paraId="5DC294D1" w14:textId="0B6533A2">
            <w:pPr>
              <w:rPr>
                <w:rFonts w:cstheme="minorHAnsi"/>
              </w:rPr>
            </w:pPr>
            <w:r w:rsidRPr="00566DE2">
              <w:rPr>
                <w:rFonts w:cstheme="minorHAnsi"/>
              </w:rPr>
              <w:t>Summer 2022-Spring 2023</w:t>
            </w:r>
          </w:p>
        </w:tc>
      </w:tr>
      <w:tr w:rsidRPr="00566DE2" w:rsidR="002C0F4B" w:rsidTr="00C976AC" w14:paraId="6A6247E1" w14:textId="77777777">
        <w:tc>
          <w:tcPr>
            <w:tcW w:w="2644" w:type="pct"/>
            <w:shd w:val="clear" w:color="auto" w:fill="auto"/>
          </w:tcPr>
          <w:p w:rsidRPr="00566DE2" w:rsidR="002C0F4B" w:rsidP="00C976AC" w:rsidRDefault="002C0F4B" w14:paraId="17A4EFC6" w14:textId="77777777">
            <w:pPr>
              <w:pStyle w:val="TableHeaderLeft"/>
              <w:spacing w:after="0"/>
              <w:rPr>
                <w:rFonts w:asciiTheme="minorHAnsi" w:hAnsiTheme="minorHAnsi" w:cstheme="minorHAnsi"/>
                <w:color w:val="auto"/>
                <w:sz w:val="22"/>
                <w:szCs w:val="22"/>
              </w:rPr>
            </w:pPr>
            <w:r w:rsidRPr="00566DE2">
              <w:rPr>
                <w:rFonts w:asciiTheme="minorHAnsi" w:hAnsiTheme="minorHAnsi" w:cstheme="minorHAnsi"/>
                <w:color w:val="auto"/>
                <w:sz w:val="22"/>
                <w:szCs w:val="22"/>
              </w:rPr>
              <w:t>Reporting</w:t>
            </w:r>
          </w:p>
        </w:tc>
        <w:tc>
          <w:tcPr>
            <w:tcW w:w="2356" w:type="pct"/>
            <w:shd w:val="clear" w:color="auto" w:fill="auto"/>
          </w:tcPr>
          <w:p w:rsidRPr="00566DE2" w:rsidR="002C0F4B" w:rsidP="00C976AC" w:rsidRDefault="002C0F4B" w14:paraId="2D8F37F4" w14:textId="77777777">
            <w:pPr>
              <w:pStyle w:val="TableHeaderLeft"/>
              <w:spacing w:after="0"/>
              <w:ind w:left="696"/>
              <w:rPr>
                <w:rFonts w:asciiTheme="minorHAnsi" w:hAnsiTheme="minorHAnsi" w:cstheme="minorHAnsi"/>
                <w:color w:val="auto"/>
                <w:sz w:val="22"/>
                <w:szCs w:val="22"/>
              </w:rPr>
            </w:pPr>
          </w:p>
        </w:tc>
      </w:tr>
      <w:tr w:rsidRPr="00566DE2" w:rsidR="002C0F4B" w:rsidTr="00C976AC" w14:paraId="1B028EEA" w14:textId="77777777">
        <w:trPr>
          <w:trHeight w:val="180"/>
        </w:trPr>
        <w:tc>
          <w:tcPr>
            <w:tcW w:w="2644" w:type="pct"/>
            <w:shd w:val="clear" w:color="auto" w:fill="auto"/>
          </w:tcPr>
          <w:p w:rsidRPr="00566DE2" w:rsidR="002C0F4B" w:rsidP="00C976AC" w:rsidRDefault="002C0F4B" w14:paraId="576C8470" w14:textId="77777777">
            <w:pPr>
              <w:pStyle w:val="TableText0"/>
              <w:rPr>
                <w:rFonts w:asciiTheme="minorHAnsi" w:hAnsiTheme="minorHAnsi" w:cstheme="minorHAnsi"/>
                <w:sz w:val="22"/>
                <w:szCs w:val="22"/>
              </w:rPr>
            </w:pPr>
            <w:r w:rsidRPr="00566DE2">
              <w:rPr>
                <w:rFonts w:asciiTheme="minorHAnsi" w:hAnsiTheme="minorHAnsi" w:cstheme="minorHAnsi"/>
                <w:sz w:val="22"/>
                <w:szCs w:val="22"/>
              </w:rPr>
              <w:t>Implementation study reports</w:t>
            </w:r>
          </w:p>
        </w:tc>
        <w:tc>
          <w:tcPr>
            <w:tcW w:w="2356" w:type="pct"/>
            <w:shd w:val="clear" w:color="auto" w:fill="auto"/>
          </w:tcPr>
          <w:p w:rsidRPr="00566DE2" w:rsidR="002C0F4B" w:rsidP="00C976AC" w:rsidRDefault="002C0F4B" w14:paraId="7921A6A2" w14:textId="04F2C60A">
            <w:pPr>
              <w:pStyle w:val="TableText0"/>
              <w:ind w:left="696"/>
              <w:rPr>
                <w:rFonts w:asciiTheme="minorHAnsi" w:hAnsiTheme="minorHAnsi" w:cstheme="minorHAnsi"/>
                <w:sz w:val="22"/>
                <w:szCs w:val="22"/>
              </w:rPr>
            </w:pPr>
            <w:r w:rsidRPr="00566DE2">
              <w:rPr>
                <w:rFonts w:asciiTheme="minorHAnsi" w:hAnsiTheme="minorHAnsi" w:cstheme="minorHAnsi"/>
                <w:sz w:val="22"/>
                <w:szCs w:val="22"/>
              </w:rPr>
              <w:t>2020</w:t>
            </w:r>
            <w:r w:rsidRPr="00566DE2" w:rsidR="001212D4">
              <w:rPr>
                <w:rFonts w:asciiTheme="minorHAnsi" w:hAnsiTheme="minorHAnsi" w:cstheme="minorHAnsi"/>
                <w:sz w:val="22"/>
                <w:szCs w:val="22"/>
              </w:rPr>
              <w:t>-2022</w:t>
            </w:r>
          </w:p>
        </w:tc>
      </w:tr>
      <w:tr w:rsidRPr="00566DE2" w:rsidR="002C0F4B" w:rsidTr="00C976AC" w14:paraId="440BCE23" w14:textId="77777777">
        <w:trPr>
          <w:trHeight w:val="180"/>
        </w:trPr>
        <w:tc>
          <w:tcPr>
            <w:tcW w:w="2644" w:type="pct"/>
            <w:shd w:val="clear" w:color="auto" w:fill="auto"/>
          </w:tcPr>
          <w:p w:rsidRPr="00566DE2" w:rsidR="002C0F4B" w:rsidP="00C976AC" w:rsidRDefault="002C0F4B" w14:paraId="4C315670" w14:textId="77777777">
            <w:pPr>
              <w:pStyle w:val="TableText0"/>
              <w:rPr>
                <w:rFonts w:asciiTheme="minorHAnsi" w:hAnsiTheme="minorHAnsi" w:cstheme="minorHAnsi"/>
                <w:sz w:val="22"/>
                <w:szCs w:val="22"/>
              </w:rPr>
            </w:pPr>
            <w:r w:rsidRPr="00566DE2">
              <w:rPr>
                <w:rFonts w:asciiTheme="minorHAnsi" w:hAnsiTheme="minorHAnsi" w:cstheme="minorHAnsi"/>
                <w:sz w:val="22"/>
                <w:szCs w:val="22"/>
              </w:rPr>
              <w:t>First follow-up findings report</w:t>
            </w:r>
          </w:p>
        </w:tc>
        <w:tc>
          <w:tcPr>
            <w:tcW w:w="2356" w:type="pct"/>
            <w:shd w:val="clear" w:color="auto" w:fill="auto"/>
          </w:tcPr>
          <w:p w:rsidRPr="00566DE2" w:rsidR="002C0F4B" w:rsidP="00C976AC" w:rsidRDefault="001212D4" w14:paraId="1BCDDFB4" w14:textId="1CB6BC4E">
            <w:pPr>
              <w:pStyle w:val="TableText0"/>
              <w:ind w:left="696"/>
              <w:rPr>
                <w:rFonts w:asciiTheme="minorHAnsi" w:hAnsiTheme="minorHAnsi" w:cstheme="minorHAnsi"/>
                <w:sz w:val="22"/>
                <w:szCs w:val="22"/>
              </w:rPr>
            </w:pPr>
            <w:r w:rsidRPr="00566DE2">
              <w:rPr>
                <w:rFonts w:asciiTheme="minorHAnsi" w:hAnsiTheme="minorHAnsi" w:cstheme="minorHAnsi"/>
                <w:sz w:val="22"/>
                <w:szCs w:val="22"/>
              </w:rPr>
              <w:t>2022</w:t>
            </w:r>
          </w:p>
        </w:tc>
      </w:tr>
      <w:tr w:rsidRPr="00566DE2" w:rsidR="00AA3AEC" w:rsidTr="00727E1B" w14:paraId="35BDA1A4" w14:textId="77777777">
        <w:trPr>
          <w:trHeight w:val="180"/>
        </w:trPr>
        <w:tc>
          <w:tcPr>
            <w:tcW w:w="2644" w:type="pct"/>
            <w:shd w:val="clear" w:color="auto" w:fill="auto"/>
          </w:tcPr>
          <w:p w:rsidRPr="00566DE2" w:rsidR="00AA3AEC" w:rsidP="00727E1B" w:rsidRDefault="00AA3AEC" w14:paraId="0662A435" w14:textId="77777777">
            <w:pPr>
              <w:pStyle w:val="TableText0"/>
              <w:rPr>
                <w:rFonts w:asciiTheme="minorHAnsi" w:hAnsiTheme="minorHAnsi" w:cstheme="minorHAnsi"/>
                <w:sz w:val="22"/>
                <w:szCs w:val="22"/>
              </w:rPr>
            </w:pPr>
            <w:r w:rsidRPr="00566DE2">
              <w:rPr>
                <w:rFonts w:asciiTheme="minorHAnsi" w:hAnsiTheme="minorHAnsi" w:cstheme="minorHAnsi"/>
                <w:sz w:val="22"/>
                <w:szCs w:val="22"/>
              </w:rPr>
              <w:t>Second follow-up findings report</w:t>
            </w:r>
          </w:p>
        </w:tc>
        <w:tc>
          <w:tcPr>
            <w:tcW w:w="2356" w:type="pct"/>
            <w:shd w:val="clear" w:color="auto" w:fill="auto"/>
          </w:tcPr>
          <w:p w:rsidRPr="00566DE2" w:rsidR="00AA3AEC" w:rsidP="00727E1B" w:rsidRDefault="00AA3AEC" w14:paraId="114240D3" w14:textId="77777777">
            <w:pPr>
              <w:pStyle w:val="TableText0"/>
              <w:ind w:left="696"/>
              <w:rPr>
                <w:rFonts w:asciiTheme="minorHAnsi" w:hAnsiTheme="minorHAnsi" w:cstheme="minorHAnsi"/>
                <w:sz w:val="22"/>
                <w:szCs w:val="22"/>
              </w:rPr>
            </w:pPr>
            <w:r w:rsidRPr="00566DE2">
              <w:rPr>
                <w:rFonts w:asciiTheme="minorHAnsi" w:hAnsiTheme="minorHAnsi" w:cstheme="minorHAnsi"/>
                <w:sz w:val="22"/>
                <w:szCs w:val="22"/>
              </w:rPr>
              <w:t>2023</w:t>
            </w:r>
          </w:p>
        </w:tc>
      </w:tr>
      <w:tr w:rsidRPr="00566DE2" w:rsidR="002C0F4B" w:rsidTr="00C976AC" w14:paraId="5C35ACDA" w14:textId="77777777">
        <w:trPr>
          <w:trHeight w:val="180"/>
        </w:trPr>
        <w:tc>
          <w:tcPr>
            <w:tcW w:w="2644" w:type="pct"/>
            <w:shd w:val="clear" w:color="auto" w:fill="auto"/>
          </w:tcPr>
          <w:p w:rsidRPr="00566DE2" w:rsidR="002C0F4B" w:rsidP="00C976AC" w:rsidRDefault="00AA3AEC" w14:paraId="13EFF513" w14:textId="2E540ACC">
            <w:pPr>
              <w:pStyle w:val="TableText0"/>
              <w:rPr>
                <w:rFonts w:asciiTheme="minorHAnsi" w:hAnsiTheme="minorHAnsi" w:cstheme="minorHAnsi"/>
                <w:sz w:val="22"/>
                <w:szCs w:val="22"/>
              </w:rPr>
            </w:pPr>
            <w:r w:rsidRPr="00566DE2">
              <w:rPr>
                <w:rFonts w:asciiTheme="minorHAnsi" w:hAnsiTheme="minorHAnsi" w:cstheme="minorHAnsi"/>
                <w:sz w:val="22"/>
                <w:szCs w:val="22"/>
              </w:rPr>
              <w:t xml:space="preserve">Third </w:t>
            </w:r>
            <w:r w:rsidRPr="00566DE2" w:rsidR="002C0F4B">
              <w:rPr>
                <w:rFonts w:asciiTheme="minorHAnsi" w:hAnsiTheme="minorHAnsi" w:cstheme="minorHAnsi"/>
                <w:sz w:val="22"/>
                <w:szCs w:val="22"/>
              </w:rPr>
              <w:t>follow-up findings report</w:t>
            </w:r>
          </w:p>
        </w:tc>
        <w:tc>
          <w:tcPr>
            <w:tcW w:w="2356" w:type="pct"/>
            <w:shd w:val="clear" w:color="auto" w:fill="auto"/>
          </w:tcPr>
          <w:p w:rsidRPr="00566DE2" w:rsidR="002C0F4B" w:rsidP="00C976AC" w:rsidRDefault="001212D4" w14:paraId="7799A401" w14:textId="692F0794">
            <w:pPr>
              <w:pStyle w:val="TableText0"/>
              <w:ind w:left="696"/>
              <w:rPr>
                <w:rFonts w:asciiTheme="minorHAnsi" w:hAnsiTheme="minorHAnsi" w:cstheme="minorHAnsi"/>
                <w:sz w:val="22"/>
                <w:szCs w:val="22"/>
              </w:rPr>
            </w:pPr>
            <w:r w:rsidRPr="00566DE2">
              <w:rPr>
                <w:rFonts w:asciiTheme="minorHAnsi" w:hAnsiTheme="minorHAnsi" w:cstheme="minorHAnsi"/>
                <w:sz w:val="22"/>
                <w:szCs w:val="22"/>
              </w:rPr>
              <w:t>202</w:t>
            </w:r>
            <w:r w:rsidRPr="00566DE2" w:rsidR="00EA1693">
              <w:rPr>
                <w:rFonts w:asciiTheme="minorHAnsi" w:hAnsiTheme="minorHAnsi" w:cstheme="minorHAnsi"/>
                <w:sz w:val="22"/>
                <w:szCs w:val="22"/>
              </w:rPr>
              <w:t>5</w:t>
            </w:r>
          </w:p>
        </w:tc>
      </w:tr>
      <w:tr w:rsidRPr="00566DE2" w:rsidR="002C0F4B" w:rsidTr="00C976AC" w14:paraId="52F0D353" w14:textId="77777777">
        <w:tc>
          <w:tcPr>
            <w:tcW w:w="2644" w:type="pct"/>
            <w:tcBorders>
              <w:bottom w:val="single" w:color="auto" w:sz="4" w:space="0"/>
            </w:tcBorders>
            <w:shd w:val="clear" w:color="auto" w:fill="auto"/>
          </w:tcPr>
          <w:p w:rsidRPr="00566DE2" w:rsidR="002C0F4B" w:rsidP="00C976AC" w:rsidRDefault="002C0F4B" w14:paraId="12351604" w14:textId="660B4230">
            <w:pPr>
              <w:pStyle w:val="TableText0"/>
              <w:rPr>
                <w:rFonts w:asciiTheme="minorHAnsi" w:hAnsiTheme="minorHAnsi" w:cstheme="minorHAnsi"/>
                <w:sz w:val="22"/>
                <w:szCs w:val="22"/>
              </w:rPr>
            </w:pPr>
            <w:r w:rsidRPr="00566DE2">
              <w:rPr>
                <w:rFonts w:asciiTheme="minorHAnsi" w:hAnsiTheme="minorHAnsi" w:cstheme="minorHAnsi"/>
                <w:sz w:val="22"/>
                <w:szCs w:val="22"/>
              </w:rPr>
              <w:t>Special topics reports</w:t>
            </w:r>
            <w:r w:rsidRPr="00566DE2" w:rsidR="003B38E3">
              <w:rPr>
                <w:rFonts w:asciiTheme="minorHAnsi" w:hAnsiTheme="minorHAnsi" w:cstheme="minorHAnsi"/>
                <w:sz w:val="22"/>
                <w:szCs w:val="22"/>
              </w:rPr>
              <w:t xml:space="preserve"> on additional interviews</w:t>
            </w:r>
          </w:p>
        </w:tc>
        <w:tc>
          <w:tcPr>
            <w:tcW w:w="2356" w:type="pct"/>
            <w:tcBorders>
              <w:bottom w:val="single" w:color="auto" w:sz="4" w:space="0"/>
            </w:tcBorders>
            <w:shd w:val="clear" w:color="auto" w:fill="auto"/>
          </w:tcPr>
          <w:p w:rsidRPr="00566DE2" w:rsidR="002C0F4B" w:rsidP="00C976AC" w:rsidRDefault="002C0F4B" w14:paraId="199A63BC" w14:textId="77777777">
            <w:pPr>
              <w:pStyle w:val="TableText0"/>
              <w:ind w:left="696"/>
              <w:rPr>
                <w:rFonts w:asciiTheme="minorHAnsi" w:hAnsiTheme="minorHAnsi" w:cstheme="minorHAnsi"/>
                <w:sz w:val="22"/>
                <w:szCs w:val="22"/>
              </w:rPr>
            </w:pPr>
            <w:r w:rsidRPr="00566DE2">
              <w:rPr>
                <w:rFonts w:asciiTheme="minorHAnsi" w:hAnsiTheme="minorHAnsi" w:cstheme="minorHAnsi"/>
                <w:sz w:val="22"/>
                <w:szCs w:val="22"/>
              </w:rPr>
              <w:t>To be determined</w:t>
            </w:r>
          </w:p>
        </w:tc>
      </w:tr>
    </w:tbl>
    <w:p w:rsidRPr="00566DE2" w:rsidR="002C0F4B" w:rsidP="002C0F4B" w:rsidRDefault="002C0F4B" w14:paraId="7BE8018C" w14:textId="5782427A">
      <w:pPr>
        <w:keepNext/>
        <w:spacing w:after="100" w:afterAutospacing="1"/>
        <w:rPr>
          <w:rFonts w:cstheme="minorHAnsi"/>
        </w:rPr>
      </w:pPr>
      <w:r w:rsidRPr="00566DE2">
        <w:rPr>
          <w:rFonts w:cstheme="minorHAnsi"/>
        </w:rPr>
        <w:t>*</w:t>
      </w:r>
      <w:r w:rsidR="00B637B7">
        <w:rPr>
          <w:rFonts w:cstheme="minorHAnsi"/>
        </w:rPr>
        <w:t xml:space="preserve">Future </w:t>
      </w:r>
      <w:r w:rsidRPr="00566DE2">
        <w:rPr>
          <w:rFonts w:cstheme="minorHAnsi"/>
        </w:rPr>
        <w:t xml:space="preserve">dates dependent on date of OMB approval of this information collection request. </w:t>
      </w:r>
    </w:p>
    <w:p w:rsidRPr="00566DE2" w:rsidR="001D1C73" w:rsidP="001D1C73" w:rsidRDefault="001D1C73" w14:paraId="48C4ACC5" w14:textId="2D8015F3">
      <w:pPr>
        <w:spacing w:after="120" w:line="240" w:lineRule="auto"/>
        <w:rPr>
          <w:rFonts w:cstheme="minorHAnsi"/>
        </w:rPr>
      </w:pPr>
      <w:r w:rsidRPr="00566DE2">
        <w:rPr>
          <w:rFonts w:cstheme="minorHAnsi"/>
          <w:b/>
        </w:rPr>
        <w:t>A17</w:t>
      </w:r>
      <w:r w:rsidRPr="00566DE2">
        <w:rPr>
          <w:rFonts w:cstheme="minorHAnsi"/>
        </w:rPr>
        <w:t>.</w:t>
      </w:r>
      <w:r w:rsidRPr="00566DE2">
        <w:rPr>
          <w:rFonts w:cstheme="minorHAnsi"/>
        </w:rPr>
        <w:tab/>
      </w:r>
      <w:r w:rsidRPr="00566DE2">
        <w:rPr>
          <w:rFonts w:cstheme="minorHAnsi"/>
          <w:b/>
        </w:rPr>
        <w:t>Exceptions</w:t>
      </w:r>
    </w:p>
    <w:p w:rsidRPr="00566DE2" w:rsidR="001D1C73" w:rsidP="001D1C73" w:rsidRDefault="001D1C73" w14:paraId="3C24CF91" w14:textId="77777777">
      <w:pPr>
        <w:spacing w:after="0"/>
      </w:pPr>
      <w:r w:rsidRPr="00566DE2">
        <w:t>No exceptions are necessary for this information collection.</w:t>
      </w:r>
    </w:p>
    <w:p w:rsidRPr="00566DE2" w:rsidR="007C7DE9" w:rsidRDefault="007C7DE9" w14:paraId="7C83E739" w14:textId="77777777">
      <w:pPr>
        <w:rPr>
          <w:b/>
        </w:rPr>
      </w:pPr>
      <w:r w:rsidRPr="00566DE2">
        <w:rPr>
          <w:b/>
        </w:rPr>
        <w:br w:type="page"/>
      </w:r>
    </w:p>
    <w:p w:rsidRPr="00566DE2" w:rsidR="001D1C73" w:rsidP="00BD566D" w:rsidRDefault="001D1C73" w14:paraId="7BED44AA" w14:textId="6B4A6BA4">
      <w:pPr>
        <w:spacing w:after="120" w:line="240" w:lineRule="auto"/>
        <w:rPr>
          <w:b/>
        </w:rPr>
      </w:pPr>
      <w:r w:rsidRPr="00566DE2">
        <w:rPr>
          <w:b/>
        </w:rPr>
        <w:lastRenderedPageBreak/>
        <w:t>Attachments</w:t>
      </w:r>
    </w:p>
    <w:p w:rsidRPr="00566DE2" w:rsidR="000C0F14" w:rsidP="00BD566D" w:rsidRDefault="00E54E4B" w14:paraId="685F4F51" w14:textId="4C429FF1">
      <w:pPr>
        <w:spacing w:after="0" w:line="240" w:lineRule="auto"/>
      </w:pPr>
      <w:bookmarkStart w:name="_Hlk94126437" w:id="8"/>
      <w:r w:rsidRPr="00566DE2">
        <w:t>Attachment N</w:t>
      </w:r>
      <w:r w:rsidRPr="00566DE2" w:rsidR="000C0F14">
        <w:t>: Second Follow-Up Survey</w:t>
      </w:r>
    </w:p>
    <w:p w:rsidRPr="00566DE2" w:rsidR="000C0F14" w:rsidP="00BD566D" w:rsidRDefault="00E54E4B" w14:paraId="2B72BF1A" w14:textId="32FEBEF6">
      <w:pPr>
        <w:spacing w:after="0" w:line="240" w:lineRule="auto"/>
      </w:pPr>
      <w:r w:rsidRPr="00566DE2">
        <w:t>Attachment Q</w:t>
      </w:r>
      <w:r w:rsidRPr="00566DE2" w:rsidR="000C0F14">
        <w:t>: Third Follow-Up Survey</w:t>
      </w:r>
    </w:p>
    <w:p w:rsidR="00E54E4B" w:rsidP="00BD566D" w:rsidRDefault="00E54E4B" w14:paraId="17919BA9" w14:textId="6B0E0C09">
      <w:pPr>
        <w:spacing w:after="0" w:line="240" w:lineRule="auto"/>
      </w:pPr>
      <w:r w:rsidRPr="00566DE2">
        <w:t>Attachment R:</w:t>
      </w:r>
      <w:r w:rsidRPr="00566DE2" w:rsidR="00697A86">
        <w:t xml:space="preserve"> Semi-structured </w:t>
      </w:r>
      <w:r w:rsidR="001D6153">
        <w:t>I</w:t>
      </w:r>
      <w:r w:rsidRPr="00566DE2" w:rsidR="00697A86">
        <w:t xml:space="preserve">nterviews for </w:t>
      </w:r>
      <w:r w:rsidR="001D6153">
        <w:t>M</w:t>
      </w:r>
      <w:r w:rsidRPr="00566DE2" w:rsidR="00697A86">
        <w:t>anagement</w:t>
      </w:r>
    </w:p>
    <w:p w:rsidRPr="00566DE2" w:rsidR="00B63675" w:rsidP="00BD566D" w:rsidRDefault="00B63675" w14:paraId="3948AFB2" w14:textId="276DA11B">
      <w:pPr>
        <w:spacing w:after="0" w:line="240" w:lineRule="auto"/>
      </w:pPr>
      <w:bookmarkStart w:name="_Hlk94882582" w:id="9"/>
      <w:r>
        <w:t>Attachment S:</w:t>
      </w:r>
      <w:r w:rsidRPr="00B63675">
        <w:t xml:space="preserve"> </w:t>
      </w:r>
      <w:r w:rsidRPr="00566DE2">
        <w:t xml:space="preserve">Semi-structured </w:t>
      </w:r>
      <w:r w:rsidR="001D6153">
        <w:t>I</w:t>
      </w:r>
      <w:r w:rsidRPr="00566DE2">
        <w:t xml:space="preserve">nterviews for </w:t>
      </w:r>
      <w:r w:rsidR="001D6153">
        <w:t>S</w:t>
      </w:r>
      <w:r w:rsidRPr="00566DE2">
        <w:t xml:space="preserve">taff and </w:t>
      </w:r>
      <w:r w:rsidR="001D6153">
        <w:t>S</w:t>
      </w:r>
      <w:r w:rsidRPr="00566DE2">
        <w:t>upervisors</w:t>
      </w:r>
      <w:bookmarkEnd w:id="9"/>
    </w:p>
    <w:p w:rsidRPr="00566DE2" w:rsidR="00E54E4B" w:rsidP="00BD566D" w:rsidRDefault="00E54E4B" w14:paraId="1E892720" w14:textId="3627036D">
      <w:pPr>
        <w:spacing w:after="0" w:line="240" w:lineRule="auto"/>
      </w:pPr>
      <w:r w:rsidRPr="00566DE2">
        <w:t xml:space="preserve">Attachment </w:t>
      </w:r>
      <w:r w:rsidR="00B63675">
        <w:t>T</w:t>
      </w:r>
      <w:r w:rsidRPr="00566DE2">
        <w:t xml:space="preserve">: </w:t>
      </w:r>
      <w:r w:rsidRPr="00566DE2" w:rsidR="00697A86">
        <w:t xml:space="preserve">Semi-structured </w:t>
      </w:r>
      <w:r w:rsidR="001D6153">
        <w:t>I</w:t>
      </w:r>
      <w:r w:rsidRPr="00566DE2" w:rsidR="00697A86">
        <w:t xml:space="preserve">nterviews for </w:t>
      </w:r>
      <w:r w:rsidR="001D6153">
        <w:t>P</w:t>
      </w:r>
      <w:r w:rsidRPr="00566DE2" w:rsidR="00697A86">
        <w:t>articipants</w:t>
      </w:r>
    </w:p>
    <w:p w:rsidRPr="00566DE2" w:rsidR="000C0F14" w:rsidP="00BD566D" w:rsidRDefault="00EB7700" w14:paraId="40350C9E" w14:textId="66DBC736">
      <w:pPr>
        <w:spacing w:after="0" w:line="240" w:lineRule="auto"/>
      </w:pPr>
      <w:r w:rsidRPr="00566DE2">
        <w:t xml:space="preserve">Attachment </w:t>
      </w:r>
      <w:r w:rsidR="00575821">
        <w:t>U</w:t>
      </w:r>
      <w:r w:rsidRPr="00566DE2" w:rsidR="000C0F14">
        <w:t xml:space="preserve">: Third Follow-up </w:t>
      </w:r>
      <w:r w:rsidR="001D6153">
        <w:t>S</w:t>
      </w:r>
      <w:r w:rsidRPr="00566DE2" w:rsidR="000C0F14">
        <w:t xml:space="preserve">urvey </w:t>
      </w:r>
      <w:r w:rsidR="001D6153">
        <w:t>Q</w:t>
      </w:r>
      <w:r w:rsidR="004F6ED0">
        <w:t>uestion</w:t>
      </w:r>
      <w:r w:rsidR="001D6153">
        <w:t>-</w:t>
      </w:r>
      <w:r w:rsidR="004F6ED0">
        <w:t>by</w:t>
      </w:r>
      <w:r w:rsidR="001D6153">
        <w:t>-</w:t>
      </w:r>
      <w:r w:rsidR="004F6ED0">
        <w:t xml:space="preserve">question </w:t>
      </w:r>
      <w:r w:rsidR="001D6153">
        <w:t>J</w:t>
      </w:r>
      <w:r w:rsidR="004F6ED0">
        <w:t>ustification</w:t>
      </w:r>
    </w:p>
    <w:p w:rsidR="006B5B6D" w:rsidP="00BD566D" w:rsidRDefault="006B5B6D" w14:paraId="17C022A7" w14:textId="61C47C90">
      <w:pPr>
        <w:spacing w:after="0" w:line="240" w:lineRule="auto"/>
      </w:pPr>
      <w:r w:rsidRPr="00566DE2">
        <w:t xml:space="preserve">Attachment </w:t>
      </w:r>
      <w:r w:rsidR="00575821">
        <w:t>V</w:t>
      </w:r>
      <w:r w:rsidRPr="00566DE2" w:rsidR="004714B2">
        <w:t>: Notifications</w:t>
      </w:r>
    </w:p>
    <w:bookmarkEnd w:id="8"/>
    <w:p w:rsidR="00677508" w:rsidRDefault="00677508" w14:paraId="00CB0019" w14:textId="06CF6BF8">
      <w:pPr>
        <w:rPr>
          <w:b/>
        </w:rPr>
      </w:pPr>
      <w:r>
        <w:rPr>
          <w:b/>
        </w:rPr>
        <w:br w:type="page"/>
      </w:r>
    </w:p>
    <w:p w:rsidR="00FE2A26" w:rsidP="00EC76ED" w:rsidRDefault="003C4292" w14:paraId="0B2AD0C4" w14:textId="62F9E188">
      <w:pPr>
        <w:spacing w:after="120" w:line="240" w:lineRule="auto"/>
        <w:jc w:val="center"/>
        <w:rPr>
          <w:b/>
        </w:rPr>
      </w:pPr>
      <w:r w:rsidRPr="003C4292">
        <w:rPr>
          <w:b/>
        </w:rPr>
        <w:lastRenderedPageBreak/>
        <w:t>References</w:t>
      </w:r>
    </w:p>
    <w:p w:rsidRPr="0075650A" w:rsidR="004F3ADD" w:rsidP="0075650A" w:rsidRDefault="004F3ADD" w14:paraId="65C29201" w14:textId="77777777">
      <w:pPr>
        <w:keepLines/>
        <w:spacing w:after="240" w:line="240" w:lineRule="auto"/>
        <w:ind w:left="432" w:hanging="432"/>
        <w:rPr>
          <w:rFonts w:eastAsia="Times New Roman" w:cstheme="minorHAnsi"/>
        </w:rPr>
      </w:pPr>
      <w:r w:rsidRPr="0075650A">
        <w:rPr>
          <w:rFonts w:eastAsia="Times New Roman" w:cstheme="minorHAnsi"/>
        </w:rPr>
        <w:t>Baumgartner, R., and P. Rathbun. “Prepaid Monetary Incentives and Mail Survey Response Rates.” Paper presented at the Annual Conference of the American Association of Public Opinion Research, Norfolk, VA, 1997.</w:t>
      </w:r>
    </w:p>
    <w:p w:rsidRPr="0075650A" w:rsidR="009968D6" w:rsidP="0075650A" w:rsidRDefault="009968D6" w14:paraId="27272300" w14:textId="77777777">
      <w:pPr>
        <w:keepLines/>
        <w:spacing w:after="240" w:line="240" w:lineRule="auto"/>
        <w:ind w:left="432" w:hanging="432"/>
        <w:rPr>
          <w:rFonts w:eastAsia="Times New Roman" w:cstheme="minorHAnsi"/>
        </w:rPr>
      </w:pPr>
      <w:r w:rsidRPr="0075650A">
        <w:rPr>
          <w:rFonts w:eastAsia="Times New Roman" w:cstheme="minorHAnsi"/>
        </w:rPr>
        <w:t xml:space="preserve">Groves, R.M., E. Singer, and A.D. Corning. “A Leverage-Saliency Theory of Survey Participation: Description and Illustration.” </w:t>
      </w:r>
      <w:r w:rsidRPr="0075650A">
        <w:rPr>
          <w:rFonts w:eastAsia="Times New Roman" w:cstheme="minorHAnsi"/>
          <w:i/>
        </w:rPr>
        <w:t>Public Opinion Quarterly,</w:t>
      </w:r>
      <w:r w:rsidRPr="0075650A">
        <w:rPr>
          <w:rFonts w:eastAsia="Times New Roman" w:cstheme="minorHAnsi"/>
        </w:rPr>
        <w:t xml:space="preserve"> vol. 64, 2000, pp. 299–308.</w:t>
      </w:r>
    </w:p>
    <w:p w:rsidRPr="0075650A" w:rsidR="009968D6" w:rsidP="0075650A" w:rsidRDefault="009968D6" w14:paraId="126F2A05" w14:textId="77777777">
      <w:pPr>
        <w:keepLines/>
        <w:spacing w:after="240" w:line="240" w:lineRule="auto"/>
        <w:ind w:left="432" w:hanging="432"/>
        <w:rPr>
          <w:rFonts w:eastAsia="Times New Roman" w:cstheme="minorHAnsi"/>
        </w:rPr>
      </w:pPr>
      <w:r w:rsidRPr="0075650A">
        <w:rPr>
          <w:rFonts w:eastAsia="Times New Roman" w:cstheme="minorHAnsi"/>
        </w:rPr>
        <w:t xml:space="preserve">Martinez-Ebers, V. “Using Monetary Incentives with Hard-to-Reach Populations in Panel Surveys.” </w:t>
      </w:r>
      <w:r w:rsidRPr="0075650A">
        <w:rPr>
          <w:rFonts w:eastAsia="Times New Roman" w:cstheme="minorHAnsi"/>
          <w:i/>
        </w:rPr>
        <w:t>International Journal of Public Opinion Research,</w:t>
      </w:r>
      <w:r w:rsidRPr="0075650A">
        <w:rPr>
          <w:rFonts w:eastAsia="Times New Roman" w:cstheme="minorHAnsi"/>
        </w:rPr>
        <w:t xml:space="preserve"> vol. 9, 1997, pp. 77–86.</w:t>
      </w:r>
    </w:p>
    <w:p w:rsidRPr="007C7BDF" w:rsidR="007C7BDF" w:rsidP="007C7BDF" w:rsidRDefault="007C7BDF" w14:paraId="1CE4B504" w14:textId="77777777">
      <w:pPr>
        <w:keepLines/>
        <w:spacing w:after="240" w:line="240" w:lineRule="auto"/>
        <w:ind w:left="432" w:hanging="432"/>
        <w:rPr>
          <w:rFonts w:eastAsia="Times New Roman" w:cstheme="minorHAnsi"/>
        </w:rPr>
      </w:pPr>
      <w:r w:rsidRPr="007C7BDF">
        <w:rPr>
          <w:rFonts w:eastAsia="Times New Roman" w:cstheme="minorHAnsi"/>
        </w:rPr>
        <w:t xml:space="preserve">Mercer, Andrew; A. Caporaso; D. Cantor; and R. Townsend. 2015. How Much Gets You How Much? Monetary Incentives and Response Rates in Household Surveys. </w:t>
      </w:r>
      <w:r w:rsidRPr="007C7BDF">
        <w:rPr>
          <w:rFonts w:eastAsia="Times New Roman" w:cstheme="minorHAnsi"/>
          <w:i/>
          <w:iCs/>
        </w:rPr>
        <w:t>Public Opinion Quarterly</w:t>
      </w:r>
      <w:r w:rsidRPr="007C7BDF">
        <w:rPr>
          <w:rFonts w:eastAsia="Times New Roman" w:cstheme="minorHAnsi"/>
        </w:rPr>
        <w:t xml:space="preserve">, Vol. 79, No. 1, Spring 2015, pp. 105-129. </w:t>
      </w:r>
    </w:p>
    <w:p w:rsidRPr="0075650A" w:rsidR="009968D6" w:rsidP="0075650A" w:rsidRDefault="009968D6" w14:paraId="50A073F2" w14:textId="451C2B41">
      <w:pPr>
        <w:keepLines/>
        <w:spacing w:after="240" w:line="240" w:lineRule="auto"/>
        <w:ind w:left="432" w:hanging="432"/>
        <w:rPr>
          <w:rFonts w:eastAsia="Times New Roman" w:cstheme="minorHAnsi"/>
        </w:rPr>
      </w:pPr>
      <w:r w:rsidRPr="0075650A">
        <w:rPr>
          <w:rFonts w:eastAsia="Times New Roman" w:cstheme="minorHAnsi"/>
        </w:rPr>
        <w:t xml:space="preserve">Shettle, C, and G. Mooney. “Monetary Incentives in Government Surveys.” </w:t>
      </w:r>
      <w:r w:rsidRPr="0075650A">
        <w:rPr>
          <w:rFonts w:eastAsia="Times New Roman" w:cstheme="minorHAnsi"/>
          <w:i/>
        </w:rPr>
        <w:t>Journal of Official Statistics,</w:t>
      </w:r>
      <w:r w:rsidRPr="0075650A">
        <w:rPr>
          <w:rFonts w:eastAsia="Times New Roman" w:cstheme="minorHAnsi"/>
        </w:rPr>
        <w:t xml:space="preserve"> vol. 15, 1999, pp, 231–250.</w:t>
      </w:r>
    </w:p>
    <w:p w:rsidRPr="0075650A" w:rsidR="009968D6" w:rsidP="007C7BDF" w:rsidRDefault="009968D6" w14:paraId="13F98C16" w14:textId="77777777">
      <w:pPr>
        <w:pStyle w:val="Anchor"/>
      </w:pPr>
      <w:r w:rsidRPr="0075650A">
        <w:t>Singer, E. and R. Kulka. 2002. "Paying Respondents for Survey Participation," In Studies of</w:t>
      </w:r>
    </w:p>
    <w:p w:rsidRPr="0075650A" w:rsidR="009968D6" w:rsidP="007C7BDF" w:rsidRDefault="009968D6" w14:paraId="677FECC6" w14:textId="77777777">
      <w:pPr>
        <w:pStyle w:val="Anchor"/>
      </w:pPr>
      <w:r w:rsidRPr="0075650A">
        <w:t>Welfare Populations: Data Collection and Research Issues, eds. Michele Ver Ploeg, Robert A.</w:t>
      </w:r>
    </w:p>
    <w:p w:rsidRPr="0075650A" w:rsidR="009968D6" w:rsidP="007C7BDF" w:rsidRDefault="009968D6" w14:paraId="31AB5E64" w14:textId="77777777">
      <w:pPr>
        <w:pStyle w:val="Anchor"/>
      </w:pPr>
      <w:r w:rsidRPr="0075650A">
        <w:t>Moffitt, and Constance F. Citro, pp. 105-128. Washington: National Academy Press.</w:t>
      </w:r>
    </w:p>
    <w:p w:rsidRPr="0075650A" w:rsidR="009968D6" w:rsidP="0075650A" w:rsidRDefault="009968D6" w14:paraId="3CE6A3C9" w14:textId="77777777">
      <w:pPr>
        <w:keepLines/>
        <w:spacing w:after="240" w:line="240" w:lineRule="auto"/>
        <w:ind w:left="432" w:hanging="432"/>
        <w:rPr>
          <w:rFonts w:eastAsia="Times New Roman" w:cstheme="minorHAnsi"/>
        </w:rPr>
      </w:pPr>
      <w:r w:rsidRPr="0075650A">
        <w:rPr>
          <w:rFonts w:eastAsia="Times New Roman" w:cstheme="minorHAnsi"/>
        </w:rPr>
        <w:t>Singer, Eleanor, and C. Ye. 2013. "The Use and Effects of Incentives in Surveys." Annals of the American Academy of Political and Social Science, 645(1): 112-141.</w:t>
      </w:r>
    </w:p>
    <w:p w:rsidRPr="0075650A" w:rsidR="004D2B2E" w:rsidP="0075650A" w:rsidRDefault="004D2B2E" w14:paraId="788EC79F" w14:textId="77777777">
      <w:pPr>
        <w:pStyle w:val="References"/>
        <w:rPr>
          <w:rFonts w:asciiTheme="minorHAnsi" w:hAnsiTheme="minorHAnsi"/>
          <w:sz w:val="22"/>
          <w:szCs w:val="22"/>
        </w:rPr>
      </w:pPr>
      <w:r w:rsidRPr="0075650A">
        <w:rPr>
          <w:rFonts w:asciiTheme="minorHAnsi" w:hAnsiTheme="minorHAnsi"/>
          <w:sz w:val="22"/>
          <w:szCs w:val="22"/>
        </w:rPr>
        <w:t xml:space="preserve">U.S. Bureau of Labor Statistics (2021, November 10). “Consumer Price Index Summary” [Press release]. Retrieved from </w:t>
      </w:r>
      <w:hyperlink w:history="1" r:id="rId11">
        <w:r w:rsidRPr="0075650A">
          <w:rPr>
            <w:rStyle w:val="Hyperlink"/>
            <w:rFonts w:asciiTheme="minorHAnsi" w:hAnsiTheme="minorHAnsi"/>
            <w:sz w:val="22"/>
            <w:szCs w:val="22"/>
          </w:rPr>
          <w:t>Consumer Price Index Summary - 2021 M10 Results (bls.gov)</w:t>
        </w:r>
      </w:hyperlink>
    </w:p>
    <w:p w:rsidRPr="007231FA" w:rsidR="009968D6" w:rsidP="0075650A" w:rsidRDefault="009968D6" w14:paraId="25CD7F38" w14:textId="77777777">
      <w:pPr>
        <w:keepLines/>
        <w:spacing w:after="240" w:line="240" w:lineRule="auto"/>
        <w:ind w:left="432" w:hanging="432"/>
        <w:rPr>
          <w:rFonts w:eastAsia="Times New Roman" w:cstheme="minorHAnsi"/>
        </w:rPr>
      </w:pPr>
      <w:r w:rsidRPr="0075650A">
        <w:rPr>
          <w:rFonts w:eastAsia="Times New Roman" w:cstheme="minorHAnsi"/>
        </w:rPr>
        <w:t xml:space="preserve">What Works Clearinghouse. “Assessing Attrition Bias.” Available at: </w:t>
      </w:r>
      <w:hyperlink w:history="1" r:id="rId12">
        <w:r w:rsidRPr="0075650A">
          <w:rPr>
            <w:rFonts w:eastAsia="Times New Roman" w:cstheme="minorHAnsi"/>
            <w:color w:val="0000FF"/>
            <w:u w:val="single"/>
          </w:rPr>
          <w:t>https://ies.ed.gov/ncee/wwc/Docs/ReferenceResources/wwc_attrition_v2.1.pdf</w:t>
        </w:r>
      </w:hyperlink>
      <w:r w:rsidRPr="0075650A">
        <w:rPr>
          <w:rFonts w:eastAsia="Times New Roman" w:cstheme="minorHAnsi"/>
        </w:rPr>
        <w:t>. 2013</w:t>
      </w:r>
      <w:r w:rsidRPr="007231FA">
        <w:rPr>
          <w:rFonts w:eastAsia="Times New Roman" w:cstheme="minorHAnsi"/>
        </w:rPr>
        <w:t>.</w:t>
      </w:r>
    </w:p>
    <w:sectPr w:rsidRPr="007231FA" w:rsidR="009968D6"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F9FEF" w14:textId="77777777" w:rsidR="005D21D3" w:rsidRDefault="005D21D3" w:rsidP="0004063C">
      <w:pPr>
        <w:spacing w:after="0" w:line="240" w:lineRule="auto"/>
      </w:pPr>
      <w:r>
        <w:separator/>
      </w:r>
    </w:p>
  </w:endnote>
  <w:endnote w:type="continuationSeparator" w:id="0">
    <w:p w14:paraId="76BC1B90" w14:textId="77777777" w:rsidR="005D21D3" w:rsidRDefault="005D21D3" w:rsidP="0004063C">
      <w:pPr>
        <w:spacing w:after="0" w:line="240" w:lineRule="auto"/>
      </w:pPr>
      <w:r>
        <w:continuationSeparator/>
      </w:r>
    </w:p>
  </w:endnote>
  <w:endnote w:type="continuationNotice" w:id="1">
    <w:p w14:paraId="54E44C52" w14:textId="77777777" w:rsidR="005D21D3" w:rsidRDefault="005D2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442DB977" w:rsidR="002C7DE3" w:rsidRDefault="002C7DE3">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04723F22" w14:textId="77777777" w:rsidR="002C7DE3" w:rsidRDefault="002C7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85A79" w14:textId="77777777" w:rsidR="005D21D3" w:rsidRDefault="005D21D3" w:rsidP="0004063C">
      <w:pPr>
        <w:spacing w:after="0" w:line="240" w:lineRule="auto"/>
      </w:pPr>
      <w:r>
        <w:separator/>
      </w:r>
    </w:p>
  </w:footnote>
  <w:footnote w:type="continuationSeparator" w:id="0">
    <w:p w14:paraId="0B6CDF72" w14:textId="77777777" w:rsidR="005D21D3" w:rsidRDefault="005D21D3" w:rsidP="0004063C">
      <w:pPr>
        <w:spacing w:after="0" w:line="240" w:lineRule="auto"/>
      </w:pPr>
      <w:r>
        <w:continuationSeparator/>
      </w:r>
    </w:p>
  </w:footnote>
  <w:footnote w:type="continuationNotice" w:id="1">
    <w:p w14:paraId="19870A3F" w14:textId="77777777" w:rsidR="005D21D3" w:rsidRDefault="005D21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2C7DE3" w:rsidRPr="000D7D44" w:rsidRDefault="002C7DE3"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2C7DE3" w:rsidRPr="001D1C73" w:rsidRDefault="002C7DE3"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1822946"/>
    <w:lvl w:ilvl="0">
      <w:start w:val="1"/>
      <w:numFmt w:val="decimal"/>
      <w:pStyle w:val="ListNumber"/>
      <w:lvlText w:val="%1."/>
      <w:lvlJc w:val="left"/>
      <w:pPr>
        <w:tabs>
          <w:tab w:val="num" w:pos="360"/>
        </w:tabs>
        <w:ind w:left="360" w:hanging="360"/>
      </w:pPr>
      <w:rPr>
        <w:rFonts w:hint="default"/>
        <w:b/>
        <w:i w:val="0"/>
        <w:color w:val="auto"/>
      </w:rPr>
    </w:lvl>
  </w:abstractNum>
  <w:abstractNum w:abstractNumId="1" w15:restartNumberingAfterBreak="0">
    <w:nsid w:val="072847AE"/>
    <w:multiLevelType w:val="hybridMultilevel"/>
    <w:tmpl w:val="5E02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331A6"/>
    <w:multiLevelType w:val="hybridMultilevel"/>
    <w:tmpl w:val="3EC0CDCC"/>
    <w:lvl w:ilvl="0" w:tplc="33021B44">
      <w:numFmt w:val="bullet"/>
      <w:lvlText w:val="•"/>
      <w:lvlJc w:val="left"/>
      <w:pPr>
        <w:ind w:left="1125" w:hanging="76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00435"/>
    <w:multiLevelType w:val="hybridMultilevel"/>
    <w:tmpl w:val="4F2C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D7233"/>
    <w:multiLevelType w:val="hybridMultilevel"/>
    <w:tmpl w:val="01E639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A7A52"/>
    <w:multiLevelType w:val="hybridMultilevel"/>
    <w:tmpl w:val="F240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47CBD"/>
    <w:multiLevelType w:val="hybridMultilevel"/>
    <w:tmpl w:val="8A3E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A799E"/>
    <w:multiLevelType w:val="hybridMultilevel"/>
    <w:tmpl w:val="3D94E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6482A"/>
    <w:multiLevelType w:val="hybridMultilevel"/>
    <w:tmpl w:val="66A681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5037FB"/>
    <w:multiLevelType w:val="hybridMultilevel"/>
    <w:tmpl w:val="57B2A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7A1814"/>
    <w:multiLevelType w:val="hybridMultilevel"/>
    <w:tmpl w:val="CA3E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D36BE"/>
    <w:multiLevelType w:val="hybridMultilevel"/>
    <w:tmpl w:val="21D8CC3C"/>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14" w15:restartNumberingAfterBreak="0">
    <w:nsid w:val="439D1990"/>
    <w:multiLevelType w:val="hybridMultilevel"/>
    <w:tmpl w:val="7B501A86"/>
    <w:lvl w:ilvl="0" w:tplc="003C483E">
      <w:start w:val="1"/>
      <w:numFmt w:val="lowerLetter"/>
      <w:pStyle w:val="ListAlpha2"/>
      <w:lvlText w:val="%1."/>
      <w:lvlJc w:val="left"/>
      <w:pPr>
        <w:tabs>
          <w:tab w:val="num" w:pos="720"/>
        </w:tabs>
        <w:ind w:left="720" w:hanging="360"/>
      </w:pPr>
      <w:rPr>
        <w:rFonts w:asciiTheme="minorHAnsi" w:hAnsiTheme="minorHAnsi" w:cstheme="minorHAnsi"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15" w15:restartNumberingAfterBreak="0">
    <w:nsid w:val="504657CE"/>
    <w:multiLevelType w:val="hybridMultilevel"/>
    <w:tmpl w:val="81E6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9216A"/>
    <w:multiLevelType w:val="hybridMultilevel"/>
    <w:tmpl w:val="546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B36DF"/>
    <w:multiLevelType w:val="hybridMultilevel"/>
    <w:tmpl w:val="4F2C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B86638"/>
    <w:multiLevelType w:val="hybridMultilevel"/>
    <w:tmpl w:val="9BCA1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33CF7"/>
    <w:multiLevelType w:val="hybridMultilevel"/>
    <w:tmpl w:val="8B3E4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E7C3BD9"/>
    <w:multiLevelType w:val="hybridMultilevel"/>
    <w:tmpl w:val="890E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0"/>
  </w:num>
  <w:num w:numId="4">
    <w:abstractNumId w:val="13"/>
  </w:num>
  <w:num w:numId="5">
    <w:abstractNumId w:val="4"/>
  </w:num>
  <w:num w:numId="6">
    <w:abstractNumId w:val="5"/>
  </w:num>
  <w:num w:numId="7">
    <w:abstractNumId w:val="9"/>
  </w:num>
  <w:num w:numId="8">
    <w:abstractNumId w:val="3"/>
  </w:num>
  <w:num w:numId="9">
    <w:abstractNumId w:val="6"/>
  </w:num>
  <w:num w:numId="10">
    <w:abstractNumId w:val="24"/>
  </w:num>
  <w:num w:numId="11">
    <w:abstractNumId w:val="11"/>
  </w:num>
  <w:num w:numId="12">
    <w:abstractNumId w:val="10"/>
  </w:num>
  <w:num w:numId="13">
    <w:abstractNumId w:val="16"/>
  </w:num>
  <w:num w:numId="14">
    <w:abstractNumId w:val="18"/>
  </w:num>
  <w:num w:numId="15">
    <w:abstractNumId w:val="22"/>
  </w:num>
  <w:num w:numId="16">
    <w:abstractNumId w:val="21"/>
  </w:num>
  <w:num w:numId="17">
    <w:abstractNumId w:val="19"/>
  </w:num>
  <w:num w:numId="18">
    <w:abstractNumId w:val="17"/>
  </w:num>
  <w:num w:numId="19">
    <w:abstractNumId w:val="20"/>
  </w:num>
  <w:num w:numId="20">
    <w:abstractNumId w:val="23"/>
  </w:num>
  <w:num w:numId="21">
    <w:abstractNumId w:val="12"/>
  </w:num>
  <w:num w:numId="22">
    <w:abstractNumId w:val="15"/>
  </w:num>
  <w:num w:numId="23">
    <w:abstractNumId w:val="7"/>
  </w:num>
  <w:num w:numId="24">
    <w:abstractNumId w:val="1"/>
  </w:num>
  <w:num w:numId="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tjA0NDM0N7YwMDJX0lEKTi0uzszPAymwqAUA44TE7SwAAAA="/>
  </w:docVars>
  <w:rsids>
    <w:rsidRoot w:val="00B56589"/>
    <w:rsid w:val="0000048B"/>
    <w:rsid w:val="00000CD7"/>
    <w:rsid w:val="00000D8B"/>
    <w:rsid w:val="00000F87"/>
    <w:rsid w:val="000018D0"/>
    <w:rsid w:val="00002864"/>
    <w:rsid w:val="00002A91"/>
    <w:rsid w:val="00004A1A"/>
    <w:rsid w:val="00004BAB"/>
    <w:rsid w:val="0001092A"/>
    <w:rsid w:val="00011110"/>
    <w:rsid w:val="00011704"/>
    <w:rsid w:val="00011F72"/>
    <w:rsid w:val="000120B7"/>
    <w:rsid w:val="0001255D"/>
    <w:rsid w:val="00014AC7"/>
    <w:rsid w:val="00015610"/>
    <w:rsid w:val="000157B9"/>
    <w:rsid w:val="0001614F"/>
    <w:rsid w:val="00016363"/>
    <w:rsid w:val="00016426"/>
    <w:rsid w:val="00016455"/>
    <w:rsid w:val="00016AD0"/>
    <w:rsid w:val="0001745C"/>
    <w:rsid w:val="0001747D"/>
    <w:rsid w:val="00017577"/>
    <w:rsid w:val="000208AB"/>
    <w:rsid w:val="00020CD6"/>
    <w:rsid w:val="000210FD"/>
    <w:rsid w:val="0002157B"/>
    <w:rsid w:val="00021628"/>
    <w:rsid w:val="00026DBF"/>
    <w:rsid w:val="00026FC5"/>
    <w:rsid w:val="00027E79"/>
    <w:rsid w:val="00030A0C"/>
    <w:rsid w:val="00031845"/>
    <w:rsid w:val="000349B9"/>
    <w:rsid w:val="00034FA9"/>
    <w:rsid w:val="00035C6F"/>
    <w:rsid w:val="0004063C"/>
    <w:rsid w:val="00040742"/>
    <w:rsid w:val="0004076F"/>
    <w:rsid w:val="000412D7"/>
    <w:rsid w:val="0004247F"/>
    <w:rsid w:val="00044548"/>
    <w:rsid w:val="00044EAE"/>
    <w:rsid w:val="0004500D"/>
    <w:rsid w:val="00045189"/>
    <w:rsid w:val="0004519F"/>
    <w:rsid w:val="00045FDC"/>
    <w:rsid w:val="00046520"/>
    <w:rsid w:val="00046C42"/>
    <w:rsid w:val="0004795E"/>
    <w:rsid w:val="00047F2B"/>
    <w:rsid w:val="00050CCD"/>
    <w:rsid w:val="00051F75"/>
    <w:rsid w:val="00052CE7"/>
    <w:rsid w:val="0005433D"/>
    <w:rsid w:val="00055B44"/>
    <w:rsid w:val="000564CC"/>
    <w:rsid w:val="00056A1C"/>
    <w:rsid w:val="00057729"/>
    <w:rsid w:val="00060307"/>
    <w:rsid w:val="00060B24"/>
    <w:rsid w:val="000614BD"/>
    <w:rsid w:val="0006182B"/>
    <w:rsid w:val="000619BB"/>
    <w:rsid w:val="00061A59"/>
    <w:rsid w:val="00061C87"/>
    <w:rsid w:val="00062AFB"/>
    <w:rsid w:val="00063283"/>
    <w:rsid w:val="00063AAF"/>
    <w:rsid w:val="00063FD9"/>
    <w:rsid w:val="000655DD"/>
    <w:rsid w:val="000668D7"/>
    <w:rsid w:val="00066926"/>
    <w:rsid w:val="00066DA8"/>
    <w:rsid w:val="00066DFA"/>
    <w:rsid w:val="0006772B"/>
    <w:rsid w:val="0006786E"/>
    <w:rsid w:val="00071F79"/>
    <w:rsid w:val="00072262"/>
    <w:rsid w:val="0007251B"/>
    <w:rsid w:val="000733A5"/>
    <w:rsid w:val="00075D91"/>
    <w:rsid w:val="000766F7"/>
    <w:rsid w:val="00076786"/>
    <w:rsid w:val="000776C9"/>
    <w:rsid w:val="000808BD"/>
    <w:rsid w:val="00080FE2"/>
    <w:rsid w:val="000819E1"/>
    <w:rsid w:val="00081AE7"/>
    <w:rsid w:val="00081E7E"/>
    <w:rsid w:val="00082C5B"/>
    <w:rsid w:val="00083227"/>
    <w:rsid w:val="000833F4"/>
    <w:rsid w:val="00084136"/>
    <w:rsid w:val="00084902"/>
    <w:rsid w:val="00084EE7"/>
    <w:rsid w:val="00086CBE"/>
    <w:rsid w:val="00087D92"/>
    <w:rsid w:val="000904AD"/>
    <w:rsid w:val="000904E8"/>
    <w:rsid w:val="000906D6"/>
    <w:rsid w:val="00090812"/>
    <w:rsid w:val="000914FF"/>
    <w:rsid w:val="00092192"/>
    <w:rsid w:val="000921F0"/>
    <w:rsid w:val="00092527"/>
    <w:rsid w:val="00093A90"/>
    <w:rsid w:val="000955ED"/>
    <w:rsid w:val="000969FE"/>
    <w:rsid w:val="0009716B"/>
    <w:rsid w:val="00097BF1"/>
    <w:rsid w:val="000A012A"/>
    <w:rsid w:val="000A021F"/>
    <w:rsid w:val="000A07AA"/>
    <w:rsid w:val="000A112F"/>
    <w:rsid w:val="000A2C43"/>
    <w:rsid w:val="000A37E3"/>
    <w:rsid w:val="000A4CB3"/>
    <w:rsid w:val="000A5985"/>
    <w:rsid w:val="000B04A5"/>
    <w:rsid w:val="000B0B7B"/>
    <w:rsid w:val="000B1AE3"/>
    <w:rsid w:val="000B1D15"/>
    <w:rsid w:val="000B24FF"/>
    <w:rsid w:val="000B601A"/>
    <w:rsid w:val="000B69A5"/>
    <w:rsid w:val="000B6BB6"/>
    <w:rsid w:val="000B711E"/>
    <w:rsid w:val="000C03BE"/>
    <w:rsid w:val="000C0A99"/>
    <w:rsid w:val="000C0F14"/>
    <w:rsid w:val="000C15A8"/>
    <w:rsid w:val="000C17D8"/>
    <w:rsid w:val="000C218D"/>
    <w:rsid w:val="000C42B9"/>
    <w:rsid w:val="000C4613"/>
    <w:rsid w:val="000C548E"/>
    <w:rsid w:val="000C6152"/>
    <w:rsid w:val="000C6D97"/>
    <w:rsid w:val="000C72BB"/>
    <w:rsid w:val="000C779E"/>
    <w:rsid w:val="000D1578"/>
    <w:rsid w:val="000D2831"/>
    <w:rsid w:val="000D3A46"/>
    <w:rsid w:val="000D4258"/>
    <w:rsid w:val="000D44BC"/>
    <w:rsid w:val="000D49A5"/>
    <w:rsid w:val="000D4E9A"/>
    <w:rsid w:val="000D507C"/>
    <w:rsid w:val="000D5188"/>
    <w:rsid w:val="000D6D32"/>
    <w:rsid w:val="000D7288"/>
    <w:rsid w:val="000D73FD"/>
    <w:rsid w:val="000D782E"/>
    <w:rsid w:val="000D7D44"/>
    <w:rsid w:val="000D7F99"/>
    <w:rsid w:val="000E0537"/>
    <w:rsid w:val="000E2204"/>
    <w:rsid w:val="000E3967"/>
    <w:rsid w:val="000E4304"/>
    <w:rsid w:val="000E4DC1"/>
    <w:rsid w:val="000E6815"/>
    <w:rsid w:val="000E681A"/>
    <w:rsid w:val="000E7390"/>
    <w:rsid w:val="000F093A"/>
    <w:rsid w:val="000F09D4"/>
    <w:rsid w:val="000F0F6F"/>
    <w:rsid w:val="000F1E4A"/>
    <w:rsid w:val="000F1F05"/>
    <w:rsid w:val="000F31A9"/>
    <w:rsid w:val="000F3564"/>
    <w:rsid w:val="000F3C51"/>
    <w:rsid w:val="000F3F7E"/>
    <w:rsid w:val="000F5579"/>
    <w:rsid w:val="000F7299"/>
    <w:rsid w:val="000F7DDD"/>
    <w:rsid w:val="0010093C"/>
    <w:rsid w:val="00100D34"/>
    <w:rsid w:val="001012E5"/>
    <w:rsid w:val="00101527"/>
    <w:rsid w:val="00102247"/>
    <w:rsid w:val="00103915"/>
    <w:rsid w:val="00103EFD"/>
    <w:rsid w:val="00105240"/>
    <w:rsid w:val="001052CA"/>
    <w:rsid w:val="00105758"/>
    <w:rsid w:val="00105C56"/>
    <w:rsid w:val="00106D2C"/>
    <w:rsid w:val="00107CBB"/>
    <w:rsid w:val="00107D87"/>
    <w:rsid w:val="00110200"/>
    <w:rsid w:val="0011094A"/>
    <w:rsid w:val="00110B46"/>
    <w:rsid w:val="001118E4"/>
    <w:rsid w:val="00111D46"/>
    <w:rsid w:val="0011213F"/>
    <w:rsid w:val="001123FC"/>
    <w:rsid w:val="00112F3B"/>
    <w:rsid w:val="00115BD1"/>
    <w:rsid w:val="00116EF5"/>
    <w:rsid w:val="00117DB3"/>
    <w:rsid w:val="001208D0"/>
    <w:rsid w:val="00120BD8"/>
    <w:rsid w:val="001211E6"/>
    <w:rsid w:val="001212D4"/>
    <w:rsid w:val="00121597"/>
    <w:rsid w:val="00121913"/>
    <w:rsid w:val="001253F4"/>
    <w:rsid w:val="0012622F"/>
    <w:rsid w:val="001266C0"/>
    <w:rsid w:val="00130D24"/>
    <w:rsid w:val="001312CE"/>
    <w:rsid w:val="00131E61"/>
    <w:rsid w:val="0013307D"/>
    <w:rsid w:val="00134449"/>
    <w:rsid w:val="00134B0C"/>
    <w:rsid w:val="00134C81"/>
    <w:rsid w:val="00135300"/>
    <w:rsid w:val="001364CC"/>
    <w:rsid w:val="0013672F"/>
    <w:rsid w:val="00136951"/>
    <w:rsid w:val="00137021"/>
    <w:rsid w:val="001377E8"/>
    <w:rsid w:val="001405D3"/>
    <w:rsid w:val="00141CAC"/>
    <w:rsid w:val="00143808"/>
    <w:rsid w:val="00144112"/>
    <w:rsid w:val="00144E7F"/>
    <w:rsid w:val="00144EC1"/>
    <w:rsid w:val="0014565F"/>
    <w:rsid w:val="00146E29"/>
    <w:rsid w:val="00150F3A"/>
    <w:rsid w:val="0015155D"/>
    <w:rsid w:val="00151C0D"/>
    <w:rsid w:val="00153F88"/>
    <w:rsid w:val="001544BA"/>
    <w:rsid w:val="0015503C"/>
    <w:rsid w:val="0015738F"/>
    <w:rsid w:val="00157482"/>
    <w:rsid w:val="00157F43"/>
    <w:rsid w:val="0016019E"/>
    <w:rsid w:val="00160C87"/>
    <w:rsid w:val="001616A8"/>
    <w:rsid w:val="00162C90"/>
    <w:rsid w:val="001635C6"/>
    <w:rsid w:val="00163601"/>
    <w:rsid w:val="00163EB2"/>
    <w:rsid w:val="00164AA6"/>
    <w:rsid w:val="0016571C"/>
    <w:rsid w:val="00166520"/>
    <w:rsid w:val="001665A7"/>
    <w:rsid w:val="00166633"/>
    <w:rsid w:val="00167E08"/>
    <w:rsid w:val="001700BE"/>
    <w:rsid w:val="001701E2"/>
    <w:rsid w:val="001707D8"/>
    <w:rsid w:val="00174ADB"/>
    <w:rsid w:val="00175B89"/>
    <w:rsid w:val="001763EF"/>
    <w:rsid w:val="00176A22"/>
    <w:rsid w:val="00176E15"/>
    <w:rsid w:val="0018435F"/>
    <w:rsid w:val="00184A67"/>
    <w:rsid w:val="001872F5"/>
    <w:rsid w:val="001879D9"/>
    <w:rsid w:val="00190881"/>
    <w:rsid w:val="00191514"/>
    <w:rsid w:val="00192FFD"/>
    <w:rsid w:val="00193A4A"/>
    <w:rsid w:val="00193CF8"/>
    <w:rsid w:val="0019403F"/>
    <w:rsid w:val="00195D24"/>
    <w:rsid w:val="00195E5D"/>
    <w:rsid w:val="00196862"/>
    <w:rsid w:val="00196DF6"/>
    <w:rsid w:val="00197030"/>
    <w:rsid w:val="001A1BBE"/>
    <w:rsid w:val="001A222A"/>
    <w:rsid w:val="001A2BDE"/>
    <w:rsid w:val="001A3225"/>
    <w:rsid w:val="001A3E90"/>
    <w:rsid w:val="001A4E0D"/>
    <w:rsid w:val="001A51FA"/>
    <w:rsid w:val="001A5C62"/>
    <w:rsid w:val="001A6422"/>
    <w:rsid w:val="001A6750"/>
    <w:rsid w:val="001A6E2E"/>
    <w:rsid w:val="001A70F5"/>
    <w:rsid w:val="001B067A"/>
    <w:rsid w:val="001B0A76"/>
    <w:rsid w:val="001B2498"/>
    <w:rsid w:val="001B3698"/>
    <w:rsid w:val="001B3E9D"/>
    <w:rsid w:val="001B5172"/>
    <w:rsid w:val="001B64F1"/>
    <w:rsid w:val="001C006A"/>
    <w:rsid w:val="001C0985"/>
    <w:rsid w:val="001C0B72"/>
    <w:rsid w:val="001C1D7D"/>
    <w:rsid w:val="001C2CF8"/>
    <w:rsid w:val="001C3CD0"/>
    <w:rsid w:val="001C45C8"/>
    <w:rsid w:val="001C4BAA"/>
    <w:rsid w:val="001C4D3B"/>
    <w:rsid w:val="001C5525"/>
    <w:rsid w:val="001C77B3"/>
    <w:rsid w:val="001C7D06"/>
    <w:rsid w:val="001D041A"/>
    <w:rsid w:val="001D1248"/>
    <w:rsid w:val="001D1C73"/>
    <w:rsid w:val="001D1D9A"/>
    <w:rsid w:val="001D24C2"/>
    <w:rsid w:val="001D3538"/>
    <w:rsid w:val="001D36A2"/>
    <w:rsid w:val="001D3F23"/>
    <w:rsid w:val="001D4B3A"/>
    <w:rsid w:val="001D506A"/>
    <w:rsid w:val="001D524C"/>
    <w:rsid w:val="001D525B"/>
    <w:rsid w:val="001D579D"/>
    <w:rsid w:val="001D5FF5"/>
    <w:rsid w:val="001D6153"/>
    <w:rsid w:val="001D7139"/>
    <w:rsid w:val="001D7699"/>
    <w:rsid w:val="001E0609"/>
    <w:rsid w:val="001E0703"/>
    <w:rsid w:val="001E270F"/>
    <w:rsid w:val="001E38A4"/>
    <w:rsid w:val="001E3BD9"/>
    <w:rsid w:val="001E6064"/>
    <w:rsid w:val="001E6BD9"/>
    <w:rsid w:val="001E7600"/>
    <w:rsid w:val="001F0895"/>
    <w:rsid w:val="001F0B43"/>
    <w:rsid w:val="001F0BE6"/>
    <w:rsid w:val="001F1857"/>
    <w:rsid w:val="001F20F4"/>
    <w:rsid w:val="001F2782"/>
    <w:rsid w:val="001F28F5"/>
    <w:rsid w:val="001F38D0"/>
    <w:rsid w:val="001F4305"/>
    <w:rsid w:val="001F57F5"/>
    <w:rsid w:val="001F5981"/>
    <w:rsid w:val="001F6360"/>
    <w:rsid w:val="002027A6"/>
    <w:rsid w:val="002030D0"/>
    <w:rsid w:val="002032AA"/>
    <w:rsid w:val="0020401C"/>
    <w:rsid w:val="00204931"/>
    <w:rsid w:val="002058A1"/>
    <w:rsid w:val="00205C21"/>
    <w:rsid w:val="0020629A"/>
    <w:rsid w:val="00206CE5"/>
    <w:rsid w:val="00206E11"/>
    <w:rsid w:val="00206FE3"/>
    <w:rsid w:val="00207554"/>
    <w:rsid w:val="002075E2"/>
    <w:rsid w:val="00207CCB"/>
    <w:rsid w:val="00210227"/>
    <w:rsid w:val="00210D3B"/>
    <w:rsid w:val="00211261"/>
    <w:rsid w:val="00212F0C"/>
    <w:rsid w:val="002145A4"/>
    <w:rsid w:val="00214872"/>
    <w:rsid w:val="00215113"/>
    <w:rsid w:val="0021546E"/>
    <w:rsid w:val="00215A5D"/>
    <w:rsid w:val="00216AA8"/>
    <w:rsid w:val="00217785"/>
    <w:rsid w:val="0021792E"/>
    <w:rsid w:val="00217C96"/>
    <w:rsid w:val="00217F79"/>
    <w:rsid w:val="002200B8"/>
    <w:rsid w:val="00220665"/>
    <w:rsid w:val="00220772"/>
    <w:rsid w:val="0022099C"/>
    <w:rsid w:val="002209E3"/>
    <w:rsid w:val="00220D68"/>
    <w:rsid w:val="002231FF"/>
    <w:rsid w:val="0022368C"/>
    <w:rsid w:val="002243C2"/>
    <w:rsid w:val="00224AE0"/>
    <w:rsid w:val="00225B15"/>
    <w:rsid w:val="00226128"/>
    <w:rsid w:val="00226C97"/>
    <w:rsid w:val="00226EFF"/>
    <w:rsid w:val="0022761D"/>
    <w:rsid w:val="00227628"/>
    <w:rsid w:val="0022779F"/>
    <w:rsid w:val="00227966"/>
    <w:rsid w:val="002320B7"/>
    <w:rsid w:val="00233B7E"/>
    <w:rsid w:val="00234674"/>
    <w:rsid w:val="002346EC"/>
    <w:rsid w:val="0023508B"/>
    <w:rsid w:val="002355A4"/>
    <w:rsid w:val="002357BB"/>
    <w:rsid w:val="0023796A"/>
    <w:rsid w:val="002379EA"/>
    <w:rsid w:val="002406C0"/>
    <w:rsid w:val="0024127F"/>
    <w:rsid w:val="00242FD8"/>
    <w:rsid w:val="00243344"/>
    <w:rsid w:val="00244B55"/>
    <w:rsid w:val="00245399"/>
    <w:rsid w:val="0024679A"/>
    <w:rsid w:val="0025002A"/>
    <w:rsid w:val="00250650"/>
    <w:rsid w:val="00250D3B"/>
    <w:rsid w:val="002517BB"/>
    <w:rsid w:val="00251938"/>
    <w:rsid w:val="002525E0"/>
    <w:rsid w:val="00252F92"/>
    <w:rsid w:val="00253C47"/>
    <w:rsid w:val="002549F4"/>
    <w:rsid w:val="00255271"/>
    <w:rsid w:val="00256E24"/>
    <w:rsid w:val="002577C0"/>
    <w:rsid w:val="00260F37"/>
    <w:rsid w:val="0026167D"/>
    <w:rsid w:val="00262497"/>
    <w:rsid w:val="00262584"/>
    <w:rsid w:val="00262A20"/>
    <w:rsid w:val="00263E41"/>
    <w:rsid w:val="00263FBA"/>
    <w:rsid w:val="00264448"/>
    <w:rsid w:val="00265491"/>
    <w:rsid w:val="00265E67"/>
    <w:rsid w:val="00267656"/>
    <w:rsid w:val="002717A1"/>
    <w:rsid w:val="00271EA4"/>
    <w:rsid w:val="00273C35"/>
    <w:rsid w:val="00273DF4"/>
    <w:rsid w:val="00273F92"/>
    <w:rsid w:val="002761EE"/>
    <w:rsid w:val="00276CE2"/>
    <w:rsid w:val="00277019"/>
    <w:rsid w:val="00281EE8"/>
    <w:rsid w:val="002822A0"/>
    <w:rsid w:val="00282D4F"/>
    <w:rsid w:val="002835B1"/>
    <w:rsid w:val="00285A48"/>
    <w:rsid w:val="00286E52"/>
    <w:rsid w:val="00287AF1"/>
    <w:rsid w:val="0029082D"/>
    <w:rsid w:val="00291139"/>
    <w:rsid w:val="0029117D"/>
    <w:rsid w:val="00291B87"/>
    <w:rsid w:val="002920E0"/>
    <w:rsid w:val="00292459"/>
    <w:rsid w:val="0029380D"/>
    <w:rsid w:val="002943B2"/>
    <w:rsid w:val="002947B0"/>
    <w:rsid w:val="00295458"/>
    <w:rsid w:val="00295C86"/>
    <w:rsid w:val="002964CC"/>
    <w:rsid w:val="00296A64"/>
    <w:rsid w:val="00297B63"/>
    <w:rsid w:val="002A0397"/>
    <w:rsid w:val="002A1666"/>
    <w:rsid w:val="002A30FB"/>
    <w:rsid w:val="002A41C6"/>
    <w:rsid w:val="002A464F"/>
    <w:rsid w:val="002A5C74"/>
    <w:rsid w:val="002A6181"/>
    <w:rsid w:val="002A690F"/>
    <w:rsid w:val="002A6B38"/>
    <w:rsid w:val="002A6FEC"/>
    <w:rsid w:val="002A76B3"/>
    <w:rsid w:val="002B0595"/>
    <w:rsid w:val="002B06A5"/>
    <w:rsid w:val="002B3ECD"/>
    <w:rsid w:val="002B785B"/>
    <w:rsid w:val="002B7E1E"/>
    <w:rsid w:val="002C007A"/>
    <w:rsid w:val="002C0F4B"/>
    <w:rsid w:val="002C118C"/>
    <w:rsid w:val="002C163B"/>
    <w:rsid w:val="002C1958"/>
    <w:rsid w:val="002C1E30"/>
    <w:rsid w:val="002C2025"/>
    <w:rsid w:val="002C2418"/>
    <w:rsid w:val="002C2BA5"/>
    <w:rsid w:val="002C4B37"/>
    <w:rsid w:val="002C4BA6"/>
    <w:rsid w:val="002C5048"/>
    <w:rsid w:val="002C6D3D"/>
    <w:rsid w:val="002C7013"/>
    <w:rsid w:val="002C73D5"/>
    <w:rsid w:val="002C761D"/>
    <w:rsid w:val="002C77D5"/>
    <w:rsid w:val="002C7DE3"/>
    <w:rsid w:val="002D0412"/>
    <w:rsid w:val="002D07ED"/>
    <w:rsid w:val="002D0E0F"/>
    <w:rsid w:val="002D256A"/>
    <w:rsid w:val="002D30C3"/>
    <w:rsid w:val="002D500F"/>
    <w:rsid w:val="002D6EB2"/>
    <w:rsid w:val="002D712E"/>
    <w:rsid w:val="002D7637"/>
    <w:rsid w:val="002D7646"/>
    <w:rsid w:val="002D7C2E"/>
    <w:rsid w:val="002E09BD"/>
    <w:rsid w:val="002E18EC"/>
    <w:rsid w:val="002E3A7B"/>
    <w:rsid w:val="002E58A9"/>
    <w:rsid w:val="002E6339"/>
    <w:rsid w:val="002E68D8"/>
    <w:rsid w:val="002E69C9"/>
    <w:rsid w:val="002E6CCF"/>
    <w:rsid w:val="002E7E31"/>
    <w:rsid w:val="002F0A40"/>
    <w:rsid w:val="002F0A92"/>
    <w:rsid w:val="002F142D"/>
    <w:rsid w:val="002F1486"/>
    <w:rsid w:val="002F14CF"/>
    <w:rsid w:val="002F33D0"/>
    <w:rsid w:val="002F3636"/>
    <w:rsid w:val="002F3941"/>
    <w:rsid w:val="002F47F9"/>
    <w:rsid w:val="002F4F9F"/>
    <w:rsid w:val="002F57F5"/>
    <w:rsid w:val="002F601C"/>
    <w:rsid w:val="002F615F"/>
    <w:rsid w:val="002F65D8"/>
    <w:rsid w:val="002F69D2"/>
    <w:rsid w:val="002F7070"/>
    <w:rsid w:val="002F70B8"/>
    <w:rsid w:val="0030069A"/>
    <w:rsid w:val="00300722"/>
    <w:rsid w:val="00300C6D"/>
    <w:rsid w:val="00302AF9"/>
    <w:rsid w:val="0030316D"/>
    <w:rsid w:val="00303C6E"/>
    <w:rsid w:val="00304178"/>
    <w:rsid w:val="00304852"/>
    <w:rsid w:val="00304A09"/>
    <w:rsid w:val="00304F90"/>
    <w:rsid w:val="003068A9"/>
    <w:rsid w:val="0031011C"/>
    <w:rsid w:val="00310888"/>
    <w:rsid w:val="003113B6"/>
    <w:rsid w:val="003116DF"/>
    <w:rsid w:val="00311AE1"/>
    <w:rsid w:val="00312F79"/>
    <w:rsid w:val="00314514"/>
    <w:rsid w:val="00316A74"/>
    <w:rsid w:val="003170F4"/>
    <w:rsid w:val="00317F7F"/>
    <w:rsid w:val="0032240F"/>
    <w:rsid w:val="00323628"/>
    <w:rsid w:val="00323821"/>
    <w:rsid w:val="00323D60"/>
    <w:rsid w:val="003258FF"/>
    <w:rsid w:val="0033032C"/>
    <w:rsid w:val="003305B3"/>
    <w:rsid w:val="00332900"/>
    <w:rsid w:val="00334454"/>
    <w:rsid w:val="00334D0F"/>
    <w:rsid w:val="00335B08"/>
    <w:rsid w:val="003361C3"/>
    <w:rsid w:val="00337E5B"/>
    <w:rsid w:val="00340C6E"/>
    <w:rsid w:val="00340F3D"/>
    <w:rsid w:val="003414FD"/>
    <w:rsid w:val="00341C6E"/>
    <w:rsid w:val="003420B6"/>
    <w:rsid w:val="00342E2F"/>
    <w:rsid w:val="00342F90"/>
    <w:rsid w:val="0034330A"/>
    <w:rsid w:val="0034355D"/>
    <w:rsid w:val="00343653"/>
    <w:rsid w:val="00343729"/>
    <w:rsid w:val="00343D34"/>
    <w:rsid w:val="00344033"/>
    <w:rsid w:val="00344B71"/>
    <w:rsid w:val="00344D96"/>
    <w:rsid w:val="003451EB"/>
    <w:rsid w:val="00346379"/>
    <w:rsid w:val="00347B5A"/>
    <w:rsid w:val="00347D9B"/>
    <w:rsid w:val="003504C7"/>
    <w:rsid w:val="0035096F"/>
    <w:rsid w:val="003531BB"/>
    <w:rsid w:val="003555C3"/>
    <w:rsid w:val="0035656A"/>
    <w:rsid w:val="00360770"/>
    <w:rsid w:val="0036083D"/>
    <w:rsid w:val="00361351"/>
    <w:rsid w:val="0036347D"/>
    <w:rsid w:val="00363E1E"/>
    <w:rsid w:val="00364D7D"/>
    <w:rsid w:val="003653BC"/>
    <w:rsid w:val="00366052"/>
    <w:rsid w:val="00366E14"/>
    <w:rsid w:val="00366FDC"/>
    <w:rsid w:val="0036728E"/>
    <w:rsid w:val="00367C04"/>
    <w:rsid w:val="00370163"/>
    <w:rsid w:val="003703B4"/>
    <w:rsid w:val="00370EFC"/>
    <w:rsid w:val="003710CF"/>
    <w:rsid w:val="00372972"/>
    <w:rsid w:val="00373D2F"/>
    <w:rsid w:val="00373E78"/>
    <w:rsid w:val="003750A8"/>
    <w:rsid w:val="00375194"/>
    <w:rsid w:val="003767E4"/>
    <w:rsid w:val="00377415"/>
    <w:rsid w:val="00381949"/>
    <w:rsid w:val="003822A2"/>
    <w:rsid w:val="00385459"/>
    <w:rsid w:val="0038576E"/>
    <w:rsid w:val="003858E8"/>
    <w:rsid w:val="00387565"/>
    <w:rsid w:val="00391A23"/>
    <w:rsid w:val="00392663"/>
    <w:rsid w:val="003933AE"/>
    <w:rsid w:val="0039351D"/>
    <w:rsid w:val="003941AE"/>
    <w:rsid w:val="00394F29"/>
    <w:rsid w:val="00395CA2"/>
    <w:rsid w:val="00397E21"/>
    <w:rsid w:val="003A07C0"/>
    <w:rsid w:val="003A0F97"/>
    <w:rsid w:val="003A2725"/>
    <w:rsid w:val="003A294B"/>
    <w:rsid w:val="003A3506"/>
    <w:rsid w:val="003A36C1"/>
    <w:rsid w:val="003A4683"/>
    <w:rsid w:val="003A5832"/>
    <w:rsid w:val="003A5D24"/>
    <w:rsid w:val="003A5F3B"/>
    <w:rsid w:val="003A7774"/>
    <w:rsid w:val="003B028C"/>
    <w:rsid w:val="003B262C"/>
    <w:rsid w:val="003B38E3"/>
    <w:rsid w:val="003B4F9A"/>
    <w:rsid w:val="003B61EF"/>
    <w:rsid w:val="003B6FDB"/>
    <w:rsid w:val="003C29BF"/>
    <w:rsid w:val="003C355F"/>
    <w:rsid w:val="003C3BA5"/>
    <w:rsid w:val="003C4292"/>
    <w:rsid w:val="003C49D6"/>
    <w:rsid w:val="003C5F48"/>
    <w:rsid w:val="003C7358"/>
    <w:rsid w:val="003D0456"/>
    <w:rsid w:val="003D06A4"/>
    <w:rsid w:val="003D07BC"/>
    <w:rsid w:val="003D0ADF"/>
    <w:rsid w:val="003D1BDB"/>
    <w:rsid w:val="003D6BA8"/>
    <w:rsid w:val="003D6E65"/>
    <w:rsid w:val="003D6FC1"/>
    <w:rsid w:val="003E1038"/>
    <w:rsid w:val="003E1B60"/>
    <w:rsid w:val="003E2B08"/>
    <w:rsid w:val="003E2B18"/>
    <w:rsid w:val="003E3366"/>
    <w:rsid w:val="003E3AB3"/>
    <w:rsid w:val="003E4D4E"/>
    <w:rsid w:val="003E51D3"/>
    <w:rsid w:val="003E56A0"/>
    <w:rsid w:val="003E57B1"/>
    <w:rsid w:val="003E61F6"/>
    <w:rsid w:val="003E67E2"/>
    <w:rsid w:val="003F054D"/>
    <w:rsid w:val="003F0975"/>
    <w:rsid w:val="003F0C7D"/>
    <w:rsid w:val="003F0E2F"/>
    <w:rsid w:val="003F0E80"/>
    <w:rsid w:val="003F15DB"/>
    <w:rsid w:val="003F1A32"/>
    <w:rsid w:val="003F1A77"/>
    <w:rsid w:val="003F3EFD"/>
    <w:rsid w:val="003F4107"/>
    <w:rsid w:val="003F47CC"/>
    <w:rsid w:val="003F5243"/>
    <w:rsid w:val="003F6C61"/>
    <w:rsid w:val="003F6EB2"/>
    <w:rsid w:val="00402C5E"/>
    <w:rsid w:val="00402F39"/>
    <w:rsid w:val="0040353D"/>
    <w:rsid w:val="00404BE4"/>
    <w:rsid w:val="00404E4D"/>
    <w:rsid w:val="00405CEC"/>
    <w:rsid w:val="0040647E"/>
    <w:rsid w:val="004072BA"/>
    <w:rsid w:val="00407537"/>
    <w:rsid w:val="00407583"/>
    <w:rsid w:val="00407B9B"/>
    <w:rsid w:val="004128A5"/>
    <w:rsid w:val="00413A1E"/>
    <w:rsid w:val="00414838"/>
    <w:rsid w:val="004153E7"/>
    <w:rsid w:val="004165BD"/>
    <w:rsid w:val="00420733"/>
    <w:rsid w:val="00420770"/>
    <w:rsid w:val="0042162E"/>
    <w:rsid w:val="0042220D"/>
    <w:rsid w:val="004224AA"/>
    <w:rsid w:val="00423BCB"/>
    <w:rsid w:val="0042449F"/>
    <w:rsid w:val="004258BC"/>
    <w:rsid w:val="00425BFD"/>
    <w:rsid w:val="00425F88"/>
    <w:rsid w:val="004267FF"/>
    <w:rsid w:val="00426DD4"/>
    <w:rsid w:val="0042759F"/>
    <w:rsid w:val="00427F4D"/>
    <w:rsid w:val="00430B1B"/>
    <w:rsid w:val="00431484"/>
    <w:rsid w:val="00431FFD"/>
    <w:rsid w:val="004328E4"/>
    <w:rsid w:val="00433086"/>
    <w:rsid w:val="0043377A"/>
    <w:rsid w:val="00433A2C"/>
    <w:rsid w:val="00434791"/>
    <w:rsid w:val="00435103"/>
    <w:rsid w:val="004352E7"/>
    <w:rsid w:val="004353B0"/>
    <w:rsid w:val="00435F68"/>
    <w:rsid w:val="0043711C"/>
    <w:rsid w:val="0043713F"/>
    <w:rsid w:val="004379B6"/>
    <w:rsid w:val="00437C66"/>
    <w:rsid w:val="00440D3C"/>
    <w:rsid w:val="00441414"/>
    <w:rsid w:val="00442417"/>
    <w:rsid w:val="00443FBE"/>
    <w:rsid w:val="00444055"/>
    <w:rsid w:val="0044428E"/>
    <w:rsid w:val="004447DB"/>
    <w:rsid w:val="00446465"/>
    <w:rsid w:val="004467B7"/>
    <w:rsid w:val="00446CC7"/>
    <w:rsid w:val="00446CD8"/>
    <w:rsid w:val="00446D5E"/>
    <w:rsid w:val="00447D32"/>
    <w:rsid w:val="0045038D"/>
    <w:rsid w:val="00450501"/>
    <w:rsid w:val="0045073C"/>
    <w:rsid w:val="00450D28"/>
    <w:rsid w:val="00451446"/>
    <w:rsid w:val="00451539"/>
    <w:rsid w:val="004518E5"/>
    <w:rsid w:val="00452207"/>
    <w:rsid w:val="004526BF"/>
    <w:rsid w:val="0045289B"/>
    <w:rsid w:val="00452981"/>
    <w:rsid w:val="004539EC"/>
    <w:rsid w:val="00454098"/>
    <w:rsid w:val="004570DB"/>
    <w:rsid w:val="00457F53"/>
    <w:rsid w:val="00460130"/>
    <w:rsid w:val="00460D54"/>
    <w:rsid w:val="00461D3E"/>
    <w:rsid w:val="00462A5E"/>
    <w:rsid w:val="004631BB"/>
    <w:rsid w:val="00463855"/>
    <w:rsid w:val="00464DA3"/>
    <w:rsid w:val="004650A3"/>
    <w:rsid w:val="00465735"/>
    <w:rsid w:val="004706CC"/>
    <w:rsid w:val="004714B2"/>
    <w:rsid w:val="00474648"/>
    <w:rsid w:val="004756AD"/>
    <w:rsid w:val="0047742D"/>
    <w:rsid w:val="00480C25"/>
    <w:rsid w:val="00481600"/>
    <w:rsid w:val="004829A1"/>
    <w:rsid w:val="00483757"/>
    <w:rsid w:val="00483983"/>
    <w:rsid w:val="00484201"/>
    <w:rsid w:val="00486422"/>
    <w:rsid w:val="00487253"/>
    <w:rsid w:val="0049084F"/>
    <w:rsid w:val="00490B03"/>
    <w:rsid w:val="00491A16"/>
    <w:rsid w:val="00491B09"/>
    <w:rsid w:val="00493791"/>
    <w:rsid w:val="00493DEF"/>
    <w:rsid w:val="00493F05"/>
    <w:rsid w:val="00494DF2"/>
    <w:rsid w:val="004A0E0F"/>
    <w:rsid w:val="004A1BB3"/>
    <w:rsid w:val="004A2998"/>
    <w:rsid w:val="004A2DBF"/>
    <w:rsid w:val="004A487C"/>
    <w:rsid w:val="004A4952"/>
    <w:rsid w:val="004A59A5"/>
    <w:rsid w:val="004A5CB8"/>
    <w:rsid w:val="004A6B38"/>
    <w:rsid w:val="004B0B31"/>
    <w:rsid w:val="004B397A"/>
    <w:rsid w:val="004B4B9A"/>
    <w:rsid w:val="004B75AC"/>
    <w:rsid w:val="004B7670"/>
    <w:rsid w:val="004C00F0"/>
    <w:rsid w:val="004C0586"/>
    <w:rsid w:val="004C1377"/>
    <w:rsid w:val="004C1DB4"/>
    <w:rsid w:val="004C21C5"/>
    <w:rsid w:val="004C25A3"/>
    <w:rsid w:val="004C3644"/>
    <w:rsid w:val="004C4B70"/>
    <w:rsid w:val="004C5970"/>
    <w:rsid w:val="004C65A7"/>
    <w:rsid w:val="004D0936"/>
    <w:rsid w:val="004D12DD"/>
    <w:rsid w:val="004D182F"/>
    <w:rsid w:val="004D25D8"/>
    <w:rsid w:val="004D2B2E"/>
    <w:rsid w:val="004D33CA"/>
    <w:rsid w:val="004D428A"/>
    <w:rsid w:val="004D52D7"/>
    <w:rsid w:val="004D5CC0"/>
    <w:rsid w:val="004D61A4"/>
    <w:rsid w:val="004D64B5"/>
    <w:rsid w:val="004E1640"/>
    <w:rsid w:val="004E1C21"/>
    <w:rsid w:val="004E2423"/>
    <w:rsid w:val="004E2657"/>
    <w:rsid w:val="004E27AE"/>
    <w:rsid w:val="004E33A2"/>
    <w:rsid w:val="004E377B"/>
    <w:rsid w:val="004E43B0"/>
    <w:rsid w:val="004E4C1D"/>
    <w:rsid w:val="004E5778"/>
    <w:rsid w:val="004E5EBE"/>
    <w:rsid w:val="004E6743"/>
    <w:rsid w:val="004E68BA"/>
    <w:rsid w:val="004E68BB"/>
    <w:rsid w:val="004E7C86"/>
    <w:rsid w:val="004E7DAB"/>
    <w:rsid w:val="004E7ED8"/>
    <w:rsid w:val="004F0488"/>
    <w:rsid w:val="004F1D9B"/>
    <w:rsid w:val="004F2B8A"/>
    <w:rsid w:val="004F3ADD"/>
    <w:rsid w:val="004F4054"/>
    <w:rsid w:val="004F6ED0"/>
    <w:rsid w:val="00500BF1"/>
    <w:rsid w:val="00502896"/>
    <w:rsid w:val="005035A6"/>
    <w:rsid w:val="0050376D"/>
    <w:rsid w:val="00507DD4"/>
    <w:rsid w:val="005100B2"/>
    <w:rsid w:val="00512C25"/>
    <w:rsid w:val="005132D0"/>
    <w:rsid w:val="0051401E"/>
    <w:rsid w:val="005144D4"/>
    <w:rsid w:val="0051489D"/>
    <w:rsid w:val="00515974"/>
    <w:rsid w:val="00517479"/>
    <w:rsid w:val="00517DB6"/>
    <w:rsid w:val="00520F55"/>
    <w:rsid w:val="00521309"/>
    <w:rsid w:val="00524B4A"/>
    <w:rsid w:val="005253DE"/>
    <w:rsid w:val="00525B5D"/>
    <w:rsid w:val="00527144"/>
    <w:rsid w:val="00527FD5"/>
    <w:rsid w:val="005302CB"/>
    <w:rsid w:val="00530830"/>
    <w:rsid w:val="00531CCF"/>
    <w:rsid w:val="005326EF"/>
    <w:rsid w:val="00533086"/>
    <w:rsid w:val="00535660"/>
    <w:rsid w:val="005364C9"/>
    <w:rsid w:val="00536839"/>
    <w:rsid w:val="005377B5"/>
    <w:rsid w:val="00540CF3"/>
    <w:rsid w:val="00540DE8"/>
    <w:rsid w:val="005416A8"/>
    <w:rsid w:val="00541A13"/>
    <w:rsid w:val="00542D21"/>
    <w:rsid w:val="00544CC8"/>
    <w:rsid w:val="00546FDA"/>
    <w:rsid w:val="00547196"/>
    <w:rsid w:val="005502F9"/>
    <w:rsid w:val="00550D26"/>
    <w:rsid w:val="00550DC1"/>
    <w:rsid w:val="00551E74"/>
    <w:rsid w:val="005520EE"/>
    <w:rsid w:val="00552E5A"/>
    <w:rsid w:val="00553863"/>
    <w:rsid w:val="005539F6"/>
    <w:rsid w:val="0055434C"/>
    <w:rsid w:val="005545FA"/>
    <w:rsid w:val="00555608"/>
    <w:rsid w:val="00555785"/>
    <w:rsid w:val="00555817"/>
    <w:rsid w:val="00560B5F"/>
    <w:rsid w:val="00560D39"/>
    <w:rsid w:val="005627FB"/>
    <w:rsid w:val="0056377C"/>
    <w:rsid w:val="005638D8"/>
    <w:rsid w:val="00564051"/>
    <w:rsid w:val="005640AE"/>
    <w:rsid w:val="00564DFB"/>
    <w:rsid w:val="00566146"/>
    <w:rsid w:val="005668C3"/>
    <w:rsid w:val="00566DE2"/>
    <w:rsid w:val="00567C62"/>
    <w:rsid w:val="00570491"/>
    <w:rsid w:val="00571A6E"/>
    <w:rsid w:val="00571F10"/>
    <w:rsid w:val="00571FAC"/>
    <w:rsid w:val="0057305F"/>
    <w:rsid w:val="00573760"/>
    <w:rsid w:val="00573FF5"/>
    <w:rsid w:val="0057485A"/>
    <w:rsid w:val="00575821"/>
    <w:rsid w:val="00576C14"/>
    <w:rsid w:val="00577366"/>
    <w:rsid w:val="005778E8"/>
    <w:rsid w:val="00580CAA"/>
    <w:rsid w:val="00580CC0"/>
    <w:rsid w:val="0058132C"/>
    <w:rsid w:val="00582452"/>
    <w:rsid w:val="005830FC"/>
    <w:rsid w:val="00583B46"/>
    <w:rsid w:val="00583BD7"/>
    <w:rsid w:val="005849D9"/>
    <w:rsid w:val="00585A59"/>
    <w:rsid w:val="00586157"/>
    <w:rsid w:val="00587B9B"/>
    <w:rsid w:val="00590195"/>
    <w:rsid w:val="005901D2"/>
    <w:rsid w:val="005904A8"/>
    <w:rsid w:val="00590843"/>
    <w:rsid w:val="00591283"/>
    <w:rsid w:val="00591992"/>
    <w:rsid w:val="00592419"/>
    <w:rsid w:val="00594084"/>
    <w:rsid w:val="0059418B"/>
    <w:rsid w:val="00597AF4"/>
    <w:rsid w:val="005A0185"/>
    <w:rsid w:val="005A02AA"/>
    <w:rsid w:val="005A0E8D"/>
    <w:rsid w:val="005A24B4"/>
    <w:rsid w:val="005A3053"/>
    <w:rsid w:val="005A38BF"/>
    <w:rsid w:val="005A4634"/>
    <w:rsid w:val="005A4784"/>
    <w:rsid w:val="005A5384"/>
    <w:rsid w:val="005A61CE"/>
    <w:rsid w:val="005A68CB"/>
    <w:rsid w:val="005A7E5A"/>
    <w:rsid w:val="005A7FDD"/>
    <w:rsid w:val="005B09AB"/>
    <w:rsid w:val="005B0C84"/>
    <w:rsid w:val="005B1190"/>
    <w:rsid w:val="005B1285"/>
    <w:rsid w:val="005B12B9"/>
    <w:rsid w:val="005B1410"/>
    <w:rsid w:val="005B14F9"/>
    <w:rsid w:val="005B2AF9"/>
    <w:rsid w:val="005B2B8F"/>
    <w:rsid w:val="005B4022"/>
    <w:rsid w:val="005C0AA9"/>
    <w:rsid w:val="005C3586"/>
    <w:rsid w:val="005C35E9"/>
    <w:rsid w:val="005C501F"/>
    <w:rsid w:val="005C6074"/>
    <w:rsid w:val="005C6417"/>
    <w:rsid w:val="005C7336"/>
    <w:rsid w:val="005C73C7"/>
    <w:rsid w:val="005C7943"/>
    <w:rsid w:val="005C7BDC"/>
    <w:rsid w:val="005D0155"/>
    <w:rsid w:val="005D0278"/>
    <w:rsid w:val="005D1D3B"/>
    <w:rsid w:val="005D20D5"/>
    <w:rsid w:val="005D21D3"/>
    <w:rsid w:val="005D2E69"/>
    <w:rsid w:val="005D3096"/>
    <w:rsid w:val="005D3B92"/>
    <w:rsid w:val="005D40D0"/>
    <w:rsid w:val="005D4981"/>
    <w:rsid w:val="005D4A40"/>
    <w:rsid w:val="005D4B81"/>
    <w:rsid w:val="005D54EC"/>
    <w:rsid w:val="005D5DC8"/>
    <w:rsid w:val="005D6093"/>
    <w:rsid w:val="005D7035"/>
    <w:rsid w:val="005D749A"/>
    <w:rsid w:val="005D75DB"/>
    <w:rsid w:val="005D7AFA"/>
    <w:rsid w:val="005E035D"/>
    <w:rsid w:val="005E158D"/>
    <w:rsid w:val="005E1B29"/>
    <w:rsid w:val="005E1BFB"/>
    <w:rsid w:val="005E241D"/>
    <w:rsid w:val="005E338B"/>
    <w:rsid w:val="005E3478"/>
    <w:rsid w:val="005E3694"/>
    <w:rsid w:val="005E45FA"/>
    <w:rsid w:val="005E493B"/>
    <w:rsid w:val="005E6822"/>
    <w:rsid w:val="005E6833"/>
    <w:rsid w:val="005E712D"/>
    <w:rsid w:val="005E731A"/>
    <w:rsid w:val="005E7706"/>
    <w:rsid w:val="005F06A9"/>
    <w:rsid w:val="005F1024"/>
    <w:rsid w:val="005F18C7"/>
    <w:rsid w:val="005F1EF6"/>
    <w:rsid w:val="005F2749"/>
    <w:rsid w:val="005F2951"/>
    <w:rsid w:val="005F34A9"/>
    <w:rsid w:val="005F4889"/>
    <w:rsid w:val="005F5036"/>
    <w:rsid w:val="005F70F7"/>
    <w:rsid w:val="005F7CA9"/>
    <w:rsid w:val="005F7CCB"/>
    <w:rsid w:val="005F7CCE"/>
    <w:rsid w:val="00600586"/>
    <w:rsid w:val="00600DD7"/>
    <w:rsid w:val="00602BDE"/>
    <w:rsid w:val="00602DBA"/>
    <w:rsid w:val="006064D4"/>
    <w:rsid w:val="00606E41"/>
    <w:rsid w:val="00611095"/>
    <w:rsid w:val="00611B98"/>
    <w:rsid w:val="00611F62"/>
    <w:rsid w:val="006123B2"/>
    <w:rsid w:val="00612A76"/>
    <w:rsid w:val="00613597"/>
    <w:rsid w:val="00614861"/>
    <w:rsid w:val="00614E19"/>
    <w:rsid w:val="006153C0"/>
    <w:rsid w:val="0061582A"/>
    <w:rsid w:val="00616DBA"/>
    <w:rsid w:val="006203F3"/>
    <w:rsid w:val="00620EAA"/>
    <w:rsid w:val="00620EEE"/>
    <w:rsid w:val="006219DC"/>
    <w:rsid w:val="00621CEE"/>
    <w:rsid w:val="00622140"/>
    <w:rsid w:val="0062227B"/>
    <w:rsid w:val="006225C9"/>
    <w:rsid w:val="00622B2E"/>
    <w:rsid w:val="00623219"/>
    <w:rsid w:val="00623339"/>
    <w:rsid w:val="00623821"/>
    <w:rsid w:val="00623DBD"/>
    <w:rsid w:val="00624DDC"/>
    <w:rsid w:val="006253B6"/>
    <w:rsid w:val="006257ED"/>
    <w:rsid w:val="006267FC"/>
    <w:rsid w:val="0062686E"/>
    <w:rsid w:val="0062687E"/>
    <w:rsid w:val="00627ACC"/>
    <w:rsid w:val="00630B30"/>
    <w:rsid w:val="00632BA5"/>
    <w:rsid w:val="00633684"/>
    <w:rsid w:val="00633B43"/>
    <w:rsid w:val="00633BF9"/>
    <w:rsid w:val="00633DC8"/>
    <w:rsid w:val="0063524E"/>
    <w:rsid w:val="00637470"/>
    <w:rsid w:val="00637B35"/>
    <w:rsid w:val="006405EA"/>
    <w:rsid w:val="00640928"/>
    <w:rsid w:val="00640DAF"/>
    <w:rsid w:val="00642873"/>
    <w:rsid w:val="00642A18"/>
    <w:rsid w:val="00643D62"/>
    <w:rsid w:val="006442AB"/>
    <w:rsid w:val="00646631"/>
    <w:rsid w:val="00646654"/>
    <w:rsid w:val="006466C5"/>
    <w:rsid w:val="00647165"/>
    <w:rsid w:val="00647683"/>
    <w:rsid w:val="0065013C"/>
    <w:rsid w:val="00650437"/>
    <w:rsid w:val="00651FF6"/>
    <w:rsid w:val="0065231D"/>
    <w:rsid w:val="0065274C"/>
    <w:rsid w:val="0065478F"/>
    <w:rsid w:val="00655274"/>
    <w:rsid w:val="00655318"/>
    <w:rsid w:val="0065599B"/>
    <w:rsid w:val="00656A58"/>
    <w:rsid w:val="00656D76"/>
    <w:rsid w:val="006600E3"/>
    <w:rsid w:val="00660767"/>
    <w:rsid w:val="00662D2A"/>
    <w:rsid w:val="00662E7F"/>
    <w:rsid w:val="00662FC7"/>
    <w:rsid w:val="006631CB"/>
    <w:rsid w:val="0066393B"/>
    <w:rsid w:val="00663BDD"/>
    <w:rsid w:val="00663F45"/>
    <w:rsid w:val="00664575"/>
    <w:rsid w:val="0066642A"/>
    <w:rsid w:val="00666856"/>
    <w:rsid w:val="006673B6"/>
    <w:rsid w:val="006673BB"/>
    <w:rsid w:val="006710A7"/>
    <w:rsid w:val="00671730"/>
    <w:rsid w:val="00671B87"/>
    <w:rsid w:val="00672658"/>
    <w:rsid w:val="00672CF1"/>
    <w:rsid w:val="00673E1E"/>
    <w:rsid w:val="00674C2C"/>
    <w:rsid w:val="0067527B"/>
    <w:rsid w:val="00675792"/>
    <w:rsid w:val="006761F6"/>
    <w:rsid w:val="00676CCC"/>
    <w:rsid w:val="00677508"/>
    <w:rsid w:val="0067776C"/>
    <w:rsid w:val="00680BA8"/>
    <w:rsid w:val="0068189E"/>
    <w:rsid w:val="0068303E"/>
    <w:rsid w:val="0068353C"/>
    <w:rsid w:val="0068383E"/>
    <w:rsid w:val="00684B46"/>
    <w:rsid w:val="006853D5"/>
    <w:rsid w:val="00685B94"/>
    <w:rsid w:val="00685F2B"/>
    <w:rsid w:val="006869FE"/>
    <w:rsid w:val="00687798"/>
    <w:rsid w:val="00687D6D"/>
    <w:rsid w:val="00687DF1"/>
    <w:rsid w:val="006901FF"/>
    <w:rsid w:val="006902B1"/>
    <w:rsid w:val="006920B4"/>
    <w:rsid w:val="0069269C"/>
    <w:rsid w:val="00693126"/>
    <w:rsid w:val="006933AA"/>
    <w:rsid w:val="00693DDA"/>
    <w:rsid w:val="00693E30"/>
    <w:rsid w:val="00697501"/>
    <w:rsid w:val="0069770C"/>
    <w:rsid w:val="00697A86"/>
    <w:rsid w:val="006A0ADB"/>
    <w:rsid w:val="006A1018"/>
    <w:rsid w:val="006A1F7C"/>
    <w:rsid w:val="006A248A"/>
    <w:rsid w:val="006A255C"/>
    <w:rsid w:val="006A294F"/>
    <w:rsid w:val="006A2AFC"/>
    <w:rsid w:val="006A31CA"/>
    <w:rsid w:val="006A34DC"/>
    <w:rsid w:val="006A3501"/>
    <w:rsid w:val="006A38B9"/>
    <w:rsid w:val="006A3F56"/>
    <w:rsid w:val="006A4D02"/>
    <w:rsid w:val="006A57D5"/>
    <w:rsid w:val="006A5907"/>
    <w:rsid w:val="006A7472"/>
    <w:rsid w:val="006B00EC"/>
    <w:rsid w:val="006B0EC4"/>
    <w:rsid w:val="006B0FEE"/>
    <w:rsid w:val="006B10DE"/>
    <w:rsid w:val="006B1342"/>
    <w:rsid w:val="006B1BF9"/>
    <w:rsid w:val="006B274A"/>
    <w:rsid w:val="006B2E22"/>
    <w:rsid w:val="006B31DA"/>
    <w:rsid w:val="006B4216"/>
    <w:rsid w:val="006B45B5"/>
    <w:rsid w:val="006B53F1"/>
    <w:rsid w:val="006B589A"/>
    <w:rsid w:val="006B5B6D"/>
    <w:rsid w:val="006B6037"/>
    <w:rsid w:val="006B650E"/>
    <w:rsid w:val="006B7E43"/>
    <w:rsid w:val="006C083D"/>
    <w:rsid w:val="006C0CA0"/>
    <w:rsid w:val="006C0E56"/>
    <w:rsid w:val="006C0F3A"/>
    <w:rsid w:val="006C26CE"/>
    <w:rsid w:val="006C344D"/>
    <w:rsid w:val="006C412B"/>
    <w:rsid w:val="006C45F1"/>
    <w:rsid w:val="006C47D3"/>
    <w:rsid w:val="006C511E"/>
    <w:rsid w:val="006C5AA0"/>
    <w:rsid w:val="006C5C44"/>
    <w:rsid w:val="006D06CA"/>
    <w:rsid w:val="006D3D51"/>
    <w:rsid w:val="006D3F0A"/>
    <w:rsid w:val="006D42A6"/>
    <w:rsid w:val="006D42DC"/>
    <w:rsid w:val="006D4A6D"/>
    <w:rsid w:val="006D6E81"/>
    <w:rsid w:val="006D7814"/>
    <w:rsid w:val="006E10FB"/>
    <w:rsid w:val="006E21AB"/>
    <w:rsid w:val="006E389A"/>
    <w:rsid w:val="006E40E5"/>
    <w:rsid w:val="006E4AA9"/>
    <w:rsid w:val="006E4BD6"/>
    <w:rsid w:val="006E4D77"/>
    <w:rsid w:val="006E4F82"/>
    <w:rsid w:val="006E52B4"/>
    <w:rsid w:val="006E5C20"/>
    <w:rsid w:val="006E6596"/>
    <w:rsid w:val="006E67CC"/>
    <w:rsid w:val="006E7300"/>
    <w:rsid w:val="006F0C1C"/>
    <w:rsid w:val="006F1BC1"/>
    <w:rsid w:val="006F2249"/>
    <w:rsid w:val="006F2278"/>
    <w:rsid w:val="006F2E97"/>
    <w:rsid w:val="006F66B3"/>
    <w:rsid w:val="006F68D2"/>
    <w:rsid w:val="006F6EE3"/>
    <w:rsid w:val="0070005B"/>
    <w:rsid w:val="007006E0"/>
    <w:rsid w:val="00701D12"/>
    <w:rsid w:val="00702280"/>
    <w:rsid w:val="00705528"/>
    <w:rsid w:val="007059DF"/>
    <w:rsid w:val="00705B0F"/>
    <w:rsid w:val="00706544"/>
    <w:rsid w:val="00706A88"/>
    <w:rsid w:val="00707AFD"/>
    <w:rsid w:val="0071044A"/>
    <w:rsid w:val="00710972"/>
    <w:rsid w:val="00711D64"/>
    <w:rsid w:val="00711DBE"/>
    <w:rsid w:val="007135E5"/>
    <w:rsid w:val="007174C1"/>
    <w:rsid w:val="00717811"/>
    <w:rsid w:val="00717BDC"/>
    <w:rsid w:val="00717C93"/>
    <w:rsid w:val="007200BA"/>
    <w:rsid w:val="00720645"/>
    <w:rsid w:val="0072130A"/>
    <w:rsid w:val="00721330"/>
    <w:rsid w:val="0072265C"/>
    <w:rsid w:val="007231FA"/>
    <w:rsid w:val="00723A28"/>
    <w:rsid w:val="00724F0B"/>
    <w:rsid w:val="007255C7"/>
    <w:rsid w:val="00726230"/>
    <w:rsid w:val="007268C6"/>
    <w:rsid w:val="0072698D"/>
    <w:rsid w:val="00727298"/>
    <w:rsid w:val="00727495"/>
    <w:rsid w:val="00727E1B"/>
    <w:rsid w:val="00731098"/>
    <w:rsid w:val="007323CE"/>
    <w:rsid w:val="00732D07"/>
    <w:rsid w:val="007333EC"/>
    <w:rsid w:val="00733A62"/>
    <w:rsid w:val="00735211"/>
    <w:rsid w:val="00736538"/>
    <w:rsid w:val="00736B62"/>
    <w:rsid w:val="00736F11"/>
    <w:rsid w:val="007375BF"/>
    <w:rsid w:val="00741CE7"/>
    <w:rsid w:val="007426F9"/>
    <w:rsid w:val="00742F57"/>
    <w:rsid w:val="007439B8"/>
    <w:rsid w:val="00746B94"/>
    <w:rsid w:val="00747082"/>
    <w:rsid w:val="00751032"/>
    <w:rsid w:val="00751622"/>
    <w:rsid w:val="007516BF"/>
    <w:rsid w:val="00751AC0"/>
    <w:rsid w:val="00751E98"/>
    <w:rsid w:val="0075262F"/>
    <w:rsid w:val="00752C5F"/>
    <w:rsid w:val="0075472B"/>
    <w:rsid w:val="0075543A"/>
    <w:rsid w:val="007559F4"/>
    <w:rsid w:val="00755C31"/>
    <w:rsid w:val="0075650A"/>
    <w:rsid w:val="007565D6"/>
    <w:rsid w:val="00756DA0"/>
    <w:rsid w:val="00757230"/>
    <w:rsid w:val="00757789"/>
    <w:rsid w:val="00757C46"/>
    <w:rsid w:val="0076020C"/>
    <w:rsid w:val="00760538"/>
    <w:rsid w:val="00760666"/>
    <w:rsid w:val="00760BAD"/>
    <w:rsid w:val="00763DA5"/>
    <w:rsid w:val="007641D2"/>
    <w:rsid w:val="00764C85"/>
    <w:rsid w:val="00764D21"/>
    <w:rsid w:val="00765BA1"/>
    <w:rsid w:val="00767CC8"/>
    <w:rsid w:val="007708D3"/>
    <w:rsid w:val="007709B3"/>
    <w:rsid w:val="00770E8B"/>
    <w:rsid w:val="00770FB8"/>
    <w:rsid w:val="00771929"/>
    <w:rsid w:val="007729BC"/>
    <w:rsid w:val="00773A93"/>
    <w:rsid w:val="007745D7"/>
    <w:rsid w:val="0077482C"/>
    <w:rsid w:val="0077493C"/>
    <w:rsid w:val="00774B74"/>
    <w:rsid w:val="00774F67"/>
    <w:rsid w:val="00775272"/>
    <w:rsid w:val="007759AC"/>
    <w:rsid w:val="00775C62"/>
    <w:rsid w:val="00776156"/>
    <w:rsid w:val="00776603"/>
    <w:rsid w:val="007773F3"/>
    <w:rsid w:val="007804C6"/>
    <w:rsid w:val="00782408"/>
    <w:rsid w:val="00783593"/>
    <w:rsid w:val="00783607"/>
    <w:rsid w:val="00784A70"/>
    <w:rsid w:val="00784B1E"/>
    <w:rsid w:val="007858EC"/>
    <w:rsid w:val="00786CC6"/>
    <w:rsid w:val="00786CD8"/>
    <w:rsid w:val="007870CD"/>
    <w:rsid w:val="00787A0D"/>
    <w:rsid w:val="00791036"/>
    <w:rsid w:val="0079272C"/>
    <w:rsid w:val="00792A8E"/>
    <w:rsid w:val="00792FEB"/>
    <w:rsid w:val="00793E3E"/>
    <w:rsid w:val="007946EF"/>
    <w:rsid w:val="00795382"/>
    <w:rsid w:val="00796C59"/>
    <w:rsid w:val="00797E24"/>
    <w:rsid w:val="007A1183"/>
    <w:rsid w:val="007A1973"/>
    <w:rsid w:val="007A29C5"/>
    <w:rsid w:val="007A3B9B"/>
    <w:rsid w:val="007A3BE6"/>
    <w:rsid w:val="007A3F9C"/>
    <w:rsid w:val="007A61EF"/>
    <w:rsid w:val="007A629E"/>
    <w:rsid w:val="007A6528"/>
    <w:rsid w:val="007A749C"/>
    <w:rsid w:val="007A755C"/>
    <w:rsid w:val="007A75AA"/>
    <w:rsid w:val="007B0BBE"/>
    <w:rsid w:val="007B17D8"/>
    <w:rsid w:val="007B19AA"/>
    <w:rsid w:val="007B19E1"/>
    <w:rsid w:val="007B1AB2"/>
    <w:rsid w:val="007B1B4F"/>
    <w:rsid w:val="007B21F5"/>
    <w:rsid w:val="007B21FD"/>
    <w:rsid w:val="007B2444"/>
    <w:rsid w:val="007B590C"/>
    <w:rsid w:val="007B5C79"/>
    <w:rsid w:val="007B5D16"/>
    <w:rsid w:val="007B6BCB"/>
    <w:rsid w:val="007B6EBA"/>
    <w:rsid w:val="007C1553"/>
    <w:rsid w:val="007C1F5A"/>
    <w:rsid w:val="007C33F6"/>
    <w:rsid w:val="007C4C59"/>
    <w:rsid w:val="007C5AB3"/>
    <w:rsid w:val="007C5E8C"/>
    <w:rsid w:val="007C6D6F"/>
    <w:rsid w:val="007C7361"/>
    <w:rsid w:val="007C7B4B"/>
    <w:rsid w:val="007C7BDF"/>
    <w:rsid w:val="007C7DE9"/>
    <w:rsid w:val="007C7F76"/>
    <w:rsid w:val="007D1318"/>
    <w:rsid w:val="007D19F6"/>
    <w:rsid w:val="007D1F55"/>
    <w:rsid w:val="007D1F9F"/>
    <w:rsid w:val="007D255B"/>
    <w:rsid w:val="007D2C41"/>
    <w:rsid w:val="007D4000"/>
    <w:rsid w:val="007D4114"/>
    <w:rsid w:val="007D665A"/>
    <w:rsid w:val="007E0F3F"/>
    <w:rsid w:val="007E1628"/>
    <w:rsid w:val="007E1DFC"/>
    <w:rsid w:val="007E27DC"/>
    <w:rsid w:val="007E3369"/>
    <w:rsid w:val="007E3A53"/>
    <w:rsid w:val="007E4AB6"/>
    <w:rsid w:val="007E6074"/>
    <w:rsid w:val="007E6274"/>
    <w:rsid w:val="007E6864"/>
    <w:rsid w:val="007E6B7B"/>
    <w:rsid w:val="007E7437"/>
    <w:rsid w:val="007F046A"/>
    <w:rsid w:val="007F14F2"/>
    <w:rsid w:val="007F2E70"/>
    <w:rsid w:val="007F2FCA"/>
    <w:rsid w:val="007F32BD"/>
    <w:rsid w:val="007F37D2"/>
    <w:rsid w:val="007F409E"/>
    <w:rsid w:val="007F4223"/>
    <w:rsid w:val="007F49E0"/>
    <w:rsid w:val="007F6D99"/>
    <w:rsid w:val="007F759D"/>
    <w:rsid w:val="00800056"/>
    <w:rsid w:val="0080016C"/>
    <w:rsid w:val="00801120"/>
    <w:rsid w:val="008015D1"/>
    <w:rsid w:val="00802387"/>
    <w:rsid w:val="008023E7"/>
    <w:rsid w:val="00802921"/>
    <w:rsid w:val="0080353D"/>
    <w:rsid w:val="00804CAF"/>
    <w:rsid w:val="0080522E"/>
    <w:rsid w:val="00805CE9"/>
    <w:rsid w:val="00805F30"/>
    <w:rsid w:val="008068AC"/>
    <w:rsid w:val="008069D2"/>
    <w:rsid w:val="00807835"/>
    <w:rsid w:val="008101FD"/>
    <w:rsid w:val="0081024B"/>
    <w:rsid w:val="00810766"/>
    <w:rsid w:val="0081144C"/>
    <w:rsid w:val="008122CC"/>
    <w:rsid w:val="00813E0E"/>
    <w:rsid w:val="0081558D"/>
    <w:rsid w:val="008161D2"/>
    <w:rsid w:val="00820A2E"/>
    <w:rsid w:val="0082182F"/>
    <w:rsid w:val="008222F4"/>
    <w:rsid w:val="00822D6E"/>
    <w:rsid w:val="00823428"/>
    <w:rsid w:val="00824171"/>
    <w:rsid w:val="00824482"/>
    <w:rsid w:val="008248D2"/>
    <w:rsid w:val="00824A14"/>
    <w:rsid w:val="00825F0A"/>
    <w:rsid w:val="00826CEF"/>
    <w:rsid w:val="00826D0C"/>
    <w:rsid w:val="00827442"/>
    <w:rsid w:val="00827A16"/>
    <w:rsid w:val="00830711"/>
    <w:rsid w:val="008335AD"/>
    <w:rsid w:val="008348B8"/>
    <w:rsid w:val="0083510A"/>
    <w:rsid w:val="00835328"/>
    <w:rsid w:val="00836175"/>
    <w:rsid w:val="008369BA"/>
    <w:rsid w:val="00837FCE"/>
    <w:rsid w:val="00840D32"/>
    <w:rsid w:val="008419FC"/>
    <w:rsid w:val="00842DA7"/>
    <w:rsid w:val="008436E2"/>
    <w:rsid w:val="00843933"/>
    <w:rsid w:val="00843D84"/>
    <w:rsid w:val="00845611"/>
    <w:rsid w:val="00847228"/>
    <w:rsid w:val="00853613"/>
    <w:rsid w:val="008544A1"/>
    <w:rsid w:val="00855116"/>
    <w:rsid w:val="00856258"/>
    <w:rsid w:val="00856548"/>
    <w:rsid w:val="00856B13"/>
    <w:rsid w:val="00857079"/>
    <w:rsid w:val="00860153"/>
    <w:rsid w:val="008605F8"/>
    <w:rsid w:val="00861746"/>
    <w:rsid w:val="00861759"/>
    <w:rsid w:val="00861B0E"/>
    <w:rsid w:val="00863E62"/>
    <w:rsid w:val="00864105"/>
    <w:rsid w:val="00864C1F"/>
    <w:rsid w:val="00864CCC"/>
    <w:rsid w:val="00864DA7"/>
    <w:rsid w:val="00865450"/>
    <w:rsid w:val="00865D4B"/>
    <w:rsid w:val="008676FE"/>
    <w:rsid w:val="008702CA"/>
    <w:rsid w:val="00870689"/>
    <w:rsid w:val="00870E93"/>
    <w:rsid w:val="00870FA1"/>
    <w:rsid w:val="0087205D"/>
    <w:rsid w:val="00873199"/>
    <w:rsid w:val="008732FB"/>
    <w:rsid w:val="008739E0"/>
    <w:rsid w:val="00875220"/>
    <w:rsid w:val="00875EBD"/>
    <w:rsid w:val="00875F74"/>
    <w:rsid w:val="008803D4"/>
    <w:rsid w:val="00880942"/>
    <w:rsid w:val="00881AAE"/>
    <w:rsid w:val="00881F09"/>
    <w:rsid w:val="00883923"/>
    <w:rsid w:val="00884033"/>
    <w:rsid w:val="00885440"/>
    <w:rsid w:val="00886A2F"/>
    <w:rsid w:val="008902B4"/>
    <w:rsid w:val="008903C6"/>
    <w:rsid w:val="00891BEC"/>
    <w:rsid w:val="00891CD9"/>
    <w:rsid w:val="00896346"/>
    <w:rsid w:val="008A0804"/>
    <w:rsid w:val="008A1A7C"/>
    <w:rsid w:val="008A25E9"/>
    <w:rsid w:val="008A33BF"/>
    <w:rsid w:val="008A5127"/>
    <w:rsid w:val="008A59C0"/>
    <w:rsid w:val="008A6FE3"/>
    <w:rsid w:val="008B1793"/>
    <w:rsid w:val="008B2966"/>
    <w:rsid w:val="008B387E"/>
    <w:rsid w:val="008B4504"/>
    <w:rsid w:val="008B47A6"/>
    <w:rsid w:val="008B5D87"/>
    <w:rsid w:val="008B66CC"/>
    <w:rsid w:val="008B6ED2"/>
    <w:rsid w:val="008B7763"/>
    <w:rsid w:val="008B7E83"/>
    <w:rsid w:val="008C42CC"/>
    <w:rsid w:val="008C5704"/>
    <w:rsid w:val="008C6F24"/>
    <w:rsid w:val="008D00BC"/>
    <w:rsid w:val="008D0EE8"/>
    <w:rsid w:val="008D1403"/>
    <w:rsid w:val="008D2E81"/>
    <w:rsid w:val="008D3425"/>
    <w:rsid w:val="008D3A4C"/>
    <w:rsid w:val="008D3BA0"/>
    <w:rsid w:val="008D4D1D"/>
    <w:rsid w:val="008D53B8"/>
    <w:rsid w:val="008D6406"/>
    <w:rsid w:val="008D6A35"/>
    <w:rsid w:val="008D77EB"/>
    <w:rsid w:val="008E0239"/>
    <w:rsid w:val="008E1BF4"/>
    <w:rsid w:val="008E26F1"/>
    <w:rsid w:val="008E28D9"/>
    <w:rsid w:val="008E2E0D"/>
    <w:rsid w:val="008E3E86"/>
    <w:rsid w:val="008E4317"/>
    <w:rsid w:val="008E4718"/>
    <w:rsid w:val="008E5A25"/>
    <w:rsid w:val="008E5B62"/>
    <w:rsid w:val="008E6208"/>
    <w:rsid w:val="008E6CED"/>
    <w:rsid w:val="008E7B31"/>
    <w:rsid w:val="008E7FEB"/>
    <w:rsid w:val="008F11FD"/>
    <w:rsid w:val="008F12F1"/>
    <w:rsid w:val="008F16B5"/>
    <w:rsid w:val="008F17C2"/>
    <w:rsid w:val="008F21C7"/>
    <w:rsid w:val="008F2446"/>
    <w:rsid w:val="008F3A56"/>
    <w:rsid w:val="008F3B7F"/>
    <w:rsid w:val="008F4549"/>
    <w:rsid w:val="008F5EEB"/>
    <w:rsid w:val="008F6349"/>
    <w:rsid w:val="00901040"/>
    <w:rsid w:val="0090144C"/>
    <w:rsid w:val="0090255C"/>
    <w:rsid w:val="00904066"/>
    <w:rsid w:val="00904177"/>
    <w:rsid w:val="009057F6"/>
    <w:rsid w:val="00906613"/>
    <w:rsid w:val="00906AAD"/>
    <w:rsid w:val="00907A44"/>
    <w:rsid w:val="00907F37"/>
    <w:rsid w:val="0091074B"/>
    <w:rsid w:val="009109F7"/>
    <w:rsid w:val="00910AE4"/>
    <w:rsid w:val="00910C2D"/>
    <w:rsid w:val="009112CD"/>
    <w:rsid w:val="00911CE9"/>
    <w:rsid w:val="00912BF1"/>
    <w:rsid w:val="00913162"/>
    <w:rsid w:val="009139B3"/>
    <w:rsid w:val="00914190"/>
    <w:rsid w:val="00915C83"/>
    <w:rsid w:val="009165BF"/>
    <w:rsid w:val="00916F98"/>
    <w:rsid w:val="00921A82"/>
    <w:rsid w:val="00921AB0"/>
    <w:rsid w:val="00921BEE"/>
    <w:rsid w:val="00922284"/>
    <w:rsid w:val="00922EFA"/>
    <w:rsid w:val="009236DD"/>
    <w:rsid w:val="00923B2F"/>
    <w:rsid w:val="00923F25"/>
    <w:rsid w:val="009240B3"/>
    <w:rsid w:val="00925ECB"/>
    <w:rsid w:val="00926970"/>
    <w:rsid w:val="0092719F"/>
    <w:rsid w:val="00927EB4"/>
    <w:rsid w:val="00927FE2"/>
    <w:rsid w:val="00930AE1"/>
    <w:rsid w:val="009310AE"/>
    <w:rsid w:val="00932714"/>
    <w:rsid w:val="00932A8A"/>
    <w:rsid w:val="00933873"/>
    <w:rsid w:val="00935C9D"/>
    <w:rsid w:val="00935D54"/>
    <w:rsid w:val="00936113"/>
    <w:rsid w:val="00936130"/>
    <w:rsid w:val="0093701F"/>
    <w:rsid w:val="00937209"/>
    <w:rsid w:val="0093731A"/>
    <w:rsid w:val="009379E0"/>
    <w:rsid w:val="00937CC8"/>
    <w:rsid w:val="00941EDE"/>
    <w:rsid w:val="00942485"/>
    <w:rsid w:val="00943EA7"/>
    <w:rsid w:val="009447A6"/>
    <w:rsid w:val="00945102"/>
    <w:rsid w:val="00946B2C"/>
    <w:rsid w:val="0094787A"/>
    <w:rsid w:val="00950038"/>
    <w:rsid w:val="009506BB"/>
    <w:rsid w:val="00950C4F"/>
    <w:rsid w:val="00951202"/>
    <w:rsid w:val="009513DA"/>
    <w:rsid w:val="0095168E"/>
    <w:rsid w:val="009522A4"/>
    <w:rsid w:val="00952D4E"/>
    <w:rsid w:val="00952D78"/>
    <w:rsid w:val="009549B8"/>
    <w:rsid w:val="00954DBE"/>
    <w:rsid w:val="00955B29"/>
    <w:rsid w:val="009565E9"/>
    <w:rsid w:val="00956982"/>
    <w:rsid w:val="00956FC4"/>
    <w:rsid w:val="00957224"/>
    <w:rsid w:val="009574C1"/>
    <w:rsid w:val="00957A7D"/>
    <w:rsid w:val="00957F66"/>
    <w:rsid w:val="00957FCD"/>
    <w:rsid w:val="009605ED"/>
    <w:rsid w:val="00960FEC"/>
    <w:rsid w:val="009618E0"/>
    <w:rsid w:val="00963503"/>
    <w:rsid w:val="00963C72"/>
    <w:rsid w:val="009642AF"/>
    <w:rsid w:val="00964AF2"/>
    <w:rsid w:val="00964CE8"/>
    <w:rsid w:val="00965DBD"/>
    <w:rsid w:val="00965E21"/>
    <w:rsid w:val="00967E17"/>
    <w:rsid w:val="009700BB"/>
    <w:rsid w:val="009702F9"/>
    <w:rsid w:val="00971944"/>
    <w:rsid w:val="009723CC"/>
    <w:rsid w:val="00972C04"/>
    <w:rsid w:val="00976CB4"/>
    <w:rsid w:val="00976CCC"/>
    <w:rsid w:val="00977167"/>
    <w:rsid w:val="00977FD1"/>
    <w:rsid w:val="0098127C"/>
    <w:rsid w:val="009815C6"/>
    <w:rsid w:val="00981D69"/>
    <w:rsid w:val="00982CC1"/>
    <w:rsid w:val="009835A8"/>
    <w:rsid w:val="009845DD"/>
    <w:rsid w:val="00984B95"/>
    <w:rsid w:val="00984EA1"/>
    <w:rsid w:val="0098511B"/>
    <w:rsid w:val="00985436"/>
    <w:rsid w:val="009868CF"/>
    <w:rsid w:val="009871C2"/>
    <w:rsid w:val="00987EA3"/>
    <w:rsid w:val="00990452"/>
    <w:rsid w:val="00990B60"/>
    <w:rsid w:val="00991139"/>
    <w:rsid w:val="00991C97"/>
    <w:rsid w:val="00992373"/>
    <w:rsid w:val="009929F8"/>
    <w:rsid w:val="00993071"/>
    <w:rsid w:val="00994871"/>
    <w:rsid w:val="00996201"/>
    <w:rsid w:val="009968D6"/>
    <w:rsid w:val="00996D28"/>
    <w:rsid w:val="00997781"/>
    <w:rsid w:val="009A03A0"/>
    <w:rsid w:val="009A0C5E"/>
    <w:rsid w:val="009A1316"/>
    <w:rsid w:val="009A1C9C"/>
    <w:rsid w:val="009A22A4"/>
    <w:rsid w:val="009A26E8"/>
    <w:rsid w:val="009A2FB4"/>
    <w:rsid w:val="009A3130"/>
    <w:rsid w:val="009A39E1"/>
    <w:rsid w:val="009A3AD8"/>
    <w:rsid w:val="009A4183"/>
    <w:rsid w:val="009A4CF5"/>
    <w:rsid w:val="009A5620"/>
    <w:rsid w:val="009A6EE8"/>
    <w:rsid w:val="009A71B0"/>
    <w:rsid w:val="009B0336"/>
    <w:rsid w:val="009B0D1B"/>
    <w:rsid w:val="009B0F58"/>
    <w:rsid w:val="009B1B2D"/>
    <w:rsid w:val="009B2078"/>
    <w:rsid w:val="009B2156"/>
    <w:rsid w:val="009B38CF"/>
    <w:rsid w:val="009B3BA2"/>
    <w:rsid w:val="009B4639"/>
    <w:rsid w:val="009B5B1B"/>
    <w:rsid w:val="009B6563"/>
    <w:rsid w:val="009B7C41"/>
    <w:rsid w:val="009C100D"/>
    <w:rsid w:val="009C17F2"/>
    <w:rsid w:val="009C186D"/>
    <w:rsid w:val="009C2176"/>
    <w:rsid w:val="009C30AB"/>
    <w:rsid w:val="009C318A"/>
    <w:rsid w:val="009C3380"/>
    <w:rsid w:val="009C643F"/>
    <w:rsid w:val="009C6A51"/>
    <w:rsid w:val="009C75B8"/>
    <w:rsid w:val="009C7FE5"/>
    <w:rsid w:val="009D06FF"/>
    <w:rsid w:val="009D0DE2"/>
    <w:rsid w:val="009D11FF"/>
    <w:rsid w:val="009D1824"/>
    <w:rsid w:val="009D2FBA"/>
    <w:rsid w:val="009D418C"/>
    <w:rsid w:val="009D4FBC"/>
    <w:rsid w:val="009D5267"/>
    <w:rsid w:val="009D5408"/>
    <w:rsid w:val="009D6280"/>
    <w:rsid w:val="009D7203"/>
    <w:rsid w:val="009D7981"/>
    <w:rsid w:val="009D7BE0"/>
    <w:rsid w:val="009E005A"/>
    <w:rsid w:val="009E13D5"/>
    <w:rsid w:val="009E176B"/>
    <w:rsid w:val="009E18CB"/>
    <w:rsid w:val="009E2F56"/>
    <w:rsid w:val="009E37F6"/>
    <w:rsid w:val="009E6850"/>
    <w:rsid w:val="009E7E38"/>
    <w:rsid w:val="009F113D"/>
    <w:rsid w:val="009F1D23"/>
    <w:rsid w:val="009F233B"/>
    <w:rsid w:val="009F240E"/>
    <w:rsid w:val="009F265B"/>
    <w:rsid w:val="009F2F68"/>
    <w:rsid w:val="009F36B3"/>
    <w:rsid w:val="009F3FB0"/>
    <w:rsid w:val="009F482C"/>
    <w:rsid w:val="009F4C30"/>
    <w:rsid w:val="009F5227"/>
    <w:rsid w:val="009F56E6"/>
    <w:rsid w:val="009F57EB"/>
    <w:rsid w:val="009F64C9"/>
    <w:rsid w:val="009F666A"/>
    <w:rsid w:val="009F68DB"/>
    <w:rsid w:val="009F6E28"/>
    <w:rsid w:val="00A00260"/>
    <w:rsid w:val="00A00728"/>
    <w:rsid w:val="00A01670"/>
    <w:rsid w:val="00A016FE"/>
    <w:rsid w:val="00A022BA"/>
    <w:rsid w:val="00A02AF5"/>
    <w:rsid w:val="00A031B1"/>
    <w:rsid w:val="00A03E3F"/>
    <w:rsid w:val="00A0761C"/>
    <w:rsid w:val="00A1108E"/>
    <w:rsid w:val="00A11624"/>
    <w:rsid w:val="00A12517"/>
    <w:rsid w:val="00A1260A"/>
    <w:rsid w:val="00A1271A"/>
    <w:rsid w:val="00A127B4"/>
    <w:rsid w:val="00A12B1E"/>
    <w:rsid w:val="00A133F1"/>
    <w:rsid w:val="00A136C8"/>
    <w:rsid w:val="00A13D07"/>
    <w:rsid w:val="00A20059"/>
    <w:rsid w:val="00A2200C"/>
    <w:rsid w:val="00A250BB"/>
    <w:rsid w:val="00A25639"/>
    <w:rsid w:val="00A2577B"/>
    <w:rsid w:val="00A26A46"/>
    <w:rsid w:val="00A27CD0"/>
    <w:rsid w:val="00A27FC5"/>
    <w:rsid w:val="00A30EB3"/>
    <w:rsid w:val="00A31D3A"/>
    <w:rsid w:val="00A32B07"/>
    <w:rsid w:val="00A3395B"/>
    <w:rsid w:val="00A34B49"/>
    <w:rsid w:val="00A34B81"/>
    <w:rsid w:val="00A34FBF"/>
    <w:rsid w:val="00A3567A"/>
    <w:rsid w:val="00A35F63"/>
    <w:rsid w:val="00A362B6"/>
    <w:rsid w:val="00A3677D"/>
    <w:rsid w:val="00A370C2"/>
    <w:rsid w:val="00A41359"/>
    <w:rsid w:val="00A4192A"/>
    <w:rsid w:val="00A42647"/>
    <w:rsid w:val="00A4270B"/>
    <w:rsid w:val="00A45F08"/>
    <w:rsid w:val="00A474E3"/>
    <w:rsid w:val="00A52FFB"/>
    <w:rsid w:val="00A5407E"/>
    <w:rsid w:val="00A547A1"/>
    <w:rsid w:val="00A5504D"/>
    <w:rsid w:val="00A550B4"/>
    <w:rsid w:val="00A55A4D"/>
    <w:rsid w:val="00A56D3E"/>
    <w:rsid w:val="00A6019B"/>
    <w:rsid w:val="00A6258E"/>
    <w:rsid w:val="00A63495"/>
    <w:rsid w:val="00A6372A"/>
    <w:rsid w:val="00A6397A"/>
    <w:rsid w:val="00A643DF"/>
    <w:rsid w:val="00A64C4B"/>
    <w:rsid w:val="00A64DC0"/>
    <w:rsid w:val="00A65ACA"/>
    <w:rsid w:val="00A67DFF"/>
    <w:rsid w:val="00A708A8"/>
    <w:rsid w:val="00A711FE"/>
    <w:rsid w:val="00A71475"/>
    <w:rsid w:val="00A714DC"/>
    <w:rsid w:val="00A7179C"/>
    <w:rsid w:val="00A73C4D"/>
    <w:rsid w:val="00A73E5C"/>
    <w:rsid w:val="00A7461A"/>
    <w:rsid w:val="00A74790"/>
    <w:rsid w:val="00A758B2"/>
    <w:rsid w:val="00A75DB6"/>
    <w:rsid w:val="00A761CB"/>
    <w:rsid w:val="00A7663D"/>
    <w:rsid w:val="00A76B41"/>
    <w:rsid w:val="00A773BA"/>
    <w:rsid w:val="00A777F9"/>
    <w:rsid w:val="00A77FEE"/>
    <w:rsid w:val="00A80A2B"/>
    <w:rsid w:val="00A80ED9"/>
    <w:rsid w:val="00A81F6B"/>
    <w:rsid w:val="00A82152"/>
    <w:rsid w:val="00A82A26"/>
    <w:rsid w:val="00A838B4"/>
    <w:rsid w:val="00A84739"/>
    <w:rsid w:val="00A85701"/>
    <w:rsid w:val="00A863AC"/>
    <w:rsid w:val="00A86D32"/>
    <w:rsid w:val="00A87EEE"/>
    <w:rsid w:val="00A87FA8"/>
    <w:rsid w:val="00A90ED1"/>
    <w:rsid w:val="00A9201F"/>
    <w:rsid w:val="00A93035"/>
    <w:rsid w:val="00A93FC1"/>
    <w:rsid w:val="00A95930"/>
    <w:rsid w:val="00A95D59"/>
    <w:rsid w:val="00A95E75"/>
    <w:rsid w:val="00A96455"/>
    <w:rsid w:val="00A968B2"/>
    <w:rsid w:val="00A9770C"/>
    <w:rsid w:val="00AA12B8"/>
    <w:rsid w:val="00AA1381"/>
    <w:rsid w:val="00AA1AA4"/>
    <w:rsid w:val="00AA1D1E"/>
    <w:rsid w:val="00AA3138"/>
    <w:rsid w:val="00AA3156"/>
    <w:rsid w:val="00AA3AEC"/>
    <w:rsid w:val="00AA43E6"/>
    <w:rsid w:val="00AA602B"/>
    <w:rsid w:val="00AA734F"/>
    <w:rsid w:val="00AA7837"/>
    <w:rsid w:val="00AB10CD"/>
    <w:rsid w:val="00AB1B48"/>
    <w:rsid w:val="00AB2724"/>
    <w:rsid w:val="00AB2DEA"/>
    <w:rsid w:val="00AB3F7F"/>
    <w:rsid w:val="00AB43C5"/>
    <w:rsid w:val="00AB6C01"/>
    <w:rsid w:val="00AC2491"/>
    <w:rsid w:val="00AC5F36"/>
    <w:rsid w:val="00AC6D20"/>
    <w:rsid w:val="00AD1059"/>
    <w:rsid w:val="00AD121A"/>
    <w:rsid w:val="00AD31DB"/>
    <w:rsid w:val="00AD3261"/>
    <w:rsid w:val="00AD4355"/>
    <w:rsid w:val="00AD4754"/>
    <w:rsid w:val="00AD4A81"/>
    <w:rsid w:val="00AD6675"/>
    <w:rsid w:val="00AD764B"/>
    <w:rsid w:val="00AD7C35"/>
    <w:rsid w:val="00AE0A8F"/>
    <w:rsid w:val="00AE0F36"/>
    <w:rsid w:val="00AE158F"/>
    <w:rsid w:val="00AE1A0F"/>
    <w:rsid w:val="00AE2DB3"/>
    <w:rsid w:val="00AE2FD2"/>
    <w:rsid w:val="00AE35B6"/>
    <w:rsid w:val="00AE3F5F"/>
    <w:rsid w:val="00AE41E7"/>
    <w:rsid w:val="00AE5C11"/>
    <w:rsid w:val="00AE611C"/>
    <w:rsid w:val="00AE7003"/>
    <w:rsid w:val="00AF1B16"/>
    <w:rsid w:val="00AF225E"/>
    <w:rsid w:val="00AF22B5"/>
    <w:rsid w:val="00AF2CFC"/>
    <w:rsid w:val="00AF30BC"/>
    <w:rsid w:val="00AF36E7"/>
    <w:rsid w:val="00AF46E4"/>
    <w:rsid w:val="00AF5121"/>
    <w:rsid w:val="00AF60FE"/>
    <w:rsid w:val="00AF69B9"/>
    <w:rsid w:val="00AF773F"/>
    <w:rsid w:val="00B00A43"/>
    <w:rsid w:val="00B0376C"/>
    <w:rsid w:val="00B044CA"/>
    <w:rsid w:val="00B07181"/>
    <w:rsid w:val="00B10353"/>
    <w:rsid w:val="00B1088F"/>
    <w:rsid w:val="00B10A9C"/>
    <w:rsid w:val="00B12279"/>
    <w:rsid w:val="00B12DD6"/>
    <w:rsid w:val="00B13DC4"/>
    <w:rsid w:val="00B147C7"/>
    <w:rsid w:val="00B1633C"/>
    <w:rsid w:val="00B173D9"/>
    <w:rsid w:val="00B17B7C"/>
    <w:rsid w:val="00B17BA2"/>
    <w:rsid w:val="00B21798"/>
    <w:rsid w:val="00B22486"/>
    <w:rsid w:val="00B22E7A"/>
    <w:rsid w:val="00B22EEC"/>
    <w:rsid w:val="00B23277"/>
    <w:rsid w:val="00B23E69"/>
    <w:rsid w:val="00B243D3"/>
    <w:rsid w:val="00B245AD"/>
    <w:rsid w:val="00B24BDB"/>
    <w:rsid w:val="00B25744"/>
    <w:rsid w:val="00B26A5E"/>
    <w:rsid w:val="00B2713B"/>
    <w:rsid w:val="00B27ACB"/>
    <w:rsid w:val="00B30371"/>
    <w:rsid w:val="00B322A2"/>
    <w:rsid w:val="00B34590"/>
    <w:rsid w:val="00B357FB"/>
    <w:rsid w:val="00B37B06"/>
    <w:rsid w:val="00B4012B"/>
    <w:rsid w:val="00B4182B"/>
    <w:rsid w:val="00B42A0A"/>
    <w:rsid w:val="00B43EA7"/>
    <w:rsid w:val="00B449F3"/>
    <w:rsid w:val="00B44E0C"/>
    <w:rsid w:val="00B44E40"/>
    <w:rsid w:val="00B4748B"/>
    <w:rsid w:val="00B50179"/>
    <w:rsid w:val="00B51C16"/>
    <w:rsid w:val="00B5239C"/>
    <w:rsid w:val="00B529A2"/>
    <w:rsid w:val="00B52B8D"/>
    <w:rsid w:val="00B52BF0"/>
    <w:rsid w:val="00B535A3"/>
    <w:rsid w:val="00B55759"/>
    <w:rsid w:val="00B55A00"/>
    <w:rsid w:val="00B55E54"/>
    <w:rsid w:val="00B56589"/>
    <w:rsid w:val="00B56C08"/>
    <w:rsid w:val="00B56D7B"/>
    <w:rsid w:val="00B5792C"/>
    <w:rsid w:val="00B60273"/>
    <w:rsid w:val="00B614DD"/>
    <w:rsid w:val="00B62224"/>
    <w:rsid w:val="00B63675"/>
    <w:rsid w:val="00B637B7"/>
    <w:rsid w:val="00B649A3"/>
    <w:rsid w:val="00B64D05"/>
    <w:rsid w:val="00B65E39"/>
    <w:rsid w:val="00B66548"/>
    <w:rsid w:val="00B66A25"/>
    <w:rsid w:val="00B66ADC"/>
    <w:rsid w:val="00B67D92"/>
    <w:rsid w:val="00B70207"/>
    <w:rsid w:val="00B70460"/>
    <w:rsid w:val="00B7196A"/>
    <w:rsid w:val="00B71A8C"/>
    <w:rsid w:val="00B748BA"/>
    <w:rsid w:val="00B7559C"/>
    <w:rsid w:val="00B756A6"/>
    <w:rsid w:val="00B7676F"/>
    <w:rsid w:val="00B76CDE"/>
    <w:rsid w:val="00B80012"/>
    <w:rsid w:val="00B807F1"/>
    <w:rsid w:val="00B824B7"/>
    <w:rsid w:val="00B83DCE"/>
    <w:rsid w:val="00B84226"/>
    <w:rsid w:val="00B84C53"/>
    <w:rsid w:val="00B85B26"/>
    <w:rsid w:val="00B866CE"/>
    <w:rsid w:val="00B86C21"/>
    <w:rsid w:val="00B87358"/>
    <w:rsid w:val="00B902FE"/>
    <w:rsid w:val="00B913C3"/>
    <w:rsid w:val="00B915E0"/>
    <w:rsid w:val="00B92066"/>
    <w:rsid w:val="00B929A5"/>
    <w:rsid w:val="00B9441B"/>
    <w:rsid w:val="00B94FD6"/>
    <w:rsid w:val="00B954D4"/>
    <w:rsid w:val="00B95BF2"/>
    <w:rsid w:val="00B964C1"/>
    <w:rsid w:val="00B96BA7"/>
    <w:rsid w:val="00B9768B"/>
    <w:rsid w:val="00B97EC2"/>
    <w:rsid w:val="00BA1062"/>
    <w:rsid w:val="00BA1810"/>
    <w:rsid w:val="00BA1876"/>
    <w:rsid w:val="00BA249A"/>
    <w:rsid w:val="00BA43FB"/>
    <w:rsid w:val="00BA4427"/>
    <w:rsid w:val="00BA5034"/>
    <w:rsid w:val="00BA569D"/>
    <w:rsid w:val="00BA64AA"/>
    <w:rsid w:val="00BA6BBF"/>
    <w:rsid w:val="00BA7B44"/>
    <w:rsid w:val="00BA7BCC"/>
    <w:rsid w:val="00BA7F60"/>
    <w:rsid w:val="00BB0223"/>
    <w:rsid w:val="00BB03A9"/>
    <w:rsid w:val="00BB171B"/>
    <w:rsid w:val="00BB198F"/>
    <w:rsid w:val="00BB27EC"/>
    <w:rsid w:val="00BB3B34"/>
    <w:rsid w:val="00BB404D"/>
    <w:rsid w:val="00BB4BF8"/>
    <w:rsid w:val="00BB4FC3"/>
    <w:rsid w:val="00BB582D"/>
    <w:rsid w:val="00BB7BA8"/>
    <w:rsid w:val="00BC0181"/>
    <w:rsid w:val="00BC1C00"/>
    <w:rsid w:val="00BC29DE"/>
    <w:rsid w:val="00BC2E60"/>
    <w:rsid w:val="00BC3026"/>
    <w:rsid w:val="00BC37C0"/>
    <w:rsid w:val="00BC3FFC"/>
    <w:rsid w:val="00BC49F2"/>
    <w:rsid w:val="00BC4D9B"/>
    <w:rsid w:val="00BC5102"/>
    <w:rsid w:val="00BC5DF5"/>
    <w:rsid w:val="00BC70DD"/>
    <w:rsid w:val="00BC785C"/>
    <w:rsid w:val="00BC7DD1"/>
    <w:rsid w:val="00BC7E6F"/>
    <w:rsid w:val="00BD18D9"/>
    <w:rsid w:val="00BD2AAD"/>
    <w:rsid w:val="00BD4B46"/>
    <w:rsid w:val="00BD4BBA"/>
    <w:rsid w:val="00BD4BD7"/>
    <w:rsid w:val="00BD5065"/>
    <w:rsid w:val="00BD55F4"/>
    <w:rsid w:val="00BD566D"/>
    <w:rsid w:val="00BD5D4A"/>
    <w:rsid w:val="00BD702B"/>
    <w:rsid w:val="00BD7034"/>
    <w:rsid w:val="00BD734A"/>
    <w:rsid w:val="00BD7B78"/>
    <w:rsid w:val="00BE1A9A"/>
    <w:rsid w:val="00BE20EE"/>
    <w:rsid w:val="00BE22CD"/>
    <w:rsid w:val="00BE3BB4"/>
    <w:rsid w:val="00BE6195"/>
    <w:rsid w:val="00BE771B"/>
    <w:rsid w:val="00BE773B"/>
    <w:rsid w:val="00BF03C1"/>
    <w:rsid w:val="00BF2D47"/>
    <w:rsid w:val="00BF2F09"/>
    <w:rsid w:val="00BF2F18"/>
    <w:rsid w:val="00BF36DD"/>
    <w:rsid w:val="00BF50AB"/>
    <w:rsid w:val="00BF60A6"/>
    <w:rsid w:val="00BF60EA"/>
    <w:rsid w:val="00BF6B6E"/>
    <w:rsid w:val="00C0139D"/>
    <w:rsid w:val="00C01792"/>
    <w:rsid w:val="00C02825"/>
    <w:rsid w:val="00C0378E"/>
    <w:rsid w:val="00C04D28"/>
    <w:rsid w:val="00C05343"/>
    <w:rsid w:val="00C05352"/>
    <w:rsid w:val="00C05D12"/>
    <w:rsid w:val="00C0654B"/>
    <w:rsid w:val="00C0763E"/>
    <w:rsid w:val="00C07C81"/>
    <w:rsid w:val="00C121E2"/>
    <w:rsid w:val="00C124C2"/>
    <w:rsid w:val="00C138CF"/>
    <w:rsid w:val="00C1442B"/>
    <w:rsid w:val="00C1446B"/>
    <w:rsid w:val="00C1455F"/>
    <w:rsid w:val="00C14BF2"/>
    <w:rsid w:val="00C16048"/>
    <w:rsid w:val="00C160D0"/>
    <w:rsid w:val="00C17D4B"/>
    <w:rsid w:val="00C17DA7"/>
    <w:rsid w:val="00C20CF5"/>
    <w:rsid w:val="00C2113C"/>
    <w:rsid w:val="00C2183D"/>
    <w:rsid w:val="00C229D5"/>
    <w:rsid w:val="00C264C9"/>
    <w:rsid w:val="00C2717A"/>
    <w:rsid w:val="00C32311"/>
    <w:rsid w:val="00C32404"/>
    <w:rsid w:val="00C32DA5"/>
    <w:rsid w:val="00C33340"/>
    <w:rsid w:val="00C34292"/>
    <w:rsid w:val="00C349D0"/>
    <w:rsid w:val="00C3536B"/>
    <w:rsid w:val="00C36511"/>
    <w:rsid w:val="00C36A33"/>
    <w:rsid w:val="00C36E13"/>
    <w:rsid w:val="00C37BD9"/>
    <w:rsid w:val="00C40989"/>
    <w:rsid w:val="00C40F9A"/>
    <w:rsid w:val="00C41730"/>
    <w:rsid w:val="00C432BA"/>
    <w:rsid w:val="00C449D2"/>
    <w:rsid w:val="00C45677"/>
    <w:rsid w:val="00C45E79"/>
    <w:rsid w:val="00C46258"/>
    <w:rsid w:val="00C46B68"/>
    <w:rsid w:val="00C46CF6"/>
    <w:rsid w:val="00C473A2"/>
    <w:rsid w:val="00C47748"/>
    <w:rsid w:val="00C47ADE"/>
    <w:rsid w:val="00C505CF"/>
    <w:rsid w:val="00C5076C"/>
    <w:rsid w:val="00C51505"/>
    <w:rsid w:val="00C51819"/>
    <w:rsid w:val="00C536AD"/>
    <w:rsid w:val="00C5404C"/>
    <w:rsid w:val="00C5420A"/>
    <w:rsid w:val="00C5498F"/>
    <w:rsid w:val="00C57EF8"/>
    <w:rsid w:val="00C60718"/>
    <w:rsid w:val="00C60AB8"/>
    <w:rsid w:val="00C614BC"/>
    <w:rsid w:val="00C62A96"/>
    <w:rsid w:val="00C63E22"/>
    <w:rsid w:val="00C645C1"/>
    <w:rsid w:val="00C64B27"/>
    <w:rsid w:val="00C64E73"/>
    <w:rsid w:val="00C661C3"/>
    <w:rsid w:val="00C661D4"/>
    <w:rsid w:val="00C708BE"/>
    <w:rsid w:val="00C724A1"/>
    <w:rsid w:val="00C72B7B"/>
    <w:rsid w:val="00C73360"/>
    <w:rsid w:val="00C73A4C"/>
    <w:rsid w:val="00C7441A"/>
    <w:rsid w:val="00C75EDE"/>
    <w:rsid w:val="00C76833"/>
    <w:rsid w:val="00C809D8"/>
    <w:rsid w:val="00C811C0"/>
    <w:rsid w:val="00C81609"/>
    <w:rsid w:val="00C832B9"/>
    <w:rsid w:val="00C835FB"/>
    <w:rsid w:val="00C8362E"/>
    <w:rsid w:val="00C83820"/>
    <w:rsid w:val="00C8514D"/>
    <w:rsid w:val="00C85A45"/>
    <w:rsid w:val="00C86CB2"/>
    <w:rsid w:val="00C91C71"/>
    <w:rsid w:val="00C91CBE"/>
    <w:rsid w:val="00C91E6F"/>
    <w:rsid w:val="00C922CB"/>
    <w:rsid w:val="00C93A2E"/>
    <w:rsid w:val="00C9402C"/>
    <w:rsid w:val="00C95126"/>
    <w:rsid w:val="00C952A0"/>
    <w:rsid w:val="00C95DFF"/>
    <w:rsid w:val="00C96779"/>
    <w:rsid w:val="00C976AC"/>
    <w:rsid w:val="00CA1962"/>
    <w:rsid w:val="00CA19C0"/>
    <w:rsid w:val="00CA2236"/>
    <w:rsid w:val="00CA263E"/>
    <w:rsid w:val="00CA26A0"/>
    <w:rsid w:val="00CA30F2"/>
    <w:rsid w:val="00CA337A"/>
    <w:rsid w:val="00CA3D89"/>
    <w:rsid w:val="00CA40FC"/>
    <w:rsid w:val="00CA5177"/>
    <w:rsid w:val="00CA52CF"/>
    <w:rsid w:val="00CA5746"/>
    <w:rsid w:val="00CA5C97"/>
    <w:rsid w:val="00CA6035"/>
    <w:rsid w:val="00CA6C20"/>
    <w:rsid w:val="00CA72A5"/>
    <w:rsid w:val="00CA7D03"/>
    <w:rsid w:val="00CB2338"/>
    <w:rsid w:val="00CB3DFF"/>
    <w:rsid w:val="00CB4231"/>
    <w:rsid w:val="00CB7013"/>
    <w:rsid w:val="00CB762D"/>
    <w:rsid w:val="00CB7EF2"/>
    <w:rsid w:val="00CC006B"/>
    <w:rsid w:val="00CC00BC"/>
    <w:rsid w:val="00CC017D"/>
    <w:rsid w:val="00CC07A5"/>
    <w:rsid w:val="00CC07BF"/>
    <w:rsid w:val="00CC3227"/>
    <w:rsid w:val="00CC3C59"/>
    <w:rsid w:val="00CC435D"/>
    <w:rsid w:val="00CC4651"/>
    <w:rsid w:val="00CC465C"/>
    <w:rsid w:val="00CC4AB8"/>
    <w:rsid w:val="00CC51B0"/>
    <w:rsid w:val="00CC7751"/>
    <w:rsid w:val="00CC77EF"/>
    <w:rsid w:val="00CD0219"/>
    <w:rsid w:val="00CD0DD2"/>
    <w:rsid w:val="00CD2560"/>
    <w:rsid w:val="00CD3755"/>
    <w:rsid w:val="00CD3B2C"/>
    <w:rsid w:val="00CD4021"/>
    <w:rsid w:val="00CD45D1"/>
    <w:rsid w:val="00CD479D"/>
    <w:rsid w:val="00CD4B50"/>
    <w:rsid w:val="00CD55F4"/>
    <w:rsid w:val="00CD57BA"/>
    <w:rsid w:val="00CD5AB4"/>
    <w:rsid w:val="00CD6616"/>
    <w:rsid w:val="00CE018E"/>
    <w:rsid w:val="00CE0B9C"/>
    <w:rsid w:val="00CE11B8"/>
    <w:rsid w:val="00CE2104"/>
    <w:rsid w:val="00CE3E3B"/>
    <w:rsid w:val="00CE3F1B"/>
    <w:rsid w:val="00CE46BA"/>
    <w:rsid w:val="00CE52A6"/>
    <w:rsid w:val="00CE5371"/>
    <w:rsid w:val="00CE57AA"/>
    <w:rsid w:val="00CE65CD"/>
    <w:rsid w:val="00CE7A4A"/>
    <w:rsid w:val="00CF1339"/>
    <w:rsid w:val="00CF1B65"/>
    <w:rsid w:val="00CF1CAD"/>
    <w:rsid w:val="00CF1DED"/>
    <w:rsid w:val="00CF1FDB"/>
    <w:rsid w:val="00CF321A"/>
    <w:rsid w:val="00CF3B86"/>
    <w:rsid w:val="00CF3FED"/>
    <w:rsid w:val="00CF4C08"/>
    <w:rsid w:val="00CF591B"/>
    <w:rsid w:val="00CF7E86"/>
    <w:rsid w:val="00D00063"/>
    <w:rsid w:val="00D022D6"/>
    <w:rsid w:val="00D03BD2"/>
    <w:rsid w:val="00D060BB"/>
    <w:rsid w:val="00D064C5"/>
    <w:rsid w:val="00D07CC8"/>
    <w:rsid w:val="00D07E14"/>
    <w:rsid w:val="00D10704"/>
    <w:rsid w:val="00D1078B"/>
    <w:rsid w:val="00D10E39"/>
    <w:rsid w:val="00D1170A"/>
    <w:rsid w:val="00D1290D"/>
    <w:rsid w:val="00D12A5D"/>
    <w:rsid w:val="00D1343F"/>
    <w:rsid w:val="00D13AA8"/>
    <w:rsid w:val="00D13BB1"/>
    <w:rsid w:val="00D13FC8"/>
    <w:rsid w:val="00D1506E"/>
    <w:rsid w:val="00D15A2F"/>
    <w:rsid w:val="00D171A9"/>
    <w:rsid w:val="00D1728A"/>
    <w:rsid w:val="00D20496"/>
    <w:rsid w:val="00D2086D"/>
    <w:rsid w:val="00D209AE"/>
    <w:rsid w:val="00D22777"/>
    <w:rsid w:val="00D22795"/>
    <w:rsid w:val="00D22E67"/>
    <w:rsid w:val="00D239B5"/>
    <w:rsid w:val="00D243AF"/>
    <w:rsid w:val="00D24803"/>
    <w:rsid w:val="00D24AC7"/>
    <w:rsid w:val="00D25CF7"/>
    <w:rsid w:val="00D30036"/>
    <w:rsid w:val="00D32390"/>
    <w:rsid w:val="00D328E1"/>
    <w:rsid w:val="00D32B72"/>
    <w:rsid w:val="00D337AA"/>
    <w:rsid w:val="00D33888"/>
    <w:rsid w:val="00D34A63"/>
    <w:rsid w:val="00D35F4F"/>
    <w:rsid w:val="00D36642"/>
    <w:rsid w:val="00D36909"/>
    <w:rsid w:val="00D36B34"/>
    <w:rsid w:val="00D37229"/>
    <w:rsid w:val="00D37C27"/>
    <w:rsid w:val="00D4033C"/>
    <w:rsid w:val="00D41986"/>
    <w:rsid w:val="00D421DB"/>
    <w:rsid w:val="00D42447"/>
    <w:rsid w:val="00D43591"/>
    <w:rsid w:val="00D435C0"/>
    <w:rsid w:val="00D45077"/>
    <w:rsid w:val="00D4533E"/>
    <w:rsid w:val="00D453C0"/>
    <w:rsid w:val="00D45504"/>
    <w:rsid w:val="00D46392"/>
    <w:rsid w:val="00D5040A"/>
    <w:rsid w:val="00D51EB7"/>
    <w:rsid w:val="00D5346A"/>
    <w:rsid w:val="00D5360C"/>
    <w:rsid w:val="00D53637"/>
    <w:rsid w:val="00D53A7D"/>
    <w:rsid w:val="00D55767"/>
    <w:rsid w:val="00D55FFB"/>
    <w:rsid w:val="00D56EEE"/>
    <w:rsid w:val="00D579D6"/>
    <w:rsid w:val="00D6011C"/>
    <w:rsid w:val="00D60560"/>
    <w:rsid w:val="00D611D2"/>
    <w:rsid w:val="00D629C4"/>
    <w:rsid w:val="00D635FC"/>
    <w:rsid w:val="00D63A81"/>
    <w:rsid w:val="00D64249"/>
    <w:rsid w:val="00D65BF9"/>
    <w:rsid w:val="00D65E20"/>
    <w:rsid w:val="00D666F1"/>
    <w:rsid w:val="00D677B1"/>
    <w:rsid w:val="00D67DE7"/>
    <w:rsid w:val="00D70281"/>
    <w:rsid w:val="00D71987"/>
    <w:rsid w:val="00D71BA0"/>
    <w:rsid w:val="00D71D5C"/>
    <w:rsid w:val="00D726F5"/>
    <w:rsid w:val="00D7327F"/>
    <w:rsid w:val="00D73453"/>
    <w:rsid w:val="00D735C6"/>
    <w:rsid w:val="00D7456E"/>
    <w:rsid w:val="00D749DF"/>
    <w:rsid w:val="00D754DA"/>
    <w:rsid w:val="00D75DCE"/>
    <w:rsid w:val="00D764F2"/>
    <w:rsid w:val="00D77372"/>
    <w:rsid w:val="00D77C35"/>
    <w:rsid w:val="00D80C69"/>
    <w:rsid w:val="00D8100D"/>
    <w:rsid w:val="00D82755"/>
    <w:rsid w:val="00D8283A"/>
    <w:rsid w:val="00D828CB"/>
    <w:rsid w:val="00D82E67"/>
    <w:rsid w:val="00D831A9"/>
    <w:rsid w:val="00D831AC"/>
    <w:rsid w:val="00D8511E"/>
    <w:rsid w:val="00D85FBA"/>
    <w:rsid w:val="00D85FFB"/>
    <w:rsid w:val="00D904C4"/>
    <w:rsid w:val="00D90C1E"/>
    <w:rsid w:val="00D92B99"/>
    <w:rsid w:val="00D92BB4"/>
    <w:rsid w:val="00D92C65"/>
    <w:rsid w:val="00D93D83"/>
    <w:rsid w:val="00D9561B"/>
    <w:rsid w:val="00D975F4"/>
    <w:rsid w:val="00D97926"/>
    <w:rsid w:val="00D97AB3"/>
    <w:rsid w:val="00DA0239"/>
    <w:rsid w:val="00DA0513"/>
    <w:rsid w:val="00DA0C53"/>
    <w:rsid w:val="00DA0C7B"/>
    <w:rsid w:val="00DA0F3C"/>
    <w:rsid w:val="00DA14BD"/>
    <w:rsid w:val="00DA1770"/>
    <w:rsid w:val="00DA208B"/>
    <w:rsid w:val="00DA3380"/>
    <w:rsid w:val="00DA3494"/>
    <w:rsid w:val="00DA3557"/>
    <w:rsid w:val="00DA4701"/>
    <w:rsid w:val="00DA5047"/>
    <w:rsid w:val="00DA5FEC"/>
    <w:rsid w:val="00DA6104"/>
    <w:rsid w:val="00DA7298"/>
    <w:rsid w:val="00DB2332"/>
    <w:rsid w:val="00DB3A56"/>
    <w:rsid w:val="00DB3B66"/>
    <w:rsid w:val="00DB5505"/>
    <w:rsid w:val="00DB56FC"/>
    <w:rsid w:val="00DB5EF8"/>
    <w:rsid w:val="00DB5F23"/>
    <w:rsid w:val="00DB6A37"/>
    <w:rsid w:val="00DB6FF9"/>
    <w:rsid w:val="00DB74F7"/>
    <w:rsid w:val="00DC055F"/>
    <w:rsid w:val="00DC0CA7"/>
    <w:rsid w:val="00DC3267"/>
    <w:rsid w:val="00DC3AF0"/>
    <w:rsid w:val="00DC4BB8"/>
    <w:rsid w:val="00DC6321"/>
    <w:rsid w:val="00DC65F2"/>
    <w:rsid w:val="00DC7876"/>
    <w:rsid w:val="00DC7DD5"/>
    <w:rsid w:val="00DD0480"/>
    <w:rsid w:val="00DD12E9"/>
    <w:rsid w:val="00DD2CFB"/>
    <w:rsid w:val="00DD375A"/>
    <w:rsid w:val="00DD4263"/>
    <w:rsid w:val="00DD459F"/>
    <w:rsid w:val="00DD5309"/>
    <w:rsid w:val="00DD5562"/>
    <w:rsid w:val="00DD5DBB"/>
    <w:rsid w:val="00DD664B"/>
    <w:rsid w:val="00DD6704"/>
    <w:rsid w:val="00DE0860"/>
    <w:rsid w:val="00DE1067"/>
    <w:rsid w:val="00DE12A6"/>
    <w:rsid w:val="00DE16F8"/>
    <w:rsid w:val="00DE23BE"/>
    <w:rsid w:val="00DE2508"/>
    <w:rsid w:val="00DE329C"/>
    <w:rsid w:val="00DE3ED7"/>
    <w:rsid w:val="00DE57DB"/>
    <w:rsid w:val="00DE5C1B"/>
    <w:rsid w:val="00DE6A7F"/>
    <w:rsid w:val="00DE7121"/>
    <w:rsid w:val="00DE7145"/>
    <w:rsid w:val="00DF07C4"/>
    <w:rsid w:val="00DF1291"/>
    <w:rsid w:val="00DF2ADE"/>
    <w:rsid w:val="00DF312D"/>
    <w:rsid w:val="00DF3A11"/>
    <w:rsid w:val="00DF3E63"/>
    <w:rsid w:val="00DF4BBB"/>
    <w:rsid w:val="00DF4EBE"/>
    <w:rsid w:val="00DF5AAA"/>
    <w:rsid w:val="00DF64CA"/>
    <w:rsid w:val="00DF670C"/>
    <w:rsid w:val="00DF67C6"/>
    <w:rsid w:val="00DF6A4E"/>
    <w:rsid w:val="00DF72EB"/>
    <w:rsid w:val="00E017AF"/>
    <w:rsid w:val="00E02F1E"/>
    <w:rsid w:val="00E03992"/>
    <w:rsid w:val="00E03F30"/>
    <w:rsid w:val="00E04108"/>
    <w:rsid w:val="00E042B7"/>
    <w:rsid w:val="00E052C2"/>
    <w:rsid w:val="00E063EA"/>
    <w:rsid w:val="00E06EDE"/>
    <w:rsid w:val="00E071C8"/>
    <w:rsid w:val="00E074DF"/>
    <w:rsid w:val="00E07C70"/>
    <w:rsid w:val="00E11BE3"/>
    <w:rsid w:val="00E11E63"/>
    <w:rsid w:val="00E122B6"/>
    <w:rsid w:val="00E130CB"/>
    <w:rsid w:val="00E1392C"/>
    <w:rsid w:val="00E14AF4"/>
    <w:rsid w:val="00E14E33"/>
    <w:rsid w:val="00E1587F"/>
    <w:rsid w:val="00E15C26"/>
    <w:rsid w:val="00E162BE"/>
    <w:rsid w:val="00E173C3"/>
    <w:rsid w:val="00E17BC9"/>
    <w:rsid w:val="00E17DD6"/>
    <w:rsid w:val="00E200DD"/>
    <w:rsid w:val="00E218EB"/>
    <w:rsid w:val="00E22AC6"/>
    <w:rsid w:val="00E23498"/>
    <w:rsid w:val="00E24830"/>
    <w:rsid w:val="00E249CF"/>
    <w:rsid w:val="00E2514D"/>
    <w:rsid w:val="00E25A84"/>
    <w:rsid w:val="00E25C7D"/>
    <w:rsid w:val="00E2623B"/>
    <w:rsid w:val="00E273E5"/>
    <w:rsid w:val="00E30097"/>
    <w:rsid w:val="00E318A6"/>
    <w:rsid w:val="00E32E43"/>
    <w:rsid w:val="00E32FE9"/>
    <w:rsid w:val="00E334C6"/>
    <w:rsid w:val="00E3362A"/>
    <w:rsid w:val="00E336E2"/>
    <w:rsid w:val="00E3375B"/>
    <w:rsid w:val="00E33979"/>
    <w:rsid w:val="00E346A0"/>
    <w:rsid w:val="00E35E35"/>
    <w:rsid w:val="00E37491"/>
    <w:rsid w:val="00E41C62"/>
    <w:rsid w:val="00E41E48"/>
    <w:rsid w:val="00E41EE9"/>
    <w:rsid w:val="00E41FEB"/>
    <w:rsid w:val="00E42826"/>
    <w:rsid w:val="00E42B9C"/>
    <w:rsid w:val="00E433CC"/>
    <w:rsid w:val="00E4358F"/>
    <w:rsid w:val="00E435DD"/>
    <w:rsid w:val="00E438C3"/>
    <w:rsid w:val="00E44894"/>
    <w:rsid w:val="00E45549"/>
    <w:rsid w:val="00E45590"/>
    <w:rsid w:val="00E4565A"/>
    <w:rsid w:val="00E461D4"/>
    <w:rsid w:val="00E463ED"/>
    <w:rsid w:val="00E47447"/>
    <w:rsid w:val="00E50DDD"/>
    <w:rsid w:val="00E50E09"/>
    <w:rsid w:val="00E524DD"/>
    <w:rsid w:val="00E5334D"/>
    <w:rsid w:val="00E54349"/>
    <w:rsid w:val="00E54BF7"/>
    <w:rsid w:val="00E54E4B"/>
    <w:rsid w:val="00E577EC"/>
    <w:rsid w:val="00E60C1F"/>
    <w:rsid w:val="00E60EFB"/>
    <w:rsid w:val="00E62285"/>
    <w:rsid w:val="00E62819"/>
    <w:rsid w:val="00E63960"/>
    <w:rsid w:val="00E6396F"/>
    <w:rsid w:val="00E6454B"/>
    <w:rsid w:val="00E64E94"/>
    <w:rsid w:val="00E65AEE"/>
    <w:rsid w:val="00E65CC6"/>
    <w:rsid w:val="00E66801"/>
    <w:rsid w:val="00E66B1D"/>
    <w:rsid w:val="00E66F7B"/>
    <w:rsid w:val="00E70E18"/>
    <w:rsid w:val="00E71C63"/>
    <w:rsid w:val="00E71E25"/>
    <w:rsid w:val="00E72790"/>
    <w:rsid w:val="00E72916"/>
    <w:rsid w:val="00E76002"/>
    <w:rsid w:val="00E77520"/>
    <w:rsid w:val="00E775F9"/>
    <w:rsid w:val="00E77C52"/>
    <w:rsid w:val="00E812AB"/>
    <w:rsid w:val="00E82660"/>
    <w:rsid w:val="00E840B7"/>
    <w:rsid w:val="00E85159"/>
    <w:rsid w:val="00E8551D"/>
    <w:rsid w:val="00E85A7E"/>
    <w:rsid w:val="00E85B5D"/>
    <w:rsid w:val="00E85C90"/>
    <w:rsid w:val="00E86547"/>
    <w:rsid w:val="00E86B2D"/>
    <w:rsid w:val="00E86F69"/>
    <w:rsid w:val="00E8705F"/>
    <w:rsid w:val="00E873E1"/>
    <w:rsid w:val="00E9020F"/>
    <w:rsid w:val="00E9045F"/>
    <w:rsid w:val="00E9165D"/>
    <w:rsid w:val="00E9269B"/>
    <w:rsid w:val="00E93BBC"/>
    <w:rsid w:val="00E93C29"/>
    <w:rsid w:val="00E93FF2"/>
    <w:rsid w:val="00E940B2"/>
    <w:rsid w:val="00E95DBF"/>
    <w:rsid w:val="00E96EEB"/>
    <w:rsid w:val="00E97E92"/>
    <w:rsid w:val="00EA0D4F"/>
    <w:rsid w:val="00EA1693"/>
    <w:rsid w:val="00EA1B2B"/>
    <w:rsid w:val="00EA1BCE"/>
    <w:rsid w:val="00EA3DC8"/>
    <w:rsid w:val="00EA405B"/>
    <w:rsid w:val="00EA5748"/>
    <w:rsid w:val="00EA74F0"/>
    <w:rsid w:val="00EB0D10"/>
    <w:rsid w:val="00EB45D0"/>
    <w:rsid w:val="00EB4C26"/>
    <w:rsid w:val="00EB4D4D"/>
    <w:rsid w:val="00EB5555"/>
    <w:rsid w:val="00EB6134"/>
    <w:rsid w:val="00EB62DB"/>
    <w:rsid w:val="00EB669F"/>
    <w:rsid w:val="00EB729D"/>
    <w:rsid w:val="00EB7700"/>
    <w:rsid w:val="00EC1A6C"/>
    <w:rsid w:val="00EC39C1"/>
    <w:rsid w:val="00EC5EAD"/>
    <w:rsid w:val="00EC6081"/>
    <w:rsid w:val="00EC6CC0"/>
    <w:rsid w:val="00EC76ED"/>
    <w:rsid w:val="00EC7932"/>
    <w:rsid w:val="00ED1644"/>
    <w:rsid w:val="00ED3021"/>
    <w:rsid w:val="00ED4B6A"/>
    <w:rsid w:val="00ED6E8D"/>
    <w:rsid w:val="00ED7509"/>
    <w:rsid w:val="00ED75A9"/>
    <w:rsid w:val="00ED75D8"/>
    <w:rsid w:val="00ED786E"/>
    <w:rsid w:val="00ED7CBC"/>
    <w:rsid w:val="00EE11FF"/>
    <w:rsid w:val="00EE1E7A"/>
    <w:rsid w:val="00EE217E"/>
    <w:rsid w:val="00EE2506"/>
    <w:rsid w:val="00EE252C"/>
    <w:rsid w:val="00EE2D73"/>
    <w:rsid w:val="00EE32F8"/>
    <w:rsid w:val="00EE38AF"/>
    <w:rsid w:val="00EE390D"/>
    <w:rsid w:val="00EE4640"/>
    <w:rsid w:val="00EE4C28"/>
    <w:rsid w:val="00EE6731"/>
    <w:rsid w:val="00EE7DC2"/>
    <w:rsid w:val="00EF065A"/>
    <w:rsid w:val="00EF0F2D"/>
    <w:rsid w:val="00EF152E"/>
    <w:rsid w:val="00EF189F"/>
    <w:rsid w:val="00EF197C"/>
    <w:rsid w:val="00EF254B"/>
    <w:rsid w:val="00EF3E3C"/>
    <w:rsid w:val="00EF4FF2"/>
    <w:rsid w:val="00EF5218"/>
    <w:rsid w:val="00EF5F86"/>
    <w:rsid w:val="00EF737D"/>
    <w:rsid w:val="00EF77F2"/>
    <w:rsid w:val="00EF7C75"/>
    <w:rsid w:val="00F005A7"/>
    <w:rsid w:val="00F03C97"/>
    <w:rsid w:val="00F04225"/>
    <w:rsid w:val="00F048A8"/>
    <w:rsid w:val="00F0652B"/>
    <w:rsid w:val="00F06A66"/>
    <w:rsid w:val="00F06D40"/>
    <w:rsid w:val="00F071DE"/>
    <w:rsid w:val="00F076B0"/>
    <w:rsid w:val="00F07CC4"/>
    <w:rsid w:val="00F07F73"/>
    <w:rsid w:val="00F117FE"/>
    <w:rsid w:val="00F11B19"/>
    <w:rsid w:val="00F14401"/>
    <w:rsid w:val="00F14A8D"/>
    <w:rsid w:val="00F15900"/>
    <w:rsid w:val="00F16353"/>
    <w:rsid w:val="00F17E4E"/>
    <w:rsid w:val="00F2035F"/>
    <w:rsid w:val="00F2063E"/>
    <w:rsid w:val="00F2278D"/>
    <w:rsid w:val="00F2424B"/>
    <w:rsid w:val="00F24B8F"/>
    <w:rsid w:val="00F2582A"/>
    <w:rsid w:val="00F25DDD"/>
    <w:rsid w:val="00F30A7C"/>
    <w:rsid w:val="00F33960"/>
    <w:rsid w:val="00F342C0"/>
    <w:rsid w:val="00F342E7"/>
    <w:rsid w:val="00F345A8"/>
    <w:rsid w:val="00F365A9"/>
    <w:rsid w:val="00F40464"/>
    <w:rsid w:val="00F41C3B"/>
    <w:rsid w:val="00F42246"/>
    <w:rsid w:val="00F42B9D"/>
    <w:rsid w:val="00F4423C"/>
    <w:rsid w:val="00F4462B"/>
    <w:rsid w:val="00F44653"/>
    <w:rsid w:val="00F44BC5"/>
    <w:rsid w:val="00F46E10"/>
    <w:rsid w:val="00F46E21"/>
    <w:rsid w:val="00F471C7"/>
    <w:rsid w:val="00F523DF"/>
    <w:rsid w:val="00F52B0B"/>
    <w:rsid w:val="00F52B96"/>
    <w:rsid w:val="00F54AB1"/>
    <w:rsid w:val="00F54B1D"/>
    <w:rsid w:val="00F55741"/>
    <w:rsid w:val="00F56F31"/>
    <w:rsid w:val="00F57127"/>
    <w:rsid w:val="00F577C9"/>
    <w:rsid w:val="00F577EE"/>
    <w:rsid w:val="00F610A5"/>
    <w:rsid w:val="00F61BD1"/>
    <w:rsid w:val="00F61ED2"/>
    <w:rsid w:val="00F6273D"/>
    <w:rsid w:val="00F636CC"/>
    <w:rsid w:val="00F6410D"/>
    <w:rsid w:val="00F64E96"/>
    <w:rsid w:val="00F654F8"/>
    <w:rsid w:val="00F66886"/>
    <w:rsid w:val="00F6730A"/>
    <w:rsid w:val="00F67F20"/>
    <w:rsid w:val="00F70384"/>
    <w:rsid w:val="00F70DF4"/>
    <w:rsid w:val="00F71081"/>
    <w:rsid w:val="00F720D8"/>
    <w:rsid w:val="00F74630"/>
    <w:rsid w:val="00F74D1F"/>
    <w:rsid w:val="00F774B3"/>
    <w:rsid w:val="00F81654"/>
    <w:rsid w:val="00F827C6"/>
    <w:rsid w:val="00F8386B"/>
    <w:rsid w:val="00F8533D"/>
    <w:rsid w:val="00F861DC"/>
    <w:rsid w:val="00F865D8"/>
    <w:rsid w:val="00F87376"/>
    <w:rsid w:val="00F9060E"/>
    <w:rsid w:val="00F9075B"/>
    <w:rsid w:val="00F909B3"/>
    <w:rsid w:val="00F90D22"/>
    <w:rsid w:val="00F9122A"/>
    <w:rsid w:val="00F917E4"/>
    <w:rsid w:val="00F91D10"/>
    <w:rsid w:val="00F9392A"/>
    <w:rsid w:val="00F93A0D"/>
    <w:rsid w:val="00F957C2"/>
    <w:rsid w:val="00F96816"/>
    <w:rsid w:val="00FA05D6"/>
    <w:rsid w:val="00FA125E"/>
    <w:rsid w:val="00FA6D2C"/>
    <w:rsid w:val="00FA7C7F"/>
    <w:rsid w:val="00FB00AB"/>
    <w:rsid w:val="00FB056D"/>
    <w:rsid w:val="00FB0936"/>
    <w:rsid w:val="00FB100C"/>
    <w:rsid w:val="00FB1BB6"/>
    <w:rsid w:val="00FB2A15"/>
    <w:rsid w:val="00FB2BE3"/>
    <w:rsid w:val="00FB3863"/>
    <w:rsid w:val="00FB5336"/>
    <w:rsid w:val="00FB5594"/>
    <w:rsid w:val="00FB5BF6"/>
    <w:rsid w:val="00FB7CB2"/>
    <w:rsid w:val="00FC2C5D"/>
    <w:rsid w:val="00FC413E"/>
    <w:rsid w:val="00FC4D55"/>
    <w:rsid w:val="00FC5907"/>
    <w:rsid w:val="00FC71A2"/>
    <w:rsid w:val="00FC7535"/>
    <w:rsid w:val="00FC7602"/>
    <w:rsid w:val="00FC779A"/>
    <w:rsid w:val="00FC7DAE"/>
    <w:rsid w:val="00FD22EC"/>
    <w:rsid w:val="00FD24BE"/>
    <w:rsid w:val="00FD2E1D"/>
    <w:rsid w:val="00FD339F"/>
    <w:rsid w:val="00FD3BB2"/>
    <w:rsid w:val="00FD48EC"/>
    <w:rsid w:val="00FD56DC"/>
    <w:rsid w:val="00FD7BAF"/>
    <w:rsid w:val="00FD7D8C"/>
    <w:rsid w:val="00FE01BB"/>
    <w:rsid w:val="00FE2727"/>
    <w:rsid w:val="00FE2976"/>
    <w:rsid w:val="00FE2A26"/>
    <w:rsid w:val="00FE3658"/>
    <w:rsid w:val="00FE3880"/>
    <w:rsid w:val="00FE3D41"/>
    <w:rsid w:val="00FE43D3"/>
    <w:rsid w:val="00FE499B"/>
    <w:rsid w:val="00FE4CDB"/>
    <w:rsid w:val="00FE4EE0"/>
    <w:rsid w:val="00FE5683"/>
    <w:rsid w:val="00FE6FE0"/>
    <w:rsid w:val="00FE7709"/>
    <w:rsid w:val="00FF1055"/>
    <w:rsid w:val="00FF11DA"/>
    <w:rsid w:val="00FF16C2"/>
    <w:rsid w:val="00FF1D55"/>
    <w:rsid w:val="00FF27E6"/>
    <w:rsid w:val="00FF4404"/>
    <w:rsid w:val="00FF51D9"/>
    <w:rsid w:val="00FF5C35"/>
    <w:rsid w:val="00FF5C51"/>
    <w:rsid w:val="00FF6289"/>
    <w:rsid w:val="00FF6DC7"/>
    <w:rsid w:val="00FF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1665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TableTitle">
    <w:name w:val="Table_Title"/>
    <w:basedOn w:val="Normal"/>
    <w:rsid w:val="00D22777"/>
    <w:pPr>
      <w:keepNext/>
      <w:spacing w:before="240" w:after="120" w:line="240" w:lineRule="auto"/>
    </w:pPr>
    <w:rPr>
      <w:rFonts w:ascii="Calibri" w:hAnsi="Calibri" w:cs="Calibri"/>
      <w:b/>
      <w:bCs/>
    </w:rPr>
  </w:style>
  <w:style w:type="paragraph" w:customStyle="1" w:styleId="TableHeaders">
    <w:name w:val="Table_Headers"/>
    <w:basedOn w:val="Normal"/>
    <w:rsid w:val="00D22777"/>
    <w:pPr>
      <w:keepNext/>
      <w:spacing w:before="40" w:after="40" w:line="240" w:lineRule="auto"/>
      <w:jc w:val="center"/>
    </w:pPr>
    <w:rPr>
      <w:rFonts w:ascii="Calibri" w:hAnsi="Calibri" w:cs="Calibri"/>
      <w:b/>
      <w:bCs/>
      <w:sz w:val="20"/>
      <w:szCs w:val="20"/>
    </w:rPr>
  </w:style>
  <w:style w:type="paragraph" w:customStyle="1" w:styleId="TableText">
    <w:name w:val="Table_Text"/>
    <w:basedOn w:val="Normal"/>
    <w:rsid w:val="00D22777"/>
    <w:pPr>
      <w:keepNext/>
      <w:spacing w:after="120" w:line="240" w:lineRule="auto"/>
    </w:pPr>
    <w:rPr>
      <w:rFonts w:ascii="Calibri" w:hAnsi="Calibri" w:cs="Calibri"/>
      <w:sz w:val="20"/>
      <w:szCs w:val="20"/>
    </w:rPr>
  </w:style>
  <w:style w:type="paragraph" w:customStyle="1" w:styleId="Paragraph">
    <w:name w:val="Paragraph"/>
    <w:basedOn w:val="Normal"/>
    <w:qFormat/>
    <w:rsid w:val="004D64B5"/>
    <w:pPr>
      <w:spacing w:after="160" w:line="264" w:lineRule="auto"/>
    </w:pPr>
  </w:style>
  <w:style w:type="paragraph" w:customStyle="1" w:styleId="ParagraphContinued">
    <w:name w:val="Paragraph Continued"/>
    <w:basedOn w:val="Paragraph"/>
    <w:next w:val="Paragraph"/>
    <w:qFormat/>
    <w:rsid w:val="004D64B5"/>
    <w:pPr>
      <w:spacing w:before="160"/>
    </w:pPr>
  </w:style>
  <w:style w:type="paragraph" w:styleId="ListNumber">
    <w:name w:val="List Number"/>
    <w:basedOn w:val="Normal"/>
    <w:qFormat/>
    <w:rsid w:val="004D64B5"/>
    <w:pPr>
      <w:numPr>
        <w:numId w:val="3"/>
      </w:numPr>
      <w:adjustRightInd w:val="0"/>
      <w:spacing w:after="80" w:line="264" w:lineRule="auto"/>
    </w:pPr>
  </w:style>
  <w:style w:type="paragraph" w:customStyle="1" w:styleId="ListAlpha2">
    <w:name w:val="List Alpha 2"/>
    <w:basedOn w:val="List2"/>
    <w:qFormat/>
    <w:rsid w:val="004D64B5"/>
    <w:pPr>
      <w:numPr>
        <w:numId w:val="2"/>
      </w:numPr>
      <w:tabs>
        <w:tab w:val="clear" w:pos="720"/>
      </w:tabs>
      <w:spacing w:after="80" w:line="264" w:lineRule="auto"/>
      <w:ind w:left="1440"/>
      <w:contextualSpacing w:val="0"/>
    </w:pPr>
  </w:style>
  <w:style w:type="paragraph" w:styleId="List2">
    <w:name w:val="List 2"/>
    <w:basedOn w:val="Normal"/>
    <w:uiPriority w:val="99"/>
    <w:semiHidden/>
    <w:unhideWhenUsed/>
    <w:rsid w:val="004D64B5"/>
    <w:pPr>
      <w:ind w:left="720" w:hanging="360"/>
      <w:contextualSpacing/>
    </w:pPr>
  </w:style>
  <w:style w:type="character" w:customStyle="1" w:styleId="UnresolvedMention1">
    <w:name w:val="Unresolved Mention1"/>
    <w:basedOn w:val="DefaultParagraphFont"/>
    <w:uiPriority w:val="99"/>
    <w:semiHidden/>
    <w:unhideWhenUsed/>
    <w:rsid w:val="00F07F73"/>
    <w:rPr>
      <w:color w:val="605E5C"/>
      <w:shd w:val="clear" w:color="auto" w:fill="E1DFDD"/>
    </w:rPr>
  </w:style>
  <w:style w:type="character" w:styleId="FollowedHyperlink">
    <w:name w:val="FollowedHyperlink"/>
    <w:basedOn w:val="DefaultParagraphFont"/>
    <w:uiPriority w:val="99"/>
    <w:semiHidden/>
    <w:unhideWhenUsed/>
    <w:rsid w:val="00FC7602"/>
    <w:rPr>
      <w:color w:val="800080" w:themeColor="followedHyperlink"/>
      <w:u w:val="single"/>
    </w:rPr>
  </w:style>
  <w:style w:type="paragraph" w:customStyle="1" w:styleId="Callout">
    <w:name w:val="Callout"/>
    <w:basedOn w:val="Normal"/>
    <w:qFormat/>
    <w:rsid w:val="00AB43C5"/>
    <w:pPr>
      <w:spacing w:after="0" w:line="264" w:lineRule="auto"/>
    </w:pPr>
    <w:rPr>
      <w:rFonts w:asciiTheme="majorHAnsi" w:hAnsiTheme="majorHAnsi"/>
      <w:b/>
      <w:bCs/>
      <w:color w:val="4F81BD" w:themeColor="accent1"/>
      <w:sz w:val="24"/>
    </w:rPr>
  </w:style>
  <w:style w:type="paragraph" w:customStyle="1" w:styleId="TableListBullet">
    <w:name w:val="Table List Bullet"/>
    <w:basedOn w:val="Normal"/>
    <w:qFormat/>
    <w:rsid w:val="00AB43C5"/>
    <w:pPr>
      <w:numPr>
        <w:numId w:val="5"/>
      </w:numPr>
      <w:spacing w:before="40" w:after="20" w:line="264" w:lineRule="auto"/>
    </w:pPr>
    <w:rPr>
      <w:rFonts w:asciiTheme="majorHAnsi" w:hAnsiTheme="majorHAnsi"/>
      <w:color w:val="000000" w:themeColor="text1"/>
      <w:sz w:val="18"/>
    </w:rPr>
  </w:style>
  <w:style w:type="paragraph" w:customStyle="1" w:styleId="TableListBullet2">
    <w:name w:val="Table List Bullet 2"/>
    <w:basedOn w:val="TableListBullet"/>
    <w:qFormat/>
    <w:rsid w:val="00AB43C5"/>
    <w:pPr>
      <w:numPr>
        <w:numId w:val="4"/>
      </w:numPr>
    </w:pPr>
  </w:style>
  <w:style w:type="character" w:customStyle="1" w:styleId="Bold">
    <w:name w:val="Bold"/>
    <w:basedOn w:val="DefaultParagraphFont"/>
    <w:qFormat/>
    <w:rsid w:val="00AB43C5"/>
    <w:rPr>
      <w:b/>
    </w:rPr>
  </w:style>
  <w:style w:type="paragraph" w:customStyle="1" w:styleId="NormalSS">
    <w:name w:val="NormalSS"/>
    <w:basedOn w:val="Normal"/>
    <w:link w:val="NormalSSChar"/>
    <w:qFormat/>
    <w:rsid w:val="009835A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9835A8"/>
    <w:rPr>
      <w:rFonts w:ascii="Garamond" w:eastAsia="Times New Roman" w:hAnsi="Garamond" w:cs="Times New Roman"/>
      <w:sz w:val="24"/>
      <w:szCs w:val="24"/>
    </w:rPr>
  </w:style>
  <w:style w:type="paragraph" w:customStyle="1" w:styleId="Default">
    <w:name w:val="Default"/>
    <w:rsid w:val="00BF50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66520"/>
    <w:rPr>
      <w:rFonts w:asciiTheme="majorHAnsi" w:eastAsiaTheme="majorEastAsia" w:hAnsiTheme="majorHAnsi" w:cstheme="majorBidi"/>
      <w:color w:val="365F91" w:themeColor="accent1" w:themeShade="BF"/>
      <w:sz w:val="32"/>
      <w:szCs w:val="32"/>
    </w:rPr>
  </w:style>
  <w:style w:type="paragraph" w:customStyle="1" w:styleId="Reference">
    <w:name w:val="Reference"/>
    <w:basedOn w:val="ListContinue"/>
    <w:qFormat/>
    <w:rsid w:val="003C4292"/>
    <w:pPr>
      <w:keepLines/>
      <w:spacing w:after="80" w:line="264" w:lineRule="auto"/>
      <w:ind w:hanging="360"/>
      <w:contextualSpacing w:val="0"/>
    </w:pPr>
  </w:style>
  <w:style w:type="paragraph" w:styleId="ListContinue">
    <w:name w:val="List Continue"/>
    <w:basedOn w:val="Normal"/>
    <w:uiPriority w:val="99"/>
    <w:semiHidden/>
    <w:unhideWhenUsed/>
    <w:rsid w:val="003C4292"/>
    <w:pPr>
      <w:spacing w:after="120"/>
      <w:ind w:left="360"/>
      <w:contextualSpacing/>
    </w:pPr>
  </w:style>
  <w:style w:type="table" w:customStyle="1" w:styleId="MPRBaseTable">
    <w:name w:val="MPR Base Table"/>
    <w:basedOn w:val="TableNormal"/>
    <w:uiPriority w:val="99"/>
    <w:rsid w:val="00923B2F"/>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NoteHeading">
    <w:name w:val="Note Heading"/>
    <w:basedOn w:val="Normal"/>
    <w:next w:val="Normal"/>
    <w:link w:val="NoteHeadingChar"/>
    <w:qFormat/>
    <w:rsid w:val="000210FD"/>
    <w:pPr>
      <w:keepNext/>
      <w:keepLines/>
      <w:spacing w:before="240" w:after="0" w:line="264" w:lineRule="auto"/>
    </w:pPr>
    <w:rPr>
      <w:rFonts w:asciiTheme="majorHAnsi" w:eastAsiaTheme="majorEastAsia" w:hAnsiTheme="majorHAnsi" w:cstheme="majorBidi"/>
      <w:b/>
      <w:color w:val="4F81BD" w:themeColor="accent1"/>
      <w:sz w:val="20"/>
      <w:szCs w:val="32"/>
    </w:rPr>
  </w:style>
  <w:style w:type="character" w:customStyle="1" w:styleId="NoteHeadingChar">
    <w:name w:val="Note Heading Char"/>
    <w:basedOn w:val="DefaultParagraphFont"/>
    <w:link w:val="NoteHeading"/>
    <w:rsid w:val="000210FD"/>
    <w:rPr>
      <w:rFonts w:asciiTheme="majorHAnsi" w:eastAsiaTheme="majorEastAsia" w:hAnsiTheme="majorHAnsi" w:cstheme="majorBidi"/>
      <w:b/>
      <w:color w:val="4F81BD" w:themeColor="accent1"/>
      <w:sz w:val="20"/>
      <w:szCs w:val="32"/>
    </w:rPr>
  </w:style>
  <w:style w:type="paragraph" w:customStyle="1" w:styleId="Anchor">
    <w:name w:val="Anchor"/>
    <w:qFormat/>
    <w:rsid w:val="000210FD"/>
    <w:pPr>
      <w:spacing w:after="0" w:line="20" w:lineRule="exact"/>
    </w:pPr>
    <w:rPr>
      <w:b/>
      <w:bCs/>
      <w:color w:val="FFFFFF" w:themeColor="background1"/>
      <w:sz w:val="2"/>
    </w:rPr>
  </w:style>
  <w:style w:type="character" w:customStyle="1" w:styleId="UnresolvedMention2">
    <w:name w:val="Unresolved Mention2"/>
    <w:basedOn w:val="DefaultParagraphFont"/>
    <w:uiPriority w:val="99"/>
    <w:semiHidden/>
    <w:unhideWhenUsed/>
    <w:rsid w:val="004A59A5"/>
    <w:rPr>
      <w:color w:val="605E5C"/>
      <w:shd w:val="clear" w:color="auto" w:fill="E1DFDD"/>
    </w:rPr>
  </w:style>
  <w:style w:type="paragraph" w:customStyle="1" w:styleId="References">
    <w:name w:val="References"/>
    <w:basedOn w:val="Normal"/>
    <w:qFormat/>
    <w:rsid w:val="00FE2A26"/>
    <w:pPr>
      <w:keepLines/>
      <w:spacing w:after="240" w:line="240" w:lineRule="auto"/>
      <w:ind w:left="432" w:hanging="432"/>
    </w:pPr>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7A629E"/>
    <w:rPr>
      <w:color w:val="605E5C"/>
      <w:shd w:val="clear" w:color="auto" w:fill="E1DFDD"/>
    </w:rPr>
  </w:style>
  <w:style w:type="character" w:styleId="PageNumber">
    <w:name w:val="page number"/>
    <w:basedOn w:val="DefaultParagraphFont"/>
    <w:rsid w:val="003116DF"/>
  </w:style>
  <w:style w:type="character" w:customStyle="1" w:styleId="nlmyear">
    <w:name w:val="nlm_year"/>
    <w:basedOn w:val="DefaultParagraphFont"/>
    <w:rsid w:val="00B43EA7"/>
  </w:style>
  <w:style w:type="character" w:customStyle="1" w:styleId="nlmarticle-title">
    <w:name w:val="nlm_article-title"/>
    <w:basedOn w:val="DefaultParagraphFont"/>
    <w:rsid w:val="00B43EA7"/>
  </w:style>
  <w:style w:type="character" w:customStyle="1" w:styleId="nlmfpage">
    <w:name w:val="nlm_fpage"/>
    <w:basedOn w:val="DefaultParagraphFont"/>
    <w:rsid w:val="00B43EA7"/>
  </w:style>
  <w:style w:type="character" w:customStyle="1" w:styleId="nlmlpage">
    <w:name w:val="nlm_lpage"/>
    <w:basedOn w:val="DefaultParagraphFont"/>
    <w:rsid w:val="00B43EA7"/>
  </w:style>
  <w:style w:type="character" w:customStyle="1" w:styleId="nlmpublisher-loc">
    <w:name w:val="nlm_publisher-loc"/>
    <w:basedOn w:val="DefaultParagraphFont"/>
    <w:rsid w:val="00B43EA7"/>
  </w:style>
  <w:style w:type="character" w:customStyle="1" w:styleId="nlmpublisher-name">
    <w:name w:val="nlm_publisher-name"/>
    <w:basedOn w:val="DefaultParagraphFont"/>
    <w:rsid w:val="00B43EA7"/>
  </w:style>
  <w:style w:type="paragraph" w:customStyle="1" w:styleId="H2">
    <w:name w:val="H2"/>
    <w:basedOn w:val="Normal"/>
    <w:next w:val="ParagraphContinued"/>
    <w:qFormat/>
    <w:rsid w:val="001A2BDE"/>
    <w:pPr>
      <w:keepNext/>
      <w:keepLines/>
      <w:spacing w:before="240" w:after="0" w:line="264" w:lineRule="auto"/>
      <w:ind w:left="432" w:hanging="432"/>
      <w:outlineLvl w:val="2"/>
    </w:pPr>
    <w:rPr>
      <w:rFonts w:asciiTheme="majorHAnsi" w:eastAsiaTheme="majorEastAsia" w:hAnsiTheme="majorHAnsi" w:cstheme="majorBidi"/>
      <w:color w:val="1F497D" w:themeColor="text2"/>
      <w:sz w:val="24"/>
      <w:szCs w:val="32"/>
    </w:rPr>
  </w:style>
  <w:style w:type="paragraph" w:customStyle="1" w:styleId="TableHeaderLeft">
    <w:name w:val="Table Header Left"/>
    <w:basedOn w:val="Normal"/>
    <w:next w:val="Normal"/>
    <w:qFormat/>
    <w:rsid w:val="002C0F4B"/>
    <w:pPr>
      <w:spacing w:before="120" w:after="60" w:line="240" w:lineRule="auto"/>
    </w:pPr>
    <w:rPr>
      <w:rFonts w:ascii="Arial" w:eastAsia="Times New Roman" w:hAnsi="Arial" w:cs="Times New Roman"/>
      <w:b/>
      <w:color w:val="FFFFFF"/>
      <w:sz w:val="18"/>
      <w:szCs w:val="20"/>
    </w:rPr>
  </w:style>
  <w:style w:type="paragraph" w:customStyle="1" w:styleId="TableHeaderCenter">
    <w:name w:val="Table Header Center"/>
    <w:basedOn w:val="TableHeaderLeft"/>
    <w:qFormat/>
    <w:rsid w:val="002C0F4B"/>
    <w:pPr>
      <w:jc w:val="center"/>
    </w:pPr>
  </w:style>
  <w:style w:type="paragraph" w:customStyle="1" w:styleId="TableText0">
    <w:name w:val="Table Text"/>
    <w:basedOn w:val="Normal"/>
    <w:qFormat/>
    <w:rsid w:val="002C0F4B"/>
    <w:pPr>
      <w:spacing w:after="0" w:line="240" w:lineRule="auto"/>
    </w:pPr>
    <w:rPr>
      <w:rFonts w:ascii="Arial" w:eastAsia="Times New Roman" w:hAnsi="Arial" w:cs="Times New Roman"/>
      <w:sz w:val="18"/>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2C0F4B"/>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2C0F4B"/>
    <w:rPr>
      <w:rFonts w:ascii="Times New Roman" w:eastAsia="Times New Roman" w:hAnsi="Times New Roman" w:cs="Times New Roman"/>
      <w:szCs w:val="20"/>
    </w:rPr>
  </w:style>
  <w:style w:type="paragraph" w:customStyle="1" w:styleId="paragraph0">
    <w:name w:val="paragraph"/>
    <w:basedOn w:val="Normal"/>
    <w:rsid w:val="00047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4795E"/>
  </w:style>
  <w:style w:type="character" w:customStyle="1" w:styleId="eop">
    <w:name w:val="eop"/>
    <w:basedOn w:val="DefaultParagraphFont"/>
    <w:rsid w:val="0004795E"/>
  </w:style>
  <w:style w:type="paragraph" w:customStyle="1" w:styleId="Table">
    <w:name w:val="Table"/>
    <w:basedOn w:val="Normal"/>
    <w:rsid w:val="00BC1C00"/>
    <w:rPr>
      <w:rFonts w:ascii="Courier New" w:hAnsi="Courier New" w:cs="Courier New"/>
      <w:i/>
      <w:iCs/>
      <w:szCs w:val="24"/>
    </w:rPr>
  </w:style>
  <w:style w:type="character" w:styleId="BookTitle">
    <w:name w:val="Book Title"/>
    <w:basedOn w:val="DefaultParagraphFont"/>
    <w:uiPriority w:val="33"/>
    <w:qFormat/>
    <w:rsid w:val="007C7BDF"/>
    <w:rPr>
      <w:b/>
      <w:bCs/>
      <w:i/>
      <w:iCs/>
      <w:spacing w:val="5"/>
    </w:rPr>
  </w:style>
  <w:style w:type="character" w:styleId="IntenseReference">
    <w:name w:val="Intense Reference"/>
    <w:basedOn w:val="DefaultParagraphFont"/>
    <w:uiPriority w:val="32"/>
    <w:qFormat/>
    <w:rsid w:val="007C7BD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4673">
      <w:bodyDiv w:val="1"/>
      <w:marLeft w:val="0"/>
      <w:marRight w:val="0"/>
      <w:marTop w:val="0"/>
      <w:marBottom w:val="0"/>
      <w:divBdr>
        <w:top w:val="none" w:sz="0" w:space="0" w:color="auto"/>
        <w:left w:val="none" w:sz="0" w:space="0" w:color="auto"/>
        <w:bottom w:val="none" w:sz="0" w:space="0" w:color="auto"/>
        <w:right w:val="none" w:sz="0" w:space="0" w:color="auto"/>
      </w:divBdr>
    </w:div>
    <w:div w:id="15276026">
      <w:bodyDiv w:val="1"/>
      <w:marLeft w:val="0"/>
      <w:marRight w:val="0"/>
      <w:marTop w:val="0"/>
      <w:marBottom w:val="0"/>
      <w:divBdr>
        <w:top w:val="none" w:sz="0" w:space="0" w:color="auto"/>
        <w:left w:val="none" w:sz="0" w:space="0" w:color="auto"/>
        <w:bottom w:val="none" w:sz="0" w:space="0" w:color="auto"/>
        <w:right w:val="none" w:sz="0" w:space="0" w:color="auto"/>
      </w:divBdr>
    </w:div>
    <w:div w:id="109279530">
      <w:bodyDiv w:val="1"/>
      <w:marLeft w:val="0"/>
      <w:marRight w:val="0"/>
      <w:marTop w:val="0"/>
      <w:marBottom w:val="0"/>
      <w:divBdr>
        <w:top w:val="none" w:sz="0" w:space="0" w:color="auto"/>
        <w:left w:val="none" w:sz="0" w:space="0" w:color="auto"/>
        <w:bottom w:val="none" w:sz="0" w:space="0" w:color="auto"/>
        <w:right w:val="none" w:sz="0" w:space="0" w:color="auto"/>
      </w:divBdr>
    </w:div>
    <w:div w:id="151944293">
      <w:bodyDiv w:val="1"/>
      <w:marLeft w:val="0"/>
      <w:marRight w:val="0"/>
      <w:marTop w:val="0"/>
      <w:marBottom w:val="0"/>
      <w:divBdr>
        <w:top w:val="none" w:sz="0" w:space="0" w:color="auto"/>
        <w:left w:val="none" w:sz="0" w:space="0" w:color="auto"/>
        <w:bottom w:val="none" w:sz="0" w:space="0" w:color="auto"/>
        <w:right w:val="none" w:sz="0" w:space="0" w:color="auto"/>
      </w:divBdr>
    </w:div>
    <w:div w:id="195049742">
      <w:bodyDiv w:val="1"/>
      <w:marLeft w:val="0"/>
      <w:marRight w:val="0"/>
      <w:marTop w:val="0"/>
      <w:marBottom w:val="0"/>
      <w:divBdr>
        <w:top w:val="none" w:sz="0" w:space="0" w:color="auto"/>
        <w:left w:val="none" w:sz="0" w:space="0" w:color="auto"/>
        <w:bottom w:val="none" w:sz="0" w:space="0" w:color="auto"/>
        <w:right w:val="none" w:sz="0" w:space="0" w:color="auto"/>
      </w:divBdr>
    </w:div>
    <w:div w:id="196507434">
      <w:bodyDiv w:val="1"/>
      <w:marLeft w:val="0"/>
      <w:marRight w:val="0"/>
      <w:marTop w:val="0"/>
      <w:marBottom w:val="0"/>
      <w:divBdr>
        <w:top w:val="none" w:sz="0" w:space="0" w:color="auto"/>
        <w:left w:val="none" w:sz="0" w:space="0" w:color="auto"/>
        <w:bottom w:val="none" w:sz="0" w:space="0" w:color="auto"/>
        <w:right w:val="none" w:sz="0" w:space="0" w:color="auto"/>
      </w:divBdr>
    </w:div>
    <w:div w:id="312298398">
      <w:bodyDiv w:val="1"/>
      <w:marLeft w:val="0"/>
      <w:marRight w:val="0"/>
      <w:marTop w:val="0"/>
      <w:marBottom w:val="0"/>
      <w:divBdr>
        <w:top w:val="none" w:sz="0" w:space="0" w:color="auto"/>
        <w:left w:val="none" w:sz="0" w:space="0" w:color="auto"/>
        <w:bottom w:val="none" w:sz="0" w:space="0" w:color="auto"/>
        <w:right w:val="none" w:sz="0" w:space="0" w:color="auto"/>
      </w:divBdr>
    </w:div>
    <w:div w:id="32343886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35372676">
      <w:bodyDiv w:val="1"/>
      <w:marLeft w:val="0"/>
      <w:marRight w:val="0"/>
      <w:marTop w:val="0"/>
      <w:marBottom w:val="0"/>
      <w:divBdr>
        <w:top w:val="none" w:sz="0" w:space="0" w:color="auto"/>
        <w:left w:val="none" w:sz="0" w:space="0" w:color="auto"/>
        <w:bottom w:val="none" w:sz="0" w:space="0" w:color="auto"/>
        <w:right w:val="none" w:sz="0" w:space="0" w:color="auto"/>
      </w:divBdr>
    </w:div>
    <w:div w:id="467943715">
      <w:bodyDiv w:val="1"/>
      <w:marLeft w:val="0"/>
      <w:marRight w:val="0"/>
      <w:marTop w:val="0"/>
      <w:marBottom w:val="0"/>
      <w:divBdr>
        <w:top w:val="none" w:sz="0" w:space="0" w:color="auto"/>
        <w:left w:val="none" w:sz="0" w:space="0" w:color="auto"/>
        <w:bottom w:val="none" w:sz="0" w:space="0" w:color="auto"/>
        <w:right w:val="none" w:sz="0" w:space="0" w:color="auto"/>
      </w:divBdr>
      <w:divsChild>
        <w:div w:id="1602102239">
          <w:marLeft w:val="0"/>
          <w:marRight w:val="0"/>
          <w:marTop w:val="0"/>
          <w:marBottom w:val="0"/>
          <w:divBdr>
            <w:top w:val="none" w:sz="0" w:space="0" w:color="auto"/>
            <w:left w:val="none" w:sz="0" w:space="0" w:color="auto"/>
            <w:bottom w:val="none" w:sz="0" w:space="0" w:color="auto"/>
            <w:right w:val="none" w:sz="0" w:space="0" w:color="auto"/>
          </w:divBdr>
        </w:div>
        <w:div w:id="1121536398">
          <w:marLeft w:val="0"/>
          <w:marRight w:val="0"/>
          <w:marTop w:val="0"/>
          <w:marBottom w:val="0"/>
          <w:divBdr>
            <w:top w:val="none" w:sz="0" w:space="0" w:color="auto"/>
            <w:left w:val="none" w:sz="0" w:space="0" w:color="auto"/>
            <w:bottom w:val="none" w:sz="0" w:space="0" w:color="auto"/>
            <w:right w:val="none" w:sz="0" w:space="0" w:color="auto"/>
          </w:divBdr>
        </w:div>
        <w:div w:id="1590040265">
          <w:marLeft w:val="0"/>
          <w:marRight w:val="0"/>
          <w:marTop w:val="0"/>
          <w:marBottom w:val="0"/>
          <w:divBdr>
            <w:top w:val="none" w:sz="0" w:space="0" w:color="auto"/>
            <w:left w:val="none" w:sz="0" w:space="0" w:color="auto"/>
            <w:bottom w:val="none" w:sz="0" w:space="0" w:color="auto"/>
            <w:right w:val="none" w:sz="0" w:space="0" w:color="auto"/>
          </w:divBdr>
        </w:div>
      </w:divsChild>
    </w:div>
    <w:div w:id="473914483">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65452250">
      <w:bodyDiv w:val="1"/>
      <w:marLeft w:val="0"/>
      <w:marRight w:val="0"/>
      <w:marTop w:val="0"/>
      <w:marBottom w:val="0"/>
      <w:divBdr>
        <w:top w:val="none" w:sz="0" w:space="0" w:color="auto"/>
        <w:left w:val="none" w:sz="0" w:space="0" w:color="auto"/>
        <w:bottom w:val="none" w:sz="0" w:space="0" w:color="auto"/>
        <w:right w:val="none" w:sz="0" w:space="0" w:color="auto"/>
      </w:divBdr>
    </w:div>
    <w:div w:id="646083234">
      <w:bodyDiv w:val="1"/>
      <w:marLeft w:val="0"/>
      <w:marRight w:val="0"/>
      <w:marTop w:val="0"/>
      <w:marBottom w:val="0"/>
      <w:divBdr>
        <w:top w:val="none" w:sz="0" w:space="0" w:color="auto"/>
        <w:left w:val="none" w:sz="0" w:space="0" w:color="auto"/>
        <w:bottom w:val="none" w:sz="0" w:space="0" w:color="auto"/>
        <w:right w:val="none" w:sz="0" w:space="0" w:color="auto"/>
      </w:divBdr>
    </w:div>
    <w:div w:id="738018165">
      <w:bodyDiv w:val="1"/>
      <w:marLeft w:val="0"/>
      <w:marRight w:val="0"/>
      <w:marTop w:val="0"/>
      <w:marBottom w:val="0"/>
      <w:divBdr>
        <w:top w:val="none" w:sz="0" w:space="0" w:color="auto"/>
        <w:left w:val="none" w:sz="0" w:space="0" w:color="auto"/>
        <w:bottom w:val="none" w:sz="0" w:space="0" w:color="auto"/>
        <w:right w:val="none" w:sz="0" w:space="0" w:color="auto"/>
      </w:divBdr>
    </w:div>
    <w:div w:id="75886927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55019383">
      <w:bodyDiv w:val="1"/>
      <w:marLeft w:val="0"/>
      <w:marRight w:val="0"/>
      <w:marTop w:val="0"/>
      <w:marBottom w:val="0"/>
      <w:divBdr>
        <w:top w:val="none" w:sz="0" w:space="0" w:color="auto"/>
        <w:left w:val="none" w:sz="0" w:space="0" w:color="auto"/>
        <w:bottom w:val="none" w:sz="0" w:space="0" w:color="auto"/>
        <w:right w:val="none" w:sz="0" w:space="0" w:color="auto"/>
      </w:divBdr>
    </w:div>
    <w:div w:id="1073548679">
      <w:bodyDiv w:val="1"/>
      <w:marLeft w:val="0"/>
      <w:marRight w:val="0"/>
      <w:marTop w:val="0"/>
      <w:marBottom w:val="0"/>
      <w:divBdr>
        <w:top w:val="none" w:sz="0" w:space="0" w:color="auto"/>
        <w:left w:val="none" w:sz="0" w:space="0" w:color="auto"/>
        <w:bottom w:val="none" w:sz="0" w:space="0" w:color="auto"/>
        <w:right w:val="none" w:sz="0" w:space="0" w:color="auto"/>
      </w:divBdr>
    </w:div>
    <w:div w:id="1096681418">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0774772">
      <w:bodyDiv w:val="1"/>
      <w:marLeft w:val="0"/>
      <w:marRight w:val="0"/>
      <w:marTop w:val="0"/>
      <w:marBottom w:val="0"/>
      <w:divBdr>
        <w:top w:val="none" w:sz="0" w:space="0" w:color="auto"/>
        <w:left w:val="none" w:sz="0" w:space="0" w:color="auto"/>
        <w:bottom w:val="none" w:sz="0" w:space="0" w:color="auto"/>
        <w:right w:val="none" w:sz="0" w:space="0" w:color="auto"/>
      </w:divBdr>
    </w:div>
    <w:div w:id="1241255368">
      <w:bodyDiv w:val="1"/>
      <w:marLeft w:val="0"/>
      <w:marRight w:val="0"/>
      <w:marTop w:val="0"/>
      <w:marBottom w:val="0"/>
      <w:divBdr>
        <w:top w:val="none" w:sz="0" w:space="0" w:color="auto"/>
        <w:left w:val="none" w:sz="0" w:space="0" w:color="auto"/>
        <w:bottom w:val="none" w:sz="0" w:space="0" w:color="auto"/>
        <w:right w:val="none" w:sz="0" w:space="0" w:color="auto"/>
      </w:divBdr>
    </w:div>
    <w:div w:id="1278684779">
      <w:bodyDiv w:val="1"/>
      <w:marLeft w:val="0"/>
      <w:marRight w:val="0"/>
      <w:marTop w:val="0"/>
      <w:marBottom w:val="0"/>
      <w:divBdr>
        <w:top w:val="none" w:sz="0" w:space="0" w:color="auto"/>
        <w:left w:val="none" w:sz="0" w:space="0" w:color="auto"/>
        <w:bottom w:val="none" w:sz="0" w:space="0" w:color="auto"/>
        <w:right w:val="none" w:sz="0" w:space="0" w:color="auto"/>
      </w:divBdr>
    </w:div>
    <w:div w:id="1315833575">
      <w:bodyDiv w:val="1"/>
      <w:marLeft w:val="0"/>
      <w:marRight w:val="0"/>
      <w:marTop w:val="0"/>
      <w:marBottom w:val="0"/>
      <w:divBdr>
        <w:top w:val="none" w:sz="0" w:space="0" w:color="auto"/>
        <w:left w:val="none" w:sz="0" w:space="0" w:color="auto"/>
        <w:bottom w:val="none" w:sz="0" w:space="0" w:color="auto"/>
        <w:right w:val="none" w:sz="0" w:space="0" w:color="auto"/>
      </w:divBdr>
    </w:div>
    <w:div w:id="1369839920">
      <w:bodyDiv w:val="1"/>
      <w:marLeft w:val="0"/>
      <w:marRight w:val="0"/>
      <w:marTop w:val="0"/>
      <w:marBottom w:val="0"/>
      <w:divBdr>
        <w:top w:val="none" w:sz="0" w:space="0" w:color="auto"/>
        <w:left w:val="none" w:sz="0" w:space="0" w:color="auto"/>
        <w:bottom w:val="none" w:sz="0" w:space="0" w:color="auto"/>
        <w:right w:val="none" w:sz="0" w:space="0" w:color="auto"/>
      </w:divBdr>
    </w:div>
    <w:div w:id="1430153675">
      <w:bodyDiv w:val="1"/>
      <w:marLeft w:val="0"/>
      <w:marRight w:val="0"/>
      <w:marTop w:val="0"/>
      <w:marBottom w:val="0"/>
      <w:divBdr>
        <w:top w:val="none" w:sz="0" w:space="0" w:color="auto"/>
        <w:left w:val="none" w:sz="0" w:space="0" w:color="auto"/>
        <w:bottom w:val="none" w:sz="0" w:space="0" w:color="auto"/>
        <w:right w:val="none" w:sz="0" w:space="0" w:color="auto"/>
      </w:divBdr>
    </w:div>
    <w:div w:id="1476411481">
      <w:bodyDiv w:val="1"/>
      <w:marLeft w:val="0"/>
      <w:marRight w:val="0"/>
      <w:marTop w:val="0"/>
      <w:marBottom w:val="0"/>
      <w:divBdr>
        <w:top w:val="none" w:sz="0" w:space="0" w:color="auto"/>
        <w:left w:val="none" w:sz="0" w:space="0" w:color="auto"/>
        <w:bottom w:val="none" w:sz="0" w:space="0" w:color="auto"/>
        <w:right w:val="none" w:sz="0" w:space="0" w:color="auto"/>
      </w:divBdr>
      <w:divsChild>
        <w:div w:id="1169060113">
          <w:marLeft w:val="0"/>
          <w:marRight w:val="0"/>
          <w:marTop w:val="0"/>
          <w:marBottom w:val="0"/>
          <w:divBdr>
            <w:top w:val="none" w:sz="0" w:space="0" w:color="auto"/>
            <w:left w:val="none" w:sz="0" w:space="0" w:color="auto"/>
            <w:bottom w:val="none" w:sz="0" w:space="0" w:color="auto"/>
            <w:right w:val="none" w:sz="0" w:space="0" w:color="auto"/>
          </w:divBdr>
        </w:div>
        <w:div w:id="866411422">
          <w:marLeft w:val="0"/>
          <w:marRight w:val="0"/>
          <w:marTop w:val="0"/>
          <w:marBottom w:val="0"/>
          <w:divBdr>
            <w:top w:val="none" w:sz="0" w:space="0" w:color="auto"/>
            <w:left w:val="none" w:sz="0" w:space="0" w:color="auto"/>
            <w:bottom w:val="none" w:sz="0" w:space="0" w:color="auto"/>
            <w:right w:val="none" w:sz="0" w:space="0" w:color="auto"/>
          </w:divBdr>
        </w:div>
        <w:div w:id="1108695896">
          <w:marLeft w:val="0"/>
          <w:marRight w:val="0"/>
          <w:marTop w:val="0"/>
          <w:marBottom w:val="0"/>
          <w:divBdr>
            <w:top w:val="none" w:sz="0" w:space="0" w:color="auto"/>
            <w:left w:val="none" w:sz="0" w:space="0" w:color="auto"/>
            <w:bottom w:val="none" w:sz="0" w:space="0" w:color="auto"/>
            <w:right w:val="none" w:sz="0" w:space="0" w:color="auto"/>
          </w:divBdr>
        </w:div>
      </w:divsChild>
    </w:div>
    <w:div w:id="1488672912">
      <w:bodyDiv w:val="1"/>
      <w:marLeft w:val="0"/>
      <w:marRight w:val="0"/>
      <w:marTop w:val="0"/>
      <w:marBottom w:val="0"/>
      <w:divBdr>
        <w:top w:val="none" w:sz="0" w:space="0" w:color="auto"/>
        <w:left w:val="none" w:sz="0" w:space="0" w:color="auto"/>
        <w:bottom w:val="none" w:sz="0" w:space="0" w:color="auto"/>
        <w:right w:val="none" w:sz="0" w:space="0" w:color="auto"/>
      </w:divBdr>
    </w:div>
    <w:div w:id="1745639955">
      <w:bodyDiv w:val="1"/>
      <w:marLeft w:val="0"/>
      <w:marRight w:val="0"/>
      <w:marTop w:val="0"/>
      <w:marBottom w:val="0"/>
      <w:divBdr>
        <w:top w:val="none" w:sz="0" w:space="0" w:color="auto"/>
        <w:left w:val="none" w:sz="0" w:space="0" w:color="auto"/>
        <w:bottom w:val="none" w:sz="0" w:space="0" w:color="auto"/>
        <w:right w:val="none" w:sz="0" w:space="0" w:color="auto"/>
      </w:divBdr>
      <w:divsChild>
        <w:div w:id="1141265193">
          <w:marLeft w:val="0"/>
          <w:marRight w:val="0"/>
          <w:marTop w:val="0"/>
          <w:marBottom w:val="0"/>
          <w:divBdr>
            <w:top w:val="none" w:sz="0" w:space="0" w:color="auto"/>
            <w:left w:val="none" w:sz="0" w:space="0" w:color="auto"/>
            <w:bottom w:val="none" w:sz="0" w:space="0" w:color="auto"/>
            <w:right w:val="none" w:sz="0" w:space="0" w:color="auto"/>
          </w:divBdr>
        </w:div>
        <w:div w:id="1567456110">
          <w:marLeft w:val="0"/>
          <w:marRight w:val="0"/>
          <w:marTop w:val="0"/>
          <w:marBottom w:val="0"/>
          <w:divBdr>
            <w:top w:val="none" w:sz="0" w:space="0" w:color="auto"/>
            <w:left w:val="none" w:sz="0" w:space="0" w:color="auto"/>
            <w:bottom w:val="none" w:sz="0" w:space="0" w:color="auto"/>
            <w:right w:val="none" w:sz="0" w:space="0" w:color="auto"/>
          </w:divBdr>
        </w:div>
        <w:div w:id="1675766269">
          <w:marLeft w:val="0"/>
          <w:marRight w:val="0"/>
          <w:marTop w:val="0"/>
          <w:marBottom w:val="0"/>
          <w:divBdr>
            <w:top w:val="none" w:sz="0" w:space="0" w:color="auto"/>
            <w:left w:val="none" w:sz="0" w:space="0" w:color="auto"/>
            <w:bottom w:val="none" w:sz="0" w:space="0" w:color="auto"/>
            <w:right w:val="none" w:sz="0" w:space="0" w:color="auto"/>
          </w:divBdr>
        </w:div>
      </w:divsChild>
    </w:div>
    <w:div w:id="1776975177">
      <w:bodyDiv w:val="1"/>
      <w:marLeft w:val="0"/>
      <w:marRight w:val="0"/>
      <w:marTop w:val="0"/>
      <w:marBottom w:val="0"/>
      <w:divBdr>
        <w:top w:val="none" w:sz="0" w:space="0" w:color="auto"/>
        <w:left w:val="none" w:sz="0" w:space="0" w:color="auto"/>
        <w:bottom w:val="none" w:sz="0" w:space="0" w:color="auto"/>
        <w:right w:val="none" w:sz="0" w:space="0" w:color="auto"/>
      </w:divBdr>
    </w:div>
    <w:div w:id="1902708880">
      <w:bodyDiv w:val="1"/>
      <w:marLeft w:val="0"/>
      <w:marRight w:val="0"/>
      <w:marTop w:val="0"/>
      <w:marBottom w:val="0"/>
      <w:divBdr>
        <w:top w:val="none" w:sz="0" w:space="0" w:color="auto"/>
        <w:left w:val="none" w:sz="0" w:space="0" w:color="auto"/>
        <w:bottom w:val="none" w:sz="0" w:space="0" w:color="auto"/>
        <w:right w:val="none" w:sz="0" w:space="0" w:color="auto"/>
      </w:divBdr>
    </w:div>
    <w:div w:id="1917520438">
      <w:bodyDiv w:val="1"/>
      <w:marLeft w:val="0"/>
      <w:marRight w:val="0"/>
      <w:marTop w:val="0"/>
      <w:marBottom w:val="0"/>
      <w:divBdr>
        <w:top w:val="none" w:sz="0" w:space="0" w:color="auto"/>
        <w:left w:val="none" w:sz="0" w:space="0" w:color="auto"/>
        <w:bottom w:val="none" w:sz="0" w:space="0" w:color="auto"/>
        <w:right w:val="none" w:sz="0" w:space="0" w:color="auto"/>
      </w:divBdr>
    </w:div>
    <w:div w:id="2004506835">
      <w:bodyDiv w:val="1"/>
      <w:marLeft w:val="0"/>
      <w:marRight w:val="0"/>
      <w:marTop w:val="0"/>
      <w:marBottom w:val="0"/>
      <w:divBdr>
        <w:top w:val="none" w:sz="0" w:space="0" w:color="auto"/>
        <w:left w:val="none" w:sz="0" w:space="0" w:color="auto"/>
        <w:bottom w:val="none" w:sz="0" w:space="0" w:color="auto"/>
        <w:right w:val="none" w:sz="0" w:space="0" w:color="auto"/>
      </w:divBdr>
    </w:div>
    <w:div w:id="2072147474">
      <w:bodyDiv w:val="1"/>
      <w:marLeft w:val="0"/>
      <w:marRight w:val="0"/>
      <w:marTop w:val="0"/>
      <w:marBottom w:val="0"/>
      <w:divBdr>
        <w:top w:val="none" w:sz="0" w:space="0" w:color="auto"/>
        <w:left w:val="none" w:sz="0" w:space="0" w:color="auto"/>
        <w:bottom w:val="none" w:sz="0" w:space="0" w:color="auto"/>
        <w:right w:val="none" w:sz="0" w:space="0" w:color="auto"/>
      </w:divBdr>
    </w:div>
    <w:div w:id="212700182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es.ed.gov/ncee/wwc/Docs/ReferenceResources/wwc_attrition_v2.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cpi.nr0.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690f3210-b939-4fde-8f95-3dce32bfb3c0">Include (not documented by transition mat team)</Include_x0020_in_x0020_Transition_x0020_Materia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B17486DD0D6647916D1A4A888D91D5" ma:contentTypeVersion="26" ma:contentTypeDescription="Create a new document." ma:contentTypeScope="" ma:versionID="445e0565fb8da816ad693d0f396613bc">
  <xsd:schema xmlns:xsd="http://www.w3.org/2001/XMLSchema" xmlns:xs="http://www.w3.org/2001/XMLSchema" xmlns:p="http://schemas.microsoft.com/office/2006/metadata/properties" xmlns:ns2="690f3210-b939-4fde-8f95-3dce32bfb3c0" targetNamespace="http://schemas.microsoft.com/office/2006/metadata/properties" ma:root="true" ma:fieldsID="ab87d923899aeecb99f0e06e36f93300" ns2:_="">
    <xsd:import namespace="690f3210-b939-4fde-8f95-3dce32bfb3c0"/>
    <xsd:element name="properties">
      <xsd:complexType>
        <xsd:sequence>
          <xsd:element name="documentManagement">
            <xsd:complexType>
              <xsd:all>
                <xsd:element ref="ns2:Include_x0020_in_x0020_Transition_x0020_Materials"/>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f3210-b939-4fde-8f95-3dce32bfb3c0" elementFormDefault="qualified">
    <xsd:import namespace="http://schemas.microsoft.com/office/2006/documentManagement/types"/>
    <xsd:import namespace="http://schemas.microsoft.com/office/infopath/2007/PartnerControls"/>
    <xsd:element name="Include_x0020_in_x0020_Transition_x0020_Materials" ma:index="8" ma:displayName="Include in Transition Materials" ma:description="Indicator for inclusion in transition materials at the end of the project" ma:format="Dropdown" ma:internalName="Include_x0020_in_x0020_Transition_x0020_Materials" ma:readOnly="false">
      <xsd:simpleType>
        <xsd:restriction base="dms:Choice">
          <xsd:enumeration value="Do not include"/>
          <xsd:enumeration value="Include (documented by transition mat team)"/>
          <xsd:enumeration value="Include (not documented by transition mat team)"/>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8A1A9-4A70-4524-A94D-FAA7AB721E1C}">
  <ds:schemaRefs>
    <ds:schemaRef ds:uri="http://schemas.openxmlformats.org/officeDocument/2006/bibliography"/>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690f3210-b939-4fde-8f95-3dce32bfb3c0"/>
  </ds:schemaRefs>
</ds:datastoreItem>
</file>

<file path=customXml/itemProps3.xml><?xml version="1.0" encoding="utf-8"?>
<ds:datastoreItem xmlns:ds="http://schemas.openxmlformats.org/officeDocument/2006/customXml" ds:itemID="{E757430D-FBD0-42CB-8D68-C070F104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f3210-b939-4fde-8f95-3dce32bfb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6314</Words>
  <Characters>35994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Jones, Molly (ACF)</cp:lastModifiedBy>
  <cp:revision>4</cp:revision>
  <cp:lastPrinted>2021-01-30T16:11:00Z</cp:lastPrinted>
  <dcterms:created xsi:type="dcterms:W3CDTF">2022-04-18T13:29:00Z</dcterms:created>
  <dcterms:modified xsi:type="dcterms:W3CDTF">2022-04-19T19:32:00Z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0x0101002CB17486DD0D6647916D1A4A888D91D5</vt:lpwstr>
  </property>
  <property fmtid="{D5CDD505-2E9C-101B-9397-08002B2CF9AE}" pid="3" name="URL">
    <vt:lpwstr/>
  </property>
  <property fmtid="{D5CDD505-2E9C-101B-9397-08002B2CF9AE}" pid="4" name="_DocHome">
    <vt:i4>-1981473942</vt:i4>
  </property>
</Properties>
</file>