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28577E" w14:paraId="5C437A34" w14:textId="79E18004">
      <w:pPr>
        <w:pStyle w:val="ReportCover-Title"/>
        <w:jc w:val="center"/>
        <w:rPr>
          <w:rFonts w:ascii="Arial" w:hAnsi="Arial" w:cs="Arial"/>
          <w:color w:val="auto"/>
        </w:rPr>
      </w:pPr>
      <w:r>
        <w:rPr>
          <w:rFonts w:ascii="Arial" w:hAnsi="Arial" w:eastAsia="Arial Unicode MS" w:cs="Arial"/>
          <w:noProof/>
          <w:color w:val="auto"/>
        </w:rPr>
        <w:t>State Child Welfare Data Linkages Descriptive Study</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BB69DE" w14:paraId="195B12A0" w14:textId="27D36469">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1B1F92" w14:paraId="25EC0787" w14:textId="26B590C7">
      <w:pPr>
        <w:pStyle w:val="ReportCover-Date"/>
        <w:spacing w:after="0"/>
        <w:jc w:val="center"/>
        <w:rPr>
          <w:rFonts w:ascii="Arial" w:hAnsi="Arial" w:cs="Arial"/>
          <w:color w:val="auto"/>
        </w:rPr>
      </w:pPr>
      <w:r>
        <w:rPr>
          <w:rFonts w:ascii="Arial" w:hAnsi="Arial" w:cs="Arial"/>
          <w:color w:val="auto"/>
        </w:rPr>
        <w:t xml:space="preserve">April </w:t>
      </w:r>
      <w:r w:rsidR="00BB69DE">
        <w:rPr>
          <w:rFonts w:ascii="Arial" w:hAnsi="Arial" w:cs="Arial"/>
          <w:color w:val="auto"/>
        </w:rPr>
        <w:t>202</w:t>
      </w:r>
      <w:r w:rsidR="00F1147C">
        <w:rPr>
          <w:rFonts w:ascii="Arial" w:hAnsi="Arial" w:cs="Arial"/>
          <w:color w:val="auto"/>
        </w:rPr>
        <w:t>2</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1D1C73" w:rsidP="001D1C73" w:rsidRDefault="001D1C73" w14:paraId="32BC72CD" w14:textId="4BD9FCD4">
      <w:pPr>
        <w:spacing w:after="0" w:line="240" w:lineRule="auto"/>
        <w:jc w:val="center"/>
        <w:rPr>
          <w:rFonts w:ascii="Arial" w:hAnsi="Arial" w:cs="Arial"/>
        </w:rPr>
      </w:pPr>
      <w:r w:rsidRPr="00A14BAD">
        <w:rPr>
          <w:rFonts w:ascii="Arial" w:hAnsi="Arial" w:cs="Arial"/>
        </w:rPr>
        <w:t>Project Officer:</w:t>
      </w:r>
    </w:p>
    <w:p w:rsidRPr="009139B3" w:rsidR="00164E6B" w:rsidP="001D1C73" w:rsidRDefault="00164E6B" w14:paraId="6FD955A2" w14:textId="5CB9DEA4">
      <w:pPr>
        <w:spacing w:after="0" w:line="240" w:lineRule="auto"/>
        <w:jc w:val="center"/>
        <w:rPr>
          <w:rFonts w:ascii="Arial" w:hAnsi="Arial" w:cs="Arial"/>
        </w:rPr>
      </w:pPr>
      <w:r>
        <w:rPr>
          <w:rFonts w:ascii="Arial" w:hAnsi="Arial" w:cs="Arial"/>
        </w:rPr>
        <w:t>Jenessa Malin</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00682071" w:rsidP="001D1C73" w:rsidRDefault="00682071" w14:paraId="5B2AC18A" w14:textId="77777777">
      <w:pPr>
        <w:spacing w:after="0"/>
        <w:jc w:val="center"/>
        <w:rPr>
          <w:b/>
        </w:rPr>
        <w:sectPr w:rsidR="00682071" w:rsidSect="00C91C71">
          <w:pgSz w:w="12240" w:h="15840"/>
          <w:pgMar w:top="1440" w:right="1440" w:bottom="1440" w:left="1440" w:header="720" w:footer="720" w:gutter="0"/>
          <w:cols w:space="720"/>
          <w:docGrid w:linePitch="360"/>
        </w:sectPr>
      </w:pPr>
    </w:p>
    <w:p w:rsidRPr="009139B3" w:rsidR="001D1C73" w:rsidP="00682071" w:rsidRDefault="001D1C73" w14:paraId="43581017" w14:textId="77777777">
      <w:pPr>
        <w:spacing w:after="480" w:line="240" w:lineRule="auto"/>
        <w:jc w:val="center"/>
        <w:rPr>
          <w:b/>
          <w:sz w:val="32"/>
          <w:szCs w:val="32"/>
        </w:rPr>
      </w:pPr>
      <w:r w:rsidRPr="009139B3">
        <w:rPr>
          <w:b/>
          <w:sz w:val="32"/>
          <w:szCs w:val="32"/>
        </w:rPr>
        <w:lastRenderedPageBreak/>
        <w:t>Part A</w:t>
      </w:r>
    </w:p>
    <w:p w:rsidRPr="009139B3" w:rsidR="001D1C73" w:rsidP="00682071" w:rsidRDefault="001D1C73" w14:paraId="67A674E8" w14:textId="77777777">
      <w:pPr>
        <w:spacing w:after="120" w:line="240" w:lineRule="auto"/>
        <w:rPr>
          <w:b/>
          <w:sz w:val="28"/>
        </w:rPr>
      </w:pPr>
      <w:r w:rsidRPr="009139B3">
        <w:rPr>
          <w:b/>
          <w:sz w:val="28"/>
          <w:u w:val="single"/>
        </w:rPr>
        <w:t>Executive Summary</w:t>
      </w:r>
    </w:p>
    <w:p w:rsidRPr="009139B3" w:rsidR="00EF2A1A" w:rsidP="003C0CC3" w:rsidRDefault="001D1C73" w14:paraId="6F89BC07" w14:textId="3873E0A9">
      <w:pPr>
        <w:pStyle w:val="ListParagraph"/>
        <w:numPr>
          <w:ilvl w:val="0"/>
          <w:numId w:val="27"/>
        </w:numPr>
        <w:spacing w:after="120" w:line="240" w:lineRule="auto"/>
      </w:pPr>
      <w:r w:rsidRPr="009139B3">
        <w:rPr>
          <w:b/>
        </w:rPr>
        <w:t xml:space="preserve">Type of Request: </w:t>
      </w:r>
      <w:r w:rsidRPr="009139B3">
        <w:t xml:space="preserve">This Information Collection Request is for a </w:t>
      </w:r>
      <w:r w:rsidR="00BC42A5">
        <w:t>new data collection</w:t>
      </w:r>
      <w:r w:rsidRPr="009139B3">
        <w:t>. We are requestin</w:t>
      </w:r>
      <w:r w:rsidR="00BC42A5">
        <w:t xml:space="preserve">g </w:t>
      </w:r>
      <w:r w:rsidR="00E13A45">
        <w:t>two</w:t>
      </w:r>
      <w:r w:rsidR="00BD0828">
        <w:t xml:space="preserve"> </w:t>
      </w:r>
      <w:r w:rsidR="0004083D">
        <w:t>years</w:t>
      </w:r>
      <w:r w:rsidRPr="009139B3">
        <w:t xml:space="preserve"> of approval. </w:t>
      </w:r>
    </w:p>
    <w:p w:rsidR="000E6AD3" w:rsidP="00E45891" w:rsidRDefault="001D1C73" w14:paraId="2AD3533B" w14:textId="25955A23">
      <w:pPr>
        <w:pStyle w:val="ListParagraph"/>
        <w:numPr>
          <w:ilvl w:val="0"/>
          <w:numId w:val="27"/>
        </w:numPr>
        <w:spacing w:after="0" w:line="240" w:lineRule="auto"/>
        <w:rPr>
          <w:rFonts w:eastAsia="Times New Roman" w:cstheme="minorHAnsi"/>
        </w:rPr>
      </w:pPr>
      <w:r w:rsidRPr="009139B3">
        <w:rPr>
          <w:b/>
        </w:rPr>
        <w:t xml:space="preserve">Description of Request: </w:t>
      </w:r>
      <w:r w:rsidRPr="00644187" w:rsidR="00644187">
        <w:rPr>
          <w:rFonts w:eastAsia="Times New Roman" w:cstheme="minorHAnsi"/>
        </w:rPr>
        <w:t xml:space="preserve">The Administration for Children and Families </w:t>
      </w:r>
      <w:r w:rsidR="00122435">
        <w:rPr>
          <w:rFonts w:eastAsia="Times New Roman" w:cstheme="minorHAnsi"/>
        </w:rPr>
        <w:t xml:space="preserve">and the Office of Planning, Research, and Evaluation </w:t>
      </w:r>
      <w:r w:rsidR="00EF2A1A">
        <w:rPr>
          <w:rFonts w:eastAsia="Times New Roman" w:cstheme="minorHAnsi"/>
        </w:rPr>
        <w:t>is proposing</w:t>
      </w:r>
      <w:r w:rsidRPr="00644187" w:rsidR="00644187">
        <w:rPr>
          <w:rFonts w:eastAsia="Times New Roman" w:cstheme="minorHAnsi"/>
        </w:rPr>
        <w:t xml:space="preserve"> a new primary data collection about connected child </w:t>
      </w:r>
      <w:r w:rsidR="00C06F6A">
        <w:rPr>
          <w:rFonts w:eastAsia="Times New Roman" w:cstheme="minorHAnsi"/>
        </w:rPr>
        <w:t>maltreatment</w:t>
      </w:r>
      <w:r w:rsidRPr="00644187" w:rsidR="00C06F6A">
        <w:rPr>
          <w:rFonts w:eastAsia="Times New Roman" w:cstheme="minorHAnsi"/>
        </w:rPr>
        <w:t xml:space="preserve"> </w:t>
      </w:r>
      <w:r w:rsidRPr="00644187" w:rsidR="00644187">
        <w:rPr>
          <w:rFonts w:eastAsia="Times New Roman" w:cstheme="minorHAnsi"/>
        </w:rPr>
        <w:t xml:space="preserve">data. We define connected data as </w:t>
      </w:r>
      <w:r w:rsidR="00A073D7">
        <w:rPr>
          <w:rFonts w:eastAsia="Times New Roman" w:cstheme="minorHAnsi"/>
        </w:rPr>
        <w:t xml:space="preserve">state </w:t>
      </w:r>
      <w:r w:rsidRPr="00644187" w:rsidR="00644187">
        <w:rPr>
          <w:rFonts w:eastAsia="Times New Roman" w:cstheme="minorHAnsi"/>
        </w:rPr>
        <w:t xml:space="preserve">child welfare </w:t>
      </w:r>
      <w:r w:rsidR="00A073D7">
        <w:rPr>
          <w:rFonts w:eastAsia="Times New Roman" w:cstheme="minorHAnsi"/>
        </w:rPr>
        <w:t xml:space="preserve">administrative </w:t>
      </w:r>
      <w:r w:rsidRPr="00644187" w:rsidR="00644187">
        <w:rPr>
          <w:rFonts w:eastAsia="Times New Roman" w:cstheme="minorHAnsi"/>
        </w:rPr>
        <w:t xml:space="preserve">data that are linked or integrated with </w:t>
      </w:r>
      <w:r w:rsidR="00A073D7">
        <w:rPr>
          <w:rFonts w:eastAsia="Times New Roman" w:cstheme="minorHAnsi"/>
        </w:rPr>
        <w:t xml:space="preserve">administrative </w:t>
      </w:r>
      <w:r w:rsidRPr="00644187" w:rsidR="00644187">
        <w:rPr>
          <w:rFonts w:eastAsia="Times New Roman" w:cstheme="minorHAnsi"/>
        </w:rPr>
        <w:t xml:space="preserve">data from other </w:t>
      </w:r>
      <w:r w:rsidR="00A073D7">
        <w:rPr>
          <w:rFonts w:eastAsia="Times New Roman" w:cstheme="minorHAnsi"/>
        </w:rPr>
        <w:t xml:space="preserve">state or county </w:t>
      </w:r>
      <w:r w:rsidRPr="00644187" w:rsidR="00644187">
        <w:rPr>
          <w:rFonts w:eastAsia="Times New Roman" w:cstheme="minorHAnsi"/>
        </w:rPr>
        <w:t>systems or agencies. The State Child Welfare Data Linkages Descriptive Study (</w:t>
      </w:r>
      <w:bookmarkStart w:name="_Hlk83928778" w:id="0"/>
      <w:r w:rsidR="003F7422">
        <w:rPr>
          <w:rFonts w:eastAsia="Times New Roman" w:cstheme="minorHAnsi"/>
        </w:rPr>
        <w:t xml:space="preserve">SCW </w:t>
      </w:r>
      <w:r w:rsidRPr="00644187" w:rsidR="00644187">
        <w:rPr>
          <w:rFonts w:eastAsia="Times New Roman" w:cstheme="minorHAnsi"/>
        </w:rPr>
        <w:t>Descriptive Study</w:t>
      </w:r>
      <w:bookmarkEnd w:id="0"/>
      <w:r w:rsidRPr="00644187" w:rsidR="00644187">
        <w:rPr>
          <w:rFonts w:eastAsia="Times New Roman" w:cstheme="minorHAnsi"/>
        </w:rPr>
        <w:t xml:space="preserve">) will gather systematic information on the extent to which states connect their child maltreatment data to other </w:t>
      </w:r>
      <w:r w:rsidR="009B2041">
        <w:rPr>
          <w:rFonts w:eastAsia="Times New Roman" w:cstheme="minorHAnsi"/>
        </w:rPr>
        <w:t>s</w:t>
      </w:r>
      <w:r w:rsidR="00A654C8">
        <w:rPr>
          <w:rFonts w:eastAsia="Times New Roman" w:cstheme="minorHAnsi"/>
        </w:rPr>
        <w:t xml:space="preserve">tate and county </w:t>
      </w:r>
      <w:r w:rsidRPr="00644187" w:rsidR="00644187">
        <w:rPr>
          <w:rFonts w:eastAsia="Times New Roman" w:cstheme="minorHAnsi"/>
        </w:rPr>
        <w:t xml:space="preserve">data sets; how any </w:t>
      </w:r>
      <w:r w:rsidR="00C06F6A">
        <w:rPr>
          <w:rFonts w:eastAsia="Times New Roman" w:cstheme="minorHAnsi"/>
        </w:rPr>
        <w:t>connected</w:t>
      </w:r>
      <w:r w:rsidRPr="00644187" w:rsidR="00C06F6A">
        <w:rPr>
          <w:rFonts w:eastAsia="Times New Roman" w:cstheme="minorHAnsi"/>
        </w:rPr>
        <w:t xml:space="preserve"> </w:t>
      </w:r>
      <w:r w:rsidRPr="00644187" w:rsidR="00644187">
        <w:rPr>
          <w:rFonts w:eastAsia="Times New Roman" w:cstheme="minorHAnsi"/>
        </w:rPr>
        <w:t xml:space="preserve">data sets are created, managed, and used; and challenges states face in linking data. These data are not available from existing sources. The </w:t>
      </w:r>
      <w:r w:rsidR="00072990">
        <w:rPr>
          <w:rFonts w:eastAsia="Times New Roman" w:cstheme="minorHAnsi"/>
        </w:rPr>
        <w:t>SCW</w:t>
      </w:r>
      <w:r w:rsidRPr="00644187" w:rsidR="00644187">
        <w:rPr>
          <w:rFonts w:eastAsia="Times New Roman" w:cstheme="minorHAnsi"/>
        </w:rPr>
        <w:t xml:space="preserve"> Descriptive Study aims to provide important information to the field by documenting the capacity of state child welfare agencies to link data sets</w:t>
      </w:r>
      <w:r w:rsidR="00A654C8">
        <w:rPr>
          <w:rFonts w:eastAsia="Times New Roman" w:cstheme="minorHAnsi"/>
        </w:rPr>
        <w:t xml:space="preserve"> with other agencies</w:t>
      </w:r>
      <w:r w:rsidRPr="00644187" w:rsidR="00644187">
        <w:rPr>
          <w:rFonts w:eastAsia="Times New Roman" w:cstheme="minorHAnsi"/>
        </w:rPr>
        <w:t xml:space="preserve">. This study aims to present an internally valid description of the </w:t>
      </w:r>
      <w:r w:rsidR="00A073D7">
        <w:rPr>
          <w:rFonts w:eastAsia="Times New Roman" w:cstheme="minorHAnsi"/>
        </w:rPr>
        <w:t xml:space="preserve">connected </w:t>
      </w:r>
      <w:r w:rsidRPr="00644187" w:rsidR="00644187">
        <w:rPr>
          <w:rFonts w:eastAsia="Times New Roman" w:cstheme="minorHAnsi"/>
        </w:rPr>
        <w:t>data capacity of participating state child welfare agencies, not to promote statistical generalization to different sites or service populations.</w:t>
      </w:r>
      <w:r w:rsidR="00042FD4">
        <w:rPr>
          <w:rFonts w:eastAsia="Times New Roman" w:cstheme="minorHAnsi"/>
        </w:rPr>
        <w:t xml:space="preserve"> </w:t>
      </w:r>
      <w:r w:rsidR="000E6AD3">
        <w:rPr>
          <w:rFonts w:eastAsia="Times New Roman" w:cstheme="minorHAnsi"/>
        </w:rPr>
        <w:t>This request includes the following data collection instruments:</w:t>
      </w:r>
    </w:p>
    <w:p w:rsidR="000E6AD3" w:rsidP="000E6AD3" w:rsidRDefault="000E6AD3" w14:paraId="37447736" w14:textId="1672A349">
      <w:pPr>
        <w:pStyle w:val="ListParagraph"/>
        <w:numPr>
          <w:ilvl w:val="0"/>
          <w:numId w:val="50"/>
        </w:numPr>
        <w:spacing w:after="120"/>
        <w:rPr>
          <w:rFonts w:eastAsia="Times New Roman" w:cstheme="minorHAnsi"/>
        </w:rPr>
      </w:pPr>
      <w:r>
        <w:rPr>
          <w:rFonts w:eastAsia="Times New Roman" w:cstheme="minorHAnsi"/>
        </w:rPr>
        <w:t xml:space="preserve">Instrument 1: Initial Survey – to be used with state child welfare directors </w:t>
      </w:r>
      <w:r w:rsidR="00A073D7">
        <w:rPr>
          <w:rFonts w:eastAsia="Times New Roman" w:cstheme="minorHAnsi"/>
        </w:rPr>
        <w:t xml:space="preserve">or their designee </w:t>
      </w:r>
      <w:r>
        <w:rPr>
          <w:rFonts w:eastAsia="Times New Roman" w:cstheme="minorHAnsi"/>
        </w:rPr>
        <w:t xml:space="preserve">to </w:t>
      </w:r>
      <w:r w:rsidR="00A073D7">
        <w:rPr>
          <w:rFonts w:eastAsia="Times New Roman" w:cstheme="minorHAnsi"/>
        </w:rPr>
        <w:t>provide high-level information on connected data efforts and inform the</w:t>
      </w:r>
      <w:r>
        <w:rPr>
          <w:rFonts w:eastAsia="Times New Roman" w:cstheme="minorHAnsi"/>
        </w:rPr>
        <w:t xml:space="preserve"> remaining data collection activities</w:t>
      </w:r>
    </w:p>
    <w:p w:rsidR="000E6AD3" w:rsidP="437BE98E" w:rsidRDefault="2FDF7B20" w14:paraId="121A298A" w14:textId="4E6E0FA8">
      <w:pPr>
        <w:pStyle w:val="ListParagraph"/>
        <w:numPr>
          <w:ilvl w:val="0"/>
          <w:numId w:val="50"/>
        </w:numPr>
        <w:spacing w:after="120"/>
        <w:rPr>
          <w:rFonts w:eastAsia="Times New Roman"/>
        </w:rPr>
      </w:pPr>
      <w:r w:rsidRPr="437BE98E">
        <w:rPr>
          <w:rFonts w:eastAsia="Times New Roman"/>
        </w:rPr>
        <w:t xml:space="preserve">Instrument 2: Connected Data Survey – to collect </w:t>
      </w:r>
      <w:r w:rsidRPr="437BE98E">
        <w:t xml:space="preserve">more detailed information </w:t>
      </w:r>
      <w:r w:rsidR="00A073D7">
        <w:t>about connected data efforts</w:t>
      </w:r>
      <w:r w:rsidRPr="437BE98E">
        <w:t xml:space="preserve"> from staff</w:t>
      </w:r>
      <w:r w:rsidR="00A073D7">
        <w:t xml:space="preserve"> with expertise as</w:t>
      </w:r>
      <w:r w:rsidRPr="437BE98E">
        <w:t xml:space="preserve"> identified by the child welfare director</w:t>
      </w:r>
      <w:r w:rsidR="00A073D7">
        <w:t xml:space="preserve"> or their designee</w:t>
      </w:r>
    </w:p>
    <w:p w:rsidRPr="00095792" w:rsidR="000E6AD3" w:rsidP="00095792" w:rsidRDefault="000E6AD3" w14:paraId="249C1E3A" w14:textId="23B56DCE">
      <w:pPr>
        <w:pStyle w:val="ListParagraph"/>
        <w:numPr>
          <w:ilvl w:val="0"/>
          <w:numId w:val="50"/>
        </w:numPr>
        <w:spacing w:after="120"/>
        <w:rPr>
          <w:rFonts w:eastAsia="Times New Roman" w:cstheme="minorHAnsi"/>
        </w:rPr>
      </w:pPr>
      <w:r>
        <w:rPr>
          <w:rFonts w:eastAsia="Times New Roman" w:cstheme="minorHAnsi"/>
        </w:rPr>
        <w:t xml:space="preserve">Instrument 3: Interview Guide – to </w:t>
      </w:r>
      <w:r w:rsidRPr="00BC64A5">
        <w:rPr>
          <w:rFonts w:cstheme="minorHAnsi"/>
        </w:rPr>
        <w:t xml:space="preserve">capture more nuanced aspects of each state’s experiences </w:t>
      </w:r>
      <w:r w:rsidR="00A073D7">
        <w:rPr>
          <w:rFonts w:cstheme="minorHAnsi"/>
        </w:rPr>
        <w:t>creating, managing, or using</w:t>
      </w:r>
      <w:r w:rsidRPr="00BC64A5" w:rsidR="00A073D7">
        <w:rPr>
          <w:rFonts w:cstheme="minorHAnsi"/>
        </w:rPr>
        <w:t xml:space="preserve"> </w:t>
      </w:r>
      <w:r w:rsidRPr="00BC64A5">
        <w:rPr>
          <w:rFonts w:cstheme="minorHAnsi"/>
        </w:rPr>
        <w:t>connected data</w:t>
      </w:r>
      <w:r>
        <w:rPr>
          <w:rFonts w:cstheme="minorHAnsi"/>
        </w:rPr>
        <w:t xml:space="preserve"> from state child welfare directors and additional state and county staff</w:t>
      </w:r>
    </w:p>
    <w:p w:rsidRPr="009139B3" w:rsidR="00EB7932" w:rsidP="437BE98E" w:rsidRDefault="3298609B" w14:paraId="7C3B262F" w14:textId="7801A85C">
      <w:pPr>
        <w:spacing w:after="120"/>
        <w:rPr>
          <w:b/>
          <w:bCs/>
        </w:rPr>
      </w:pPr>
      <w:r w:rsidRPr="437BE98E">
        <w:rPr>
          <w:rFonts w:cs="Calibri"/>
        </w:rPr>
        <w:t>We do not intend for this information to be used as the principal basis for public policy decisions</w:t>
      </w:r>
      <w:r w:rsidRPr="437BE98E" w:rsidR="0FFD3D73">
        <w:rPr>
          <w:rFonts w:cs="Calibri"/>
        </w:rPr>
        <w:t>.</w:t>
      </w:r>
    </w:p>
    <w:p w:rsidRPr="009139B3" w:rsidR="001D1C73" w:rsidP="001D1C73" w:rsidRDefault="001D1C73" w14:paraId="7CF70A12" w14:textId="77777777">
      <w:pPr>
        <w:spacing w:after="0"/>
      </w:pPr>
      <w:r w:rsidRPr="009139B3">
        <w:br w:type="page"/>
      </w:r>
    </w:p>
    <w:p w:rsidR="005525A9" w:rsidP="005525A9" w:rsidRDefault="001D1C73" w14:paraId="37D9142F" w14:textId="77777777">
      <w:pPr>
        <w:spacing w:after="120" w:line="240" w:lineRule="auto"/>
      </w:pPr>
      <w:r w:rsidRPr="009139B3">
        <w:rPr>
          <w:b/>
        </w:rPr>
        <w:lastRenderedPageBreak/>
        <w:t>A1</w:t>
      </w:r>
      <w:r w:rsidRPr="009139B3">
        <w:t>.</w:t>
      </w:r>
      <w:r w:rsidRPr="009139B3">
        <w:tab/>
      </w:r>
      <w:r w:rsidRPr="009139B3">
        <w:rPr>
          <w:b/>
        </w:rPr>
        <w:t>Necessity for Collection</w:t>
      </w:r>
      <w:r w:rsidRPr="009139B3">
        <w:t xml:space="preserve"> </w:t>
      </w:r>
    </w:p>
    <w:p w:rsidR="005525A9" w:rsidP="00682071" w:rsidRDefault="656C7BEC" w14:paraId="3BFB822A" w14:textId="0CD0055C">
      <w:pPr>
        <w:spacing w:after="120"/>
      </w:pPr>
      <w:r w:rsidRPr="00616D5F">
        <w:t xml:space="preserve">Child maltreatment remains a </w:t>
      </w:r>
      <w:r w:rsidRPr="00616D5F" w:rsidR="2561A401">
        <w:t xml:space="preserve">serious </w:t>
      </w:r>
      <w:r w:rsidRPr="00616D5F">
        <w:t>problem in the United States. In fiscal year 2019, child protective services agencies nationwide received about 4.4 million referrals for allegations of abuse or neglect</w:t>
      </w:r>
      <w:r w:rsidR="12C8E38A">
        <w:t xml:space="preserve">. </w:t>
      </w:r>
      <w:r w:rsidRPr="00616D5F">
        <w:t xml:space="preserve">A study found about 656,000 of these children to be victims of abuse or neglect (U.S. Department of Health and Human Services [HHS] 2021). Child maltreatment affects numerous individual and family outcomes related to health, employment, relationships, and self-sufficiency (Currie and </w:t>
      </w:r>
      <w:proofErr w:type="spellStart"/>
      <w:r w:rsidRPr="00616D5F">
        <w:t>Widom</w:t>
      </w:r>
      <w:proofErr w:type="spellEnd"/>
      <w:r w:rsidRPr="00616D5F">
        <w:t xml:space="preserve"> 2010; </w:t>
      </w:r>
      <w:proofErr w:type="spellStart"/>
      <w:r w:rsidRPr="00616D5F">
        <w:t>Danese</w:t>
      </w:r>
      <w:proofErr w:type="spellEnd"/>
      <w:r w:rsidRPr="00616D5F">
        <w:t xml:space="preserve"> et al. 2009; Jonson-Reid et al. 2012). </w:t>
      </w:r>
      <w:r w:rsidRPr="00440A70" w:rsidR="12C8E38A">
        <w:t>The Child Abuse Prevention and Treatment Act (CAPTA)</w:t>
      </w:r>
      <w:r w:rsidR="39754F5A">
        <w:t xml:space="preserve"> </w:t>
      </w:r>
      <w:r w:rsidRPr="00440A70" w:rsidR="12C8E38A">
        <w:t xml:space="preserve">requires the examination of a wide range of topics related to the incidence of child </w:t>
      </w:r>
      <w:r w:rsidR="000B28AF">
        <w:t>maltreatment</w:t>
      </w:r>
      <w:r w:rsidRPr="00440A70" w:rsidR="12C8E38A">
        <w:t xml:space="preserve"> with the aim of informing efforts to better protect children from maltreatment and improve the well-being of victims of maltreatment</w:t>
      </w:r>
      <w:r w:rsidR="38BEF440">
        <w:t>.</w:t>
      </w:r>
      <w:r w:rsidR="000E6AD3">
        <w:rPr>
          <w:rStyle w:val="FootnoteReference"/>
        </w:rPr>
        <w:footnoteReference w:id="1"/>
      </w:r>
      <w:r w:rsidR="38BEF440">
        <w:t xml:space="preserve"> Accurate and ongoing surveillance of the incidence of child maltreatment and related risk and protective factors can inform policy and programs as well as shape prevention and intervention efforts. </w:t>
      </w:r>
    </w:p>
    <w:p w:rsidR="00EF2A1A" w:rsidP="00682071" w:rsidRDefault="00616D5F" w14:paraId="34F44202" w14:textId="77777777">
      <w:pPr>
        <w:spacing w:after="120"/>
      </w:pPr>
      <w:r w:rsidRPr="00616D5F">
        <w:t xml:space="preserve">One promising approach to capturing </w:t>
      </w:r>
      <w:r w:rsidR="00D01A50">
        <w:t>i</w:t>
      </w:r>
      <w:r w:rsidRPr="00616D5F">
        <w:t>nformation</w:t>
      </w:r>
      <w:r w:rsidR="00D01A50">
        <w:t xml:space="preserve"> regarding child </w:t>
      </w:r>
      <w:r w:rsidR="00314205">
        <w:t>maltreatment</w:t>
      </w:r>
      <w:r w:rsidRPr="00616D5F">
        <w:t xml:space="preserve"> is by linking local, state, or federal administrative records, such as those from child welfare, health, social services, education, public safety, and other agencies. This approach could improve the quality, usefulness, interoperability, and availability of child maltreatment data.</w:t>
      </w:r>
      <w:r w:rsidR="009C1A15">
        <w:t xml:space="preserve"> </w:t>
      </w:r>
      <w:r w:rsidR="003F7422">
        <w:t>Connected</w:t>
      </w:r>
      <w:r w:rsidRPr="00616D5F" w:rsidR="003F7422">
        <w:t xml:space="preserve"> </w:t>
      </w:r>
      <w:r w:rsidRPr="00616D5F">
        <w:t>administrative data provide a growing opportunity to accurately capture the incidence of child maltreatment and related risk and protective factors.</w:t>
      </w:r>
      <w:r w:rsidR="009C1A15">
        <w:t xml:space="preserve"> </w:t>
      </w:r>
      <w:r w:rsidRPr="00616D5F">
        <w:t>Administrative data typically are collected by public agencies and may include client-level service records, other documentation of program implementation, records of transactions or registrations, or similar information (Connelly et al. 2016)</w:t>
      </w:r>
      <w:r w:rsidR="009C1A15">
        <w:t xml:space="preserve">. </w:t>
      </w:r>
    </w:p>
    <w:p w:rsidR="00616D5F" w:rsidP="00682071" w:rsidRDefault="00EF2A1A" w14:paraId="3943199F" w14:textId="41FBB6F9">
      <w:pPr>
        <w:spacing w:after="120"/>
        <w:rPr>
          <w:rFonts w:eastAsia="Times New Roman" w:cstheme="minorHAnsi"/>
        </w:rPr>
      </w:pPr>
      <w:r w:rsidRPr="00644187">
        <w:rPr>
          <w:rFonts w:eastAsia="Times New Roman" w:cstheme="minorHAnsi"/>
        </w:rPr>
        <w:t xml:space="preserve">The Administration for Children and Families </w:t>
      </w:r>
      <w:r>
        <w:rPr>
          <w:rFonts w:eastAsia="Times New Roman" w:cstheme="minorHAnsi"/>
        </w:rPr>
        <w:t>(ACF) and the Office of Planning, Research, and Evaluation (OPRE) is proposing</w:t>
      </w:r>
      <w:r w:rsidRPr="00644187">
        <w:rPr>
          <w:rFonts w:eastAsia="Times New Roman" w:cstheme="minorHAnsi"/>
        </w:rPr>
        <w:t xml:space="preserve"> a new primary data collection about connected child </w:t>
      </w:r>
      <w:r>
        <w:rPr>
          <w:rFonts w:eastAsia="Times New Roman" w:cstheme="minorHAnsi"/>
        </w:rPr>
        <w:t>maltreatment</w:t>
      </w:r>
      <w:r w:rsidRPr="00644187">
        <w:rPr>
          <w:rFonts w:eastAsia="Times New Roman" w:cstheme="minorHAnsi"/>
        </w:rPr>
        <w:t xml:space="preserve"> data</w:t>
      </w:r>
      <w:r>
        <w:rPr>
          <w:rFonts w:eastAsia="Times New Roman" w:cstheme="minorHAnsi"/>
        </w:rPr>
        <w:t xml:space="preserve"> in an effort to </w:t>
      </w:r>
      <w:r w:rsidRPr="00616D5F" w:rsidR="00616D5F">
        <w:t xml:space="preserve">expand knowledge related to the </w:t>
      </w:r>
      <w:r w:rsidR="00A073D7">
        <w:t>capacity</w:t>
      </w:r>
      <w:r>
        <w:t xml:space="preserve"> </w:t>
      </w:r>
      <w:r w:rsidRPr="00616D5F" w:rsidR="00616D5F">
        <w:t xml:space="preserve">of administrative data to </w:t>
      </w:r>
      <w:r w:rsidR="00A073D7">
        <w:t>examine</w:t>
      </w:r>
      <w:r w:rsidRPr="00616D5F" w:rsidR="00A073D7">
        <w:t xml:space="preserve"> </w:t>
      </w:r>
      <w:r w:rsidRPr="00616D5F" w:rsidR="00616D5F">
        <w:t xml:space="preserve">child maltreatment incidence and related risk and protective factors and address </w:t>
      </w:r>
      <w:r w:rsidR="00A073D7">
        <w:t xml:space="preserve">CAPTA </w:t>
      </w:r>
      <w:r w:rsidRPr="00616D5F" w:rsidR="00616D5F">
        <w:t xml:space="preserve">research </w:t>
      </w:r>
      <w:r w:rsidR="00A073D7">
        <w:t>topics</w:t>
      </w:r>
      <w:r w:rsidRPr="00616D5F" w:rsidR="00616D5F">
        <w:t>.</w:t>
      </w:r>
      <w:r>
        <w:t xml:space="preserve"> </w:t>
      </w:r>
      <w:r w:rsidRPr="00644187">
        <w:rPr>
          <w:rFonts w:eastAsia="Times New Roman" w:cstheme="minorHAnsi"/>
        </w:rPr>
        <w:t>The State Child Welfare Data Linkages Descriptive Study (</w:t>
      </w:r>
      <w:r>
        <w:rPr>
          <w:rFonts w:eastAsia="Times New Roman" w:cstheme="minorHAnsi"/>
        </w:rPr>
        <w:t xml:space="preserve">SCW </w:t>
      </w:r>
      <w:r w:rsidRPr="00644187">
        <w:rPr>
          <w:rFonts w:eastAsia="Times New Roman" w:cstheme="minorHAnsi"/>
        </w:rPr>
        <w:t xml:space="preserve">Descriptive Study) will gather systematic information on the extent to which states connect their child maltreatment data to other </w:t>
      </w:r>
      <w:r>
        <w:rPr>
          <w:rFonts w:eastAsia="Times New Roman" w:cstheme="minorHAnsi"/>
        </w:rPr>
        <w:t xml:space="preserve">state and county </w:t>
      </w:r>
      <w:r w:rsidRPr="00644187">
        <w:rPr>
          <w:rFonts w:eastAsia="Times New Roman" w:cstheme="minorHAnsi"/>
        </w:rPr>
        <w:t xml:space="preserve">data sets; how any </w:t>
      </w:r>
      <w:r>
        <w:rPr>
          <w:rFonts w:eastAsia="Times New Roman" w:cstheme="minorHAnsi"/>
        </w:rPr>
        <w:t>connected</w:t>
      </w:r>
      <w:r w:rsidRPr="00644187">
        <w:rPr>
          <w:rFonts w:eastAsia="Times New Roman" w:cstheme="minorHAnsi"/>
        </w:rPr>
        <w:t xml:space="preserve"> data sets are created, managed, and used; and challenges states face in linking data. These data are not available from existing sources. The </w:t>
      </w:r>
      <w:r>
        <w:rPr>
          <w:rFonts w:eastAsia="Times New Roman" w:cstheme="minorHAnsi"/>
        </w:rPr>
        <w:t>SCW</w:t>
      </w:r>
      <w:r w:rsidRPr="00644187">
        <w:rPr>
          <w:rFonts w:eastAsia="Times New Roman" w:cstheme="minorHAnsi"/>
        </w:rPr>
        <w:t xml:space="preserve"> Descriptive Study aims to provide important information to the field by documenting the capacity of state child welfare agencies to link data sets</w:t>
      </w:r>
      <w:r>
        <w:rPr>
          <w:rFonts w:eastAsia="Times New Roman" w:cstheme="minorHAnsi"/>
        </w:rPr>
        <w:t xml:space="preserve"> with other agencies</w:t>
      </w:r>
      <w:r w:rsidRPr="00644187">
        <w:rPr>
          <w:rFonts w:eastAsia="Times New Roman" w:cstheme="minorHAnsi"/>
        </w:rPr>
        <w:t xml:space="preserve">. This study aims to present an internally valid description of the </w:t>
      </w:r>
      <w:r>
        <w:rPr>
          <w:rFonts w:eastAsia="Times New Roman" w:cstheme="minorHAnsi"/>
        </w:rPr>
        <w:t xml:space="preserve">connected </w:t>
      </w:r>
      <w:r w:rsidRPr="00644187">
        <w:rPr>
          <w:rFonts w:eastAsia="Times New Roman" w:cstheme="minorHAnsi"/>
        </w:rPr>
        <w:t>data capacity of participating state child welfare agencies, not to promote statistical generalization to different sites or service populations.</w:t>
      </w:r>
    </w:p>
    <w:p w:rsidRPr="009139B3" w:rsidR="004F3876" w:rsidP="00682071" w:rsidRDefault="004F3876" w14:paraId="6604F9C7" w14:textId="5C844119">
      <w:pPr>
        <w:spacing w:after="240"/>
      </w:pPr>
      <w:r>
        <w:rPr>
          <w:rFonts w:eastAsia="Times New Roman" w:cstheme="minorHAnsi"/>
        </w:rPr>
        <w:t>OPRE has contracted with Mathematica to conduct this study.</w:t>
      </w:r>
    </w:p>
    <w:p w:rsidRPr="009139B3" w:rsidR="001D1C73" w:rsidP="001D1C73" w:rsidRDefault="001D1C73" w14:paraId="1D64CC0F" w14:textId="77777777">
      <w:pPr>
        <w:spacing w:after="120" w:line="240" w:lineRule="auto"/>
        <w:rPr>
          <w:b/>
        </w:rPr>
      </w:pPr>
      <w:r w:rsidRPr="009139B3">
        <w:rPr>
          <w:b/>
        </w:rPr>
        <w:t>A2</w:t>
      </w:r>
      <w:r w:rsidRPr="00682071">
        <w:rPr>
          <w:b/>
        </w:rPr>
        <w:t>.</w:t>
      </w:r>
      <w:r w:rsidRPr="00682071">
        <w:rPr>
          <w:b/>
        </w:rPr>
        <w:tab/>
      </w:r>
      <w:r w:rsidRPr="009139B3">
        <w:rPr>
          <w:b/>
        </w:rPr>
        <w:t>Purpose</w:t>
      </w:r>
    </w:p>
    <w:p w:rsidR="001D1C73" w:rsidP="001D1C73" w:rsidRDefault="001D1C73" w14:paraId="3EF5234E" w14:textId="695BC3BA">
      <w:pPr>
        <w:spacing w:after="60" w:line="240" w:lineRule="auto"/>
        <w:rPr>
          <w:i/>
        </w:rPr>
      </w:pPr>
      <w:r w:rsidRPr="009139B3">
        <w:rPr>
          <w:i/>
        </w:rPr>
        <w:t xml:space="preserve">Purpose and Use </w:t>
      </w:r>
    </w:p>
    <w:p w:rsidRPr="00F7365E" w:rsidR="00CE6C45" w:rsidP="00682071" w:rsidRDefault="003C338A" w14:paraId="06359A42" w14:textId="06C92EE4">
      <w:pPr>
        <w:spacing w:after="120"/>
        <w:rPr>
          <w:iCs/>
        </w:rPr>
      </w:pPr>
      <w:r w:rsidRPr="00463DAD">
        <w:rPr>
          <w:iCs/>
        </w:rPr>
        <w:t xml:space="preserve">The </w:t>
      </w:r>
      <w:r w:rsidR="00072990">
        <w:rPr>
          <w:iCs/>
        </w:rPr>
        <w:t>SCW</w:t>
      </w:r>
      <w:r w:rsidRPr="00644187" w:rsidR="00644187">
        <w:rPr>
          <w:iCs/>
        </w:rPr>
        <w:t xml:space="preserve"> Descriptive Study</w:t>
      </w:r>
      <w:r w:rsidRPr="00463DAD">
        <w:rPr>
          <w:iCs/>
        </w:rPr>
        <w:t xml:space="preserve"> will provide information of interest regarding how best to move forward in understanding the child maltreatment incidence and related risks and protective factors through </w:t>
      </w:r>
      <w:r w:rsidR="00C06F6A">
        <w:rPr>
          <w:iCs/>
        </w:rPr>
        <w:lastRenderedPageBreak/>
        <w:t>connected</w:t>
      </w:r>
      <w:r w:rsidR="00C06F6A">
        <w:t xml:space="preserve"> </w:t>
      </w:r>
      <w:r w:rsidR="00367A54">
        <w:t xml:space="preserve">administrative data. </w:t>
      </w:r>
      <w:r w:rsidRPr="00644187" w:rsidR="00EF2A1A">
        <w:rPr>
          <w:rFonts w:eastAsia="Times New Roman" w:cstheme="minorHAnsi"/>
        </w:rPr>
        <w:t xml:space="preserve">We define connected data as </w:t>
      </w:r>
      <w:r w:rsidR="00EF2A1A">
        <w:rPr>
          <w:rFonts w:eastAsia="Times New Roman" w:cstheme="minorHAnsi"/>
        </w:rPr>
        <w:t xml:space="preserve">state </w:t>
      </w:r>
      <w:r w:rsidRPr="00644187" w:rsidR="00EF2A1A">
        <w:rPr>
          <w:rFonts w:eastAsia="Times New Roman" w:cstheme="minorHAnsi"/>
        </w:rPr>
        <w:t xml:space="preserve">child welfare </w:t>
      </w:r>
      <w:r w:rsidR="00EF2A1A">
        <w:rPr>
          <w:rFonts w:eastAsia="Times New Roman" w:cstheme="minorHAnsi"/>
        </w:rPr>
        <w:t xml:space="preserve">administrative </w:t>
      </w:r>
      <w:r w:rsidRPr="00644187" w:rsidR="00EF2A1A">
        <w:rPr>
          <w:rFonts w:eastAsia="Times New Roman" w:cstheme="minorHAnsi"/>
        </w:rPr>
        <w:t xml:space="preserve">data that are linked or integrated with </w:t>
      </w:r>
      <w:r w:rsidR="00EF2A1A">
        <w:rPr>
          <w:rFonts w:eastAsia="Times New Roman" w:cstheme="minorHAnsi"/>
        </w:rPr>
        <w:t xml:space="preserve">administrative </w:t>
      </w:r>
      <w:r w:rsidRPr="00644187" w:rsidR="00EF2A1A">
        <w:rPr>
          <w:rFonts w:eastAsia="Times New Roman" w:cstheme="minorHAnsi"/>
        </w:rPr>
        <w:t xml:space="preserve">data from other </w:t>
      </w:r>
      <w:r w:rsidR="00EF2A1A">
        <w:rPr>
          <w:rFonts w:eastAsia="Times New Roman" w:cstheme="minorHAnsi"/>
        </w:rPr>
        <w:t xml:space="preserve">state or county </w:t>
      </w:r>
      <w:r w:rsidRPr="00644187" w:rsidR="00EF2A1A">
        <w:rPr>
          <w:rFonts w:eastAsia="Times New Roman" w:cstheme="minorHAnsi"/>
        </w:rPr>
        <w:t xml:space="preserve">systems or agencies. </w:t>
      </w:r>
      <w:r w:rsidRPr="00CE6C45" w:rsidR="00CE6C45">
        <w:rPr>
          <w:iCs/>
        </w:rPr>
        <w:t xml:space="preserve">The </w:t>
      </w:r>
      <w:r w:rsidR="00072990">
        <w:rPr>
          <w:iCs/>
        </w:rPr>
        <w:t>SCW</w:t>
      </w:r>
      <w:r w:rsidRPr="00644187" w:rsidR="00644187">
        <w:rPr>
          <w:iCs/>
        </w:rPr>
        <w:t xml:space="preserve"> Descriptive Study </w:t>
      </w:r>
      <w:r w:rsidRPr="00CE6C45" w:rsidR="00CE6C45">
        <w:rPr>
          <w:iCs/>
        </w:rPr>
        <w:t xml:space="preserve">will provide </w:t>
      </w:r>
      <w:r w:rsidR="0090499D">
        <w:rPr>
          <w:iCs/>
        </w:rPr>
        <w:t>ACF</w:t>
      </w:r>
      <w:r w:rsidRPr="00CE6C45" w:rsidR="0090499D">
        <w:rPr>
          <w:iCs/>
        </w:rPr>
        <w:t xml:space="preserve"> </w:t>
      </w:r>
      <w:r w:rsidRPr="00CE6C45" w:rsidR="00CE6C45">
        <w:rPr>
          <w:iCs/>
        </w:rPr>
        <w:t xml:space="preserve">with information on the extent to which states connect their child maltreatment data to other data sets, whether by linking or integration; information on how any </w:t>
      </w:r>
      <w:r w:rsidR="00C06F6A">
        <w:rPr>
          <w:iCs/>
        </w:rPr>
        <w:t>connected</w:t>
      </w:r>
      <w:r w:rsidRPr="00CE6C45" w:rsidR="00C06F6A">
        <w:rPr>
          <w:iCs/>
        </w:rPr>
        <w:t xml:space="preserve"> </w:t>
      </w:r>
      <w:r w:rsidRPr="00CE6C45" w:rsidR="00CE6C45">
        <w:rPr>
          <w:iCs/>
        </w:rPr>
        <w:t>data sets are created, managed, and used; and challenges to linking data</w:t>
      </w:r>
      <w:r w:rsidR="00A9277D">
        <w:rPr>
          <w:iCs/>
        </w:rPr>
        <w:t>.</w:t>
      </w:r>
      <w:r w:rsidR="00063089">
        <w:rPr>
          <w:iCs/>
        </w:rPr>
        <w:t xml:space="preserve"> </w:t>
      </w:r>
      <w:r w:rsidR="00471E95">
        <w:rPr>
          <w:iCs/>
        </w:rPr>
        <w:t xml:space="preserve">This information </w:t>
      </w:r>
      <w:r w:rsidR="0090499D">
        <w:rPr>
          <w:iCs/>
        </w:rPr>
        <w:t>may</w:t>
      </w:r>
      <w:r w:rsidR="00471E95">
        <w:rPr>
          <w:iCs/>
        </w:rPr>
        <w:t xml:space="preserve"> be used </w:t>
      </w:r>
      <w:r w:rsidR="00246F38">
        <w:rPr>
          <w:iCs/>
        </w:rPr>
        <w:t xml:space="preserve">by ACF to </w:t>
      </w:r>
      <w:r w:rsidR="0090499D">
        <w:rPr>
          <w:iCs/>
        </w:rPr>
        <w:t>support the ongoing and accurate surveillance of child maltreatment. It may be used by state agency staff to identify data linkage needs and promising practices to address those needs</w:t>
      </w:r>
      <w:r w:rsidR="00246F38">
        <w:rPr>
          <w:iCs/>
        </w:rPr>
        <w:t xml:space="preserve">. </w:t>
      </w:r>
    </w:p>
    <w:p w:rsidR="005F1CB3" w:rsidP="00682071" w:rsidRDefault="00803272" w14:paraId="5A2836F0" w14:textId="7A8AA3A9">
      <w:pPr>
        <w:spacing w:after="120"/>
        <w:rPr>
          <w:iCs/>
        </w:rPr>
      </w:pPr>
      <w:bookmarkStart w:name="_Hlk90987261" w:id="1"/>
      <w:r>
        <w:t>I</w:t>
      </w:r>
      <w:r w:rsidR="005F1CB3">
        <w:t xml:space="preserve">nformation from the </w:t>
      </w:r>
      <w:r w:rsidR="00072990">
        <w:t>SCW</w:t>
      </w:r>
      <w:r w:rsidRPr="00644187" w:rsidR="00644187">
        <w:t xml:space="preserve"> Descriptive Study </w:t>
      </w:r>
      <w:r w:rsidR="00A073D7">
        <w:t>may be</w:t>
      </w:r>
      <w:r>
        <w:t xml:space="preserve"> disseminated through</w:t>
      </w:r>
      <w:r w:rsidR="00A073D7">
        <w:t xml:space="preserve"> briefs, reports, and other publicly available products.</w:t>
      </w:r>
      <w:r w:rsidR="00463DAD">
        <w:t xml:space="preserve"> </w:t>
      </w:r>
      <w:r w:rsidR="005F1CB3">
        <w:t>We will develop products that are useful to a variety of audiences</w:t>
      </w:r>
      <w:r w:rsidR="00A073D7">
        <w:t>, including child maltreatment researchers as well as state and federal agency staff.</w:t>
      </w:r>
      <w:r w:rsidR="00172064">
        <w:t xml:space="preserve"> </w:t>
      </w:r>
      <w:r w:rsidR="006530F9">
        <w:t>D</w:t>
      </w:r>
      <w:r w:rsidR="00236573">
        <w:t xml:space="preserve">ata </w:t>
      </w:r>
      <w:r w:rsidR="00A073D7">
        <w:t>may</w:t>
      </w:r>
      <w:r w:rsidR="00236573">
        <w:t xml:space="preserve"> be archived</w:t>
      </w:r>
      <w:r w:rsidR="005F1CB3">
        <w:t>, as appropriate.</w:t>
      </w:r>
      <w:r w:rsidR="00463DAD">
        <w:t xml:space="preserve"> </w:t>
      </w:r>
      <w:bookmarkEnd w:id="1"/>
      <w:r w:rsidR="00463DAD">
        <w:t>Making</w:t>
      </w:r>
      <w:r w:rsidR="005F1CB3">
        <w:t xml:space="preserve"> the data available to other researchers </w:t>
      </w:r>
      <w:r w:rsidR="00E02E48">
        <w:t>may</w:t>
      </w:r>
      <w:r w:rsidR="005F1CB3">
        <w:t xml:space="preserve"> enable them to conduct additional, secondary data analyses of interest.</w:t>
      </w:r>
    </w:p>
    <w:p w:rsidRPr="009139B3" w:rsidR="001D1C73" w:rsidP="00682071" w:rsidRDefault="001D1C73" w14:paraId="5D584897" w14:textId="62EFC0A4">
      <w:pPr>
        <w:spacing w:after="120" w:line="240" w:lineRule="auto"/>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1D1C73" w:rsidP="001D1C73" w:rsidRDefault="001D1C73" w14:paraId="6F0BE561" w14:textId="77777777">
      <w:pPr>
        <w:spacing w:after="60" w:line="240" w:lineRule="auto"/>
        <w:rPr>
          <w:i/>
        </w:rPr>
      </w:pPr>
      <w:r w:rsidRPr="009139B3">
        <w:rPr>
          <w:i/>
        </w:rPr>
        <w:t>Research Questions or Tests</w:t>
      </w:r>
    </w:p>
    <w:p w:rsidR="001D1C73" w:rsidP="003C0CC3" w:rsidRDefault="00C872D2" w14:paraId="366BAD8E" w14:textId="5B4E880A">
      <w:pPr>
        <w:spacing w:after="120" w:line="240" w:lineRule="auto"/>
        <w:rPr>
          <w:iCs/>
        </w:rPr>
      </w:pPr>
      <w:r>
        <w:rPr>
          <w:iCs/>
        </w:rPr>
        <w:t xml:space="preserve">The </w:t>
      </w:r>
      <w:r w:rsidR="00072990">
        <w:rPr>
          <w:iCs/>
        </w:rPr>
        <w:t>SCW</w:t>
      </w:r>
      <w:r>
        <w:rPr>
          <w:iCs/>
        </w:rPr>
        <w:t xml:space="preserve"> Descriptive Study will explore the following research questions:</w:t>
      </w:r>
    </w:p>
    <w:p w:rsidRPr="00EE16CE" w:rsidR="00EE16CE" w:rsidP="003C0CC3" w:rsidRDefault="00EE16CE" w14:paraId="4790FEF7" w14:textId="0AEACF52">
      <w:pPr>
        <w:spacing w:after="60" w:line="240" w:lineRule="auto"/>
        <w:ind w:left="720"/>
        <w:rPr>
          <w:iCs/>
        </w:rPr>
      </w:pPr>
      <w:r w:rsidRPr="00EE16CE">
        <w:rPr>
          <w:iCs/>
        </w:rPr>
        <w:t xml:space="preserve">1. Which states link their child </w:t>
      </w:r>
      <w:r w:rsidR="00C06F6A">
        <w:rPr>
          <w:iCs/>
        </w:rPr>
        <w:t>maltreatment</w:t>
      </w:r>
      <w:r w:rsidRPr="00EE16CE" w:rsidR="00C06F6A">
        <w:rPr>
          <w:iCs/>
        </w:rPr>
        <w:t xml:space="preserve"> </w:t>
      </w:r>
      <w:r w:rsidRPr="00EE16CE">
        <w:rPr>
          <w:iCs/>
        </w:rPr>
        <w:t>data with other state administrative data sources?</w:t>
      </w:r>
    </w:p>
    <w:p w:rsidRPr="00EE16CE" w:rsidR="00EE16CE" w:rsidP="003C0CC3" w:rsidRDefault="00EE16CE" w14:paraId="239ED05D" w14:textId="6D203E46">
      <w:pPr>
        <w:spacing w:after="60" w:line="240" w:lineRule="auto"/>
        <w:ind w:left="720"/>
        <w:rPr>
          <w:iCs/>
        </w:rPr>
      </w:pPr>
      <w:r w:rsidRPr="00EE16CE">
        <w:rPr>
          <w:iCs/>
        </w:rPr>
        <w:t xml:space="preserve">2. Which states share their child </w:t>
      </w:r>
      <w:r w:rsidR="00C06F6A">
        <w:rPr>
          <w:iCs/>
        </w:rPr>
        <w:t>maltreatment</w:t>
      </w:r>
      <w:r w:rsidRPr="00EE16CE" w:rsidR="00C06F6A">
        <w:rPr>
          <w:iCs/>
        </w:rPr>
        <w:t xml:space="preserve"> </w:t>
      </w:r>
      <w:r w:rsidRPr="00EE16CE">
        <w:rPr>
          <w:iCs/>
        </w:rPr>
        <w:t>data? With whom do they share data?</w:t>
      </w:r>
    </w:p>
    <w:p w:rsidRPr="00EE16CE" w:rsidR="00EE16CE" w:rsidP="003C0CC3" w:rsidRDefault="00EE16CE" w14:paraId="54956531" w14:textId="77777777">
      <w:pPr>
        <w:spacing w:after="60" w:line="240" w:lineRule="auto"/>
        <w:ind w:left="720"/>
        <w:rPr>
          <w:iCs/>
        </w:rPr>
      </w:pPr>
      <w:r w:rsidRPr="00EE16CE">
        <w:rPr>
          <w:iCs/>
        </w:rPr>
        <w:t>3. How are state data linkages used for policy, practice, and/or research purposes?</w:t>
      </w:r>
    </w:p>
    <w:p w:rsidRPr="00EE16CE" w:rsidR="00EE16CE" w:rsidP="003C0CC3" w:rsidRDefault="00EE16CE" w14:paraId="044D54D6" w14:textId="77777777">
      <w:pPr>
        <w:spacing w:after="60" w:line="240" w:lineRule="auto"/>
        <w:ind w:left="720"/>
        <w:rPr>
          <w:iCs/>
        </w:rPr>
      </w:pPr>
      <w:r w:rsidRPr="00EE16CE">
        <w:rPr>
          <w:iCs/>
        </w:rPr>
        <w:t>4. What methods or approaches are used to link state data?</w:t>
      </w:r>
    </w:p>
    <w:p w:rsidRPr="00EE16CE" w:rsidR="001D1C73" w:rsidP="00682071" w:rsidRDefault="00EE16CE" w14:paraId="5BEDE90A" w14:textId="2BE7FFE5">
      <w:pPr>
        <w:spacing w:after="240" w:line="240" w:lineRule="auto"/>
        <w:ind w:left="720"/>
        <w:rPr>
          <w:iCs/>
        </w:rPr>
      </w:pPr>
      <w:r w:rsidRPr="00EE16CE">
        <w:rPr>
          <w:iCs/>
        </w:rPr>
        <w:t xml:space="preserve">5. What policies, practices, or resources support </w:t>
      </w:r>
      <w:r w:rsidR="00C06F6A">
        <w:rPr>
          <w:iCs/>
        </w:rPr>
        <w:t>connected</w:t>
      </w:r>
      <w:r w:rsidRPr="00EE16CE" w:rsidR="00C06F6A">
        <w:rPr>
          <w:iCs/>
        </w:rPr>
        <w:t xml:space="preserve"> </w:t>
      </w:r>
      <w:r w:rsidRPr="00EE16CE">
        <w:rPr>
          <w:iCs/>
        </w:rPr>
        <w:t xml:space="preserve">state child </w:t>
      </w:r>
      <w:r w:rsidR="00C06F6A">
        <w:rPr>
          <w:iCs/>
        </w:rPr>
        <w:t>maltreatment</w:t>
      </w:r>
      <w:r w:rsidRPr="00EE16CE" w:rsidR="00C06F6A">
        <w:rPr>
          <w:iCs/>
        </w:rPr>
        <w:t xml:space="preserve"> </w:t>
      </w:r>
      <w:r w:rsidRPr="00EE16CE">
        <w:rPr>
          <w:iCs/>
        </w:rPr>
        <w:t>data?</w:t>
      </w:r>
    </w:p>
    <w:p w:rsidR="001D1C73" w:rsidP="002A3943" w:rsidRDefault="001D1C73" w14:paraId="3E13AED3" w14:textId="66E1EB01">
      <w:pPr>
        <w:spacing w:after="60" w:line="240" w:lineRule="auto"/>
        <w:rPr>
          <w:i/>
        </w:rPr>
      </w:pPr>
      <w:r w:rsidRPr="009139B3">
        <w:rPr>
          <w:i/>
        </w:rPr>
        <w:t>Study Design</w:t>
      </w:r>
    </w:p>
    <w:p w:rsidR="005E6290" w:rsidP="00682071" w:rsidRDefault="002A3943" w14:paraId="70C4D24E" w14:textId="472AE21F">
      <w:pPr>
        <w:spacing w:after="120"/>
        <w:rPr>
          <w:iCs/>
        </w:rPr>
      </w:pPr>
      <w:r>
        <w:rPr>
          <w:iCs/>
        </w:rPr>
        <w:t xml:space="preserve">The proposed </w:t>
      </w:r>
      <w:r w:rsidR="00E32606">
        <w:rPr>
          <w:iCs/>
        </w:rPr>
        <w:t xml:space="preserve">data collection </w:t>
      </w:r>
      <w:r>
        <w:rPr>
          <w:iCs/>
        </w:rPr>
        <w:t xml:space="preserve">is a descriptive study </w:t>
      </w:r>
      <w:r w:rsidR="00E32606">
        <w:rPr>
          <w:iCs/>
        </w:rPr>
        <w:t xml:space="preserve">that will </w:t>
      </w:r>
      <w:r w:rsidR="00D54D7A">
        <w:rPr>
          <w:iCs/>
        </w:rPr>
        <w:t>consist of three sequential data collection activities.</w:t>
      </w:r>
      <w:r w:rsidRPr="005F7A5C" w:rsidR="00C960A2">
        <w:rPr>
          <w:iCs/>
        </w:rPr>
        <w:t xml:space="preserve"> First, a web-based survey of state child welfare directors (or their designees) will </w:t>
      </w:r>
      <w:r w:rsidR="00E32606">
        <w:rPr>
          <w:iCs/>
        </w:rPr>
        <w:t>collect high-level information on the</w:t>
      </w:r>
      <w:r w:rsidRPr="005F7A5C" w:rsidR="00C960A2">
        <w:rPr>
          <w:iCs/>
        </w:rPr>
        <w:t xml:space="preserve"> state’s connected data efforts</w:t>
      </w:r>
      <w:r w:rsidR="00C872D2">
        <w:rPr>
          <w:iCs/>
        </w:rPr>
        <w:t xml:space="preserve"> (Instrument 1)</w:t>
      </w:r>
      <w:r w:rsidRPr="005F7A5C" w:rsidR="00C960A2">
        <w:rPr>
          <w:iCs/>
        </w:rPr>
        <w:t xml:space="preserve">. Second, a web-based survey of </w:t>
      </w:r>
      <w:r w:rsidR="00767ABA">
        <w:rPr>
          <w:iCs/>
        </w:rPr>
        <w:t xml:space="preserve">staff </w:t>
      </w:r>
      <w:r w:rsidRPr="005F7A5C" w:rsidR="00C960A2">
        <w:rPr>
          <w:iCs/>
        </w:rPr>
        <w:t xml:space="preserve">who actively work on state or county connected data efforts will </w:t>
      </w:r>
      <w:r w:rsidR="00C27AE3">
        <w:rPr>
          <w:iCs/>
        </w:rPr>
        <w:t xml:space="preserve">collect information on </w:t>
      </w:r>
      <w:r w:rsidRPr="005F7A5C" w:rsidR="00C960A2">
        <w:rPr>
          <w:iCs/>
        </w:rPr>
        <w:t xml:space="preserve">the specifics of various </w:t>
      </w:r>
      <w:r w:rsidR="00E32606">
        <w:rPr>
          <w:iCs/>
        </w:rPr>
        <w:t xml:space="preserve">past, current, and future </w:t>
      </w:r>
      <w:r w:rsidRPr="005F7A5C" w:rsidR="00C960A2">
        <w:rPr>
          <w:iCs/>
        </w:rPr>
        <w:t>connected data efforts</w:t>
      </w:r>
      <w:r w:rsidR="00C872D2">
        <w:rPr>
          <w:iCs/>
        </w:rPr>
        <w:t xml:space="preserve"> (Instrument 2)</w:t>
      </w:r>
      <w:r w:rsidRPr="005F7A5C" w:rsidR="00C960A2">
        <w:rPr>
          <w:iCs/>
        </w:rPr>
        <w:t xml:space="preserve">. Finally, we will conduct a series of interviews with </w:t>
      </w:r>
      <w:r w:rsidR="008C173B">
        <w:rPr>
          <w:iCs/>
        </w:rPr>
        <w:t xml:space="preserve">staff </w:t>
      </w:r>
      <w:r w:rsidRPr="005F7A5C" w:rsidR="00C960A2">
        <w:rPr>
          <w:iCs/>
        </w:rPr>
        <w:t xml:space="preserve">involved in state and county connected data efforts to </w:t>
      </w:r>
      <w:r w:rsidR="00E32606">
        <w:rPr>
          <w:iCs/>
        </w:rPr>
        <w:t>contextualize information collected as part of the surveys</w:t>
      </w:r>
      <w:r w:rsidR="009B14F9">
        <w:rPr>
          <w:iCs/>
        </w:rPr>
        <w:t xml:space="preserve"> </w:t>
      </w:r>
      <w:r w:rsidR="00C872D2">
        <w:rPr>
          <w:iCs/>
        </w:rPr>
        <w:t>(Instrument 3)</w:t>
      </w:r>
      <w:r w:rsidRPr="005F7A5C" w:rsidR="00C960A2">
        <w:rPr>
          <w:iCs/>
        </w:rPr>
        <w:t>.</w:t>
      </w:r>
      <w:r w:rsidR="00287BCF">
        <w:rPr>
          <w:iCs/>
        </w:rPr>
        <w:t xml:space="preserve"> </w:t>
      </w:r>
    </w:p>
    <w:p w:rsidR="003E7D59" w:rsidP="00682071" w:rsidRDefault="78DB3CFF" w14:paraId="30C70E92" w14:textId="704666C7">
      <w:pPr>
        <w:spacing w:after="120"/>
      </w:pPr>
      <w:bookmarkStart w:name="_Hlk90990066" w:id="2"/>
      <w:r>
        <w:t xml:space="preserve">The </w:t>
      </w:r>
      <w:r w:rsidR="00E32606">
        <w:t xml:space="preserve">survey </w:t>
      </w:r>
      <w:r>
        <w:t>data will be analyzed and tabulated at the state level. It will be presented as maps, tables, or figures, with responses as counts or percentages.</w:t>
      </w:r>
      <w:r w:rsidR="0053319F">
        <w:t xml:space="preserve"> F</w:t>
      </w:r>
      <w:r w:rsidR="000F1D2F">
        <w:t xml:space="preserve">indings will be presented </w:t>
      </w:r>
      <w:r w:rsidR="0053319F">
        <w:t>overall and for</w:t>
      </w:r>
      <w:r w:rsidR="000F1D2F">
        <w:t xml:space="preserve"> group</w:t>
      </w:r>
      <w:r w:rsidR="0053319F">
        <w:t>s of</w:t>
      </w:r>
      <w:r w:rsidR="000F1D2F">
        <w:t xml:space="preserve"> states according to </w:t>
      </w:r>
      <w:r w:rsidR="00B702E0">
        <w:t>whether their child welfare services are administered by the state, its counties, or both (a hybrid model)</w:t>
      </w:r>
      <w:r w:rsidR="000F1D2F">
        <w:t>.</w:t>
      </w:r>
      <w:r w:rsidR="0088286C">
        <w:t xml:space="preserve"> </w:t>
      </w:r>
      <w:r w:rsidR="006802F3">
        <w:t xml:space="preserve">States </w:t>
      </w:r>
      <w:r w:rsidR="00426CBC">
        <w:t>may be identified in the</w:t>
      </w:r>
      <w:r w:rsidR="006802F3">
        <w:t xml:space="preserve"> findings</w:t>
      </w:r>
      <w:r w:rsidR="002C2ABF">
        <w:t xml:space="preserve"> based on survey data</w:t>
      </w:r>
      <w:r w:rsidR="006802F3">
        <w:t>.</w:t>
      </w:r>
      <w:r>
        <w:t xml:space="preserve"> </w:t>
      </w:r>
      <w:bookmarkStart w:name="_Hlk90990084" w:id="3"/>
      <w:r w:rsidR="47227C26">
        <w:t xml:space="preserve">The interview data will provide context to </w:t>
      </w:r>
      <w:r w:rsidR="00A56E50">
        <w:t>key findings</w:t>
      </w:r>
      <w:r w:rsidR="47227C26">
        <w:t xml:space="preserve"> through themes, examples, and </w:t>
      </w:r>
      <w:r w:rsidR="71DD3634">
        <w:t>description</w:t>
      </w:r>
      <w:r w:rsidR="00426CBC">
        <w:t xml:space="preserve">. Any </w:t>
      </w:r>
      <w:r w:rsidR="002C2ABF">
        <w:t xml:space="preserve">quotations </w:t>
      </w:r>
      <w:r w:rsidR="00426CBC">
        <w:t xml:space="preserve">from the interviews </w:t>
      </w:r>
      <w:r w:rsidR="002C2ABF">
        <w:t>will not be attributed to specific states</w:t>
      </w:r>
      <w:r w:rsidR="71DD3634">
        <w:t>.</w:t>
      </w:r>
    </w:p>
    <w:bookmarkEnd w:id="2"/>
    <w:bookmarkEnd w:id="3"/>
    <w:p w:rsidR="000909D6" w:rsidP="00682071" w:rsidRDefault="000909D6" w14:paraId="7D72BB23" w14:textId="23629B31">
      <w:pPr>
        <w:spacing w:after="120"/>
        <w:rPr>
          <w:iCs/>
        </w:rPr>
      </w:pPr>
      <w:r>
        <w:rPr>
          <w:iCs/>
        </w:rPr>
        <w:t xml:space="preserve">Table 1 provides an overview of the proposed instruments. </w:t>
      </w:r>
    </w:p>
    <w:p w:rsidRPr="000909D6" w:rsidR="00EE16CE" w:rsidP="001D1C73" w:rsidRDefault="00B7086F" w14:paraId="05C6D9F9" w14:textId="06C48E4F">
      <w:pPr>
        <w:spacing w:after="0" w:line="240" w:lineRule="auto"/>
        <w:rPr>
          <w:b/>
          <w:bCs/>
          <w:iCs/>
        </w:rPr>
      </w:pPr>
      <w:r w:rsidRPr="000909D6">
        <w:rPr>
          <w:b/>
          <w:bCs/>
          <w:iCs/>
        </w:rPr>
        <w:lastRenderedPageBreak/>
        <w:t>Table 1. Information collections</w:t>
      </w:r>
    </w:p>
    <w:tbl>
      <w:tblPr>
        <w:tblStyle w:val="TableGrid"/>
        <w:tblW w:w="10255" w:type="dxa"/>
        <w:tblInd w:w="0" w:type="dxa"/>
        <w:tblLook w:val="04A0" w:firstRow="1" w:lastRow="0" w:firstColumn="1" w:lastColumn="0" w:noHBand="0" w:noVBand="1"/>
      </w:tblPr>
      <w:tblGrid>
        <w:gridCol w:w="1860"/>
        <w:gridCol w:w="1645"/>
        <w:gridCol w:w="4950"/>
        <w:gridCol w:w="1800"/>
      </w:tblGrid>
      <w:tr w:rsidRPr="009139B3" w:rsidR="00BC64A5" w:rsidTr="437BE98E" w14:paraId="7A08A530" w14:textId="77777777">
        <w:tc>
          <w:tcPr>
            <w:tcW w:w="1860" w:type="dxa"/>
            <w:shd w:val="clear" w:color="auto" w:fill="D9D9D9" w:themeFill="background1" w:themeFillShade="D9"/>
          </w:tcPr>
          <w:p w:rsidRPr="009139B3" w:rsidR="00BC64A5" w:rsidP="00B24F83" w:rsidRDefault="00BC64A5" w14:paraId="142698B1" w14:textId="45B07881">
            <w:pPr>
              <w:rPr>
                <w:rFonts w:asciiTheme="minorHAnsi" w:hAnsiTheme="minorHAnsi" w:cstheme="minorHAnsi"/>
                <w:i/>
              </w:rPr>
            </w:pPr>
            <w:r w:rsidRPr="009139B3">
              <w:rPr>
                <w:rFonts w:asciiTheme="minorHAnsi" w:hAnsiTheme="minorHAnsi" w:cstheme="minorHAnsi"/>
                <w:i/>
              </w:rPr>
              <w:t>Data Collection Activity</w:t>
            </w:r>
            <w:r>
              <w:rPr>
                <w:rFonts w:asciiTheme="minorHAnsi" w:hAnsiTheme="minorHAnsi" w:cstheme="minorHAnsi"/>
                <w:i/>
              </w:rPr>
              <w:t>/Instrument</w:t>
            </w:r>
          </w:p>
        </w:tc>
        <w:tc>
          <w:tcPr>
            <w:tcW w:w="1645" w:type="dxa"/>
            <w:shd w:val="clear" w:color="auto" w:fill="D9D9D9" w:themeFill="background1" w:themeFillShade="D9"/>
          </w:tcPr>
          <w:p w:rsidRPr="00BC64A5" w:rsidR="00BC64A5" w:rsidP="00B24F83" w:rsidRDefault="00BC64A5" w14:paraId="64ED1DFF" w14:textId="1E79A8C1">
            <w:pPr>
              <w:rPr>
                <w:rFonts w:asciiTheme="minorHAnsi" w:hAnsiTheme="minorHAnsi" w:cstheme="minorHAnsi"/>
                <w:i/>
              </w:rPr>
            </w:pPr>
            <w:r w:rsidRPr="00BC64A5">
              <w:rPr>
                <w:rFonts w:asciiTheme="minorHAnsi" w:hAnsiTheme="minorHAnsi" w:cstheme="minorHAnsi"/>
                <w:i/>
              </w:rPr>
              <w:t>Respondents</w:t>
            </w:r>
          </w:p>
        </w:tc>
        <w:tc>
          <w:tcPr>
            <w:tcW w:w="4950" w:type="dxa"/>
            <w:shd w:val="clear" w:color="auto" w:fill="D9D9D9" w:themeFill="background1" w:themeFillShade="D9"/>
          </w:tcPr>
          <w:p w:rsidRPr="009139B3" w:rsidR="00BC64A5" w:rsidP="00B24F83" w:rsidRDefault="004327AA" w14:paraId="02FE35A0" w14:textId="720904CC">
            <w:pPr>
              <w:rPr>
                <w:rFonts w:asciiTheme="minorHAnsi" w:hAnsiTheme="minorHAnsi" w:cstheme="minorHAnsi"/>
                <w:i/>
              </w:rPr>
            </w:pPr>
            <w:r>
              <w:rPr>
                <w:rFonts w:asciiTheme="minorHAnsi" w:hAnsiTheme="minorHAnsi" w:cstheme="minorHAnsi"/>
                <w:i/>
              </w:rPr>
              <w:t xml:space="preserve">Guiding Questions </w:t>
            </w:r>
            <w:r w:rsidR="00BC64A5">
              <w:rPr>
                <w:rFonts w:asciiTheme="minorHAnsi" w:hAnsiTheme="minorHAnsi" w:cstheme="minorHAnsi"/>
                <w:i/>
              </w:rPr>
              <w:t>and</w:t>
            </w:r>
            <w:r w:rsidRPr="009139B3" w:rsidR="00BC64A5">
              <w:rPr>
                <w:rFonts w:asciiTheme="minorHAnsi" w:hAnsiTheme="minorHAnsi" w:cstheme="minorHAnsi"/>
                <w:i/>
              </w:rPr>
              <w:t xml:space="preserve"> Purpose of Collection</w:t>
            </w:r>
          </w:p>
        </w:tc>
        <w:tc>
          <w:tcPr>
            <w:tcW w:w="1800" w:type="dxa"/>
            <w:shd w:val="clear" w:color="auto" w:fill="D9D9D9" w:themeFill="background1" w:themeFillShade="D9"/>
          </w:tcPr>
          <w:p w:rsidRPr="009139B3" w:rsidR="00BC64A5" w:rsidP="00B24F83" w:rsidRDefault="00BC64A5" w14:paraId="6D5BE90E"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BC64A5" w:rsidTr="437BE98E" w14:paraId="501EEB21" w14:textId="77777777">
        <w:tc>
          <w:tcPr>
            <w:tcW w:w="1860" w:type="dxa"/>
          </w:tcPr>
          <w:p w:rsidRPr="009139B3" w:rsidR="00BC64A5" w:rsidP="00B24F83" w:rsidRDefault="005A3BF2" w14:paraId="38B610F5" w14:textId="14C5ED9E">
            <w:pPr>
              <w:rPr>
                <w:rFonts w:asciiTheme="minorHAnsi" w:hAnsiTheme="minorHAnsi" w:cstheme="minorHAnsi"/>
              </w:rPr>
            </w:pPr>
            <w:r>
              <w:rPr>
                <w:rFonts w:asciiTheme="minorHAnsi" w:hAnsiTheme="minorHAnsi" w:cstheme="minorHAnsi"/>
              </w:rPr>
              <w:t xml:space="preserve">Instrument 1: </w:t>
            </w:r>
            <w:r w:rsidR="00BC64A5">
              <w:rPr>
                <w:rFonts w:asciiTheme="minorHAnsi" w:hAnsiTheme="minorHAnsi" w:cstheme="minorHAnsi"/>
              </w:rPr>
              <w:t xml:space="preserve">Initial </w:t>
            </w:r>
            <w:r w:rsidR="00B7086F">
              <w:rPr>
                <w:rFonts w:asciiTheme="minorHAnsi" w:hAnsiTheme="minorHAnsi" w:cstheme="minorHAnsi"/>
              </w:rPr>
              <w:t>Survey</w:t>
            </w:r>
          </w:p>
        </w:tc>
        <w:tc>
          <w:tcPr>
            <w:tcW w:w="1645" w:type="dxa"/>
          </w:tcPr>
          <w:p w:rsidRPr="00BC64A5" w:rsidR="00BC64A5" w:rsidP="00B24F83" w:rsidRDefault="00BC64A5" w14:paraId="0446E4F7" w14:textId="2DF7BF7C">
            <w:pPr>
              <w:rPr>
                <w:rFonts w:asciiTheme="minorHAnsi" w:hAnsiTheme="minorHAnsi" w:cstheme="minorHAnsi"/>
                <w:b/>
              </w:rPr>
            </w:pPr>
            <w:r>
              <w:rPr>
                <w:rFonts w:asciiTheme="minorHAnsi" w:hAnsiTheme="minorHAnsi" w:cstheme="minorHAnsi"/>
              </w:rPr>
              <w:t>State child welfare directors</w:t>
            </w:r>
            <w:r w:rsidR="00E32606">
              <w:rPr>
                <w:rFonts w:asciiTheme="minorHAnsi" w:hAnsiTheme="minorHAnsi" w:cstheme="minorHAnsi"/>
              </w:rPr>
              <w:t xml:space="preserve"> or their designee</w:t>
            </w:r>
          </w:p>
        </w:tc>
        <w:tc>
          <w:tcPr>
            <w:tcW w:w="4950" w:type="dxa"/>
          </w:tcPr>
          <w:p w:rsidRPr="009139B3" w:rsidR="00BC64A5" w:rsidP="00682071" w:rsidRDefault="004327AA" w14:paraId="227C57B6" w14:textId="38E27E2C">
            <w:pPr>
              <w:spacing w:after="120"/>
              <w:rPr>
                <w:rFonts w:asciiTheme="minorHAnsi" w:hAnsiTheme="minorHAnsi" w:cstheme="minorHAnsi"/>
              </w:rPr>
            </w:pPr>
            <w:r>
              <w:rPr>
                <w:rFonts w:asciiTheme="minorHAnsi" w:hAnsiTheme="minorHAnsi" w:cstheme="minorHAnsi"/>
                <w:b/>
              </w:rPr>
              <w:t>Guiding Questions</w:t>
            </w:r>
            <w:r w:rsidRPr="009139B3" w:rsidR="00BC64A5">
              <w:rPr>
                <w:rFonts w:asciiTheme="minorHAnsi" w:hAnsiTheme="minorHAnsi" w:cstheme="minorHAnsi"/>
              </w:rPr>
              <w:t xml:space="preserve">: </w:t>
            </w:r>
            <w:r w:rsidR="00BC64A5">
              <w:rPr>
                <w:rFonts w:asciiTheme="minorHAnsi" w:hAnsiTheme="minorHAnsi" w:cstheme="minorHAnsi"/>
              </w:rPr>
              <w:t xml:space="preserve">Which states share child </w:t>
            </w:r>
            <w:r w:rsidR="00C06F6A">
              <w:rPr>
                <w:rFonts w:asciiTheme="minorHAnsi" w:hAnsiTheme="minorHAnsi" w:cstheme="minorHAnsi"/>
              </w:rPr>
              <w:t xml:space="preserve">maltreatment </w:t>
            </w:r>
            <w:r w:rsidR="00BC64A5">
              <w:rPr>
                <w:rFonts w:asciiTheme="minorHAnsi" w:hAnsiTheme="minorHAnsi" w:cstheme="minorHAnsi"/>
              </w:rPr>
              <w:t xml:space="preserve">data, and with whom? Which states’ child </w:t>
            </w:r>
            <w:r w:rsidR="00C06F6A">
              <w:rPr>
                <w:rFonts w:asciiTheme="minorHAnsi" w:hAnsiTheme="minorHAnsi" w:cstheme="minorHAnsi"/>
              </w:rPr>
              <w:t xml:space="preserve">maltreatment </w:t>
            </w:r>
            <w:r w:rsidR="00BC64A5">
              <w:rPr>
                <w:rFonts w:asciiTheme="minorHAnsi" w:hAnsiTheme="minorHAnsi" w:cstheme="minorHAnsi"/>
              </w:rPr>
              <w:t xml:space="preserve">data are linked to other data sets for policy, practice, and research purposes? How prepared are states to measure child maltreatment incidence using a data set that includes child </w:t>
            </w:r>
            <w:r w:rsidR="00C06F6A">
              <w:rPr>
                <w:rFonts w:asciiTheme="minorHAnsi" w:hAnsiTheme="minorHAnsi" w:cstheme="minorHAnsi"/>
              </w:rPr>
              <w:t xml:space="preserve">maltreatment </w:t>
            </w:r>
            <w:r w:rsidR="00BC64A5">
              <w:rPr>
                <w:rFonts w:asciiTheme="minorHAnsi" w:hAnsiTheme="minorHAnsi" w:cstheme="minorHAnsi"/>
              </w:rPr>
              <w:t>data and other data? Are the statuses of states’ data sharing and linking related to their organizational structure and data systems?</w:t>
            </w:r>
          </w:p>
          <w:p w:rsidRPr="009139B3" w:rsidR="00BC64A5" w:rsidP="00BE2635" w:rsidRDefault="00BC64A5" w14:paraId="323AC8B8" w14:textId="359B79CF">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w:t>
            </w:r>
            <w:r w:rsidR="00BE2635">
              <w:rPr>
                <w:rFonts w:asciiTheme="minorHAnsi" w:hAnsiTheme="minorHAnsi" w:cstheme="minorHAnsi"/>
              </w:rPr>
              <w:t>This survey will g</w:t>
            </w:r>
            <w:r w:rsidRPr="00662B05">
              <w:rPr>
                <w:rFonts w:asciiTheme="minorHAnsi" w:hAnsiTheme="minorHAnsi" w:cstheme="minorHAnsi"/>
              </w:rPr>
              <w:t xml:space="preserve">ather broad information about the state’s child </w:t>
            </w:r>
            <w:r w:rsidR="00C06F6A">
              <w:rPr>
                <w:rFonts w:asciiTheme="minorHAnsi" w:hAnsiTheme="minorHAnsi" w:cstheme="minorHAnsi"/>
              </w:rPr>
              <w:t xml:space="preserve">maltreatment </w:t>
            </w:r>
            <w:r w:rsidRPr="00662B05">
              <w:rPr>
                <w:rFonts w:asciiTheme="minorHAnsi" w:hAnsiTheme="minorHAnsi" w:cstheme="minorHAnsi"/>
              </w:rPr>
              <w:t xml:space="preserve">data systems and whether the state has connected data. </w:t>
            </w:r>
            <w:r>
              <w:rPr>
                <w:rFonts w:asciiTheme="minorHAnsi" w:hAnsiTheme="minorHAnsi" w:cstheme="minorHAnsi"/>
              </w:rPr>
              <w:t>This</w:t>
            </w:r>
            <w:r w:rsidRPr="00662B05">
              <w:rPr>
                <w:rFonts w:asciiTheme="minorHAnsi" w:hAnsiTheme="minorHAnsi" w:cstheme="minorHAnsi"/>
              </w:rPr>
              <w:t xml:space="preserve"> will set the foundation for future</w:t>
            </w:r>
            <w:r w:rsidR="00BE2635">
              <w:rPr>
                <w:rFonts w:asciiTheme="minorHAnsi" w:hAnsiTheme="minorHAnsi" w:cstheme="minorHAnsi"/>
              </w:rPr>
              <w:t xml:space="preserve"> </w:t>
            </w:r>
            <w:r w:rsidRPr="00662B05">
              <w:rPr>
                <w:rFonts w:asciiTheme="minorHAnsi" w:hAnsiTheme="minorHAnsi" w:cstheme="minorHAnsi"/>
              </w:rPr>
              <w:t xml:space="preserve">data collection activities, including identifying the best </w:t>
            </w:r>
            <w:r w:rsidR="00BE2635">
              <w:rPr>
                <w:rFonts w:asciiTheme="minorHAnsi" w:hAnsiTheme="minorHAnsi" w:cstheme="minorHAnsi"/>
              </w:rPr>
              <w:t xml:space="preserve">semi-structured interview </w:t>
            </w:r>
            <w:r w:rsidRPr="00662B05">
              <w:rPr>
                <w:rFonts w:asciiTheme="minorHAnsi" w:hAnsiTheme="minorHAnsi" w:cstheme="minorHAnsi"/>
              </w:rPr>
              <w:t>respondents for that state</w:t>
            </w:r>
            <w:r w:rsidR="00BE2635">
              <w:rPr>
                <w:rFonts w:asciiTheme="minorHAnsi" w:hAnsiTheme="minorHAnsi" w:cstheme="minorHAnsi"/>
              </w:rPr>
              <w:t>.</w:t>
            </w:r>
          </w:p>
        </w:tc>
        <w:tc>
          <w:tcPr>
            <w:tcW w:w="1800" w:type="dxa"/>
          </w:tcPr>
          <w:p w:rsidRPr="009139B3" w:rsidR="00BC64A5" w:rsidP="00B24F83" w:rsidRDefault="00BC64A5" w14:paraId="1432F72A" w14:textId="259F9B93">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BE2635">
              <w:rPr>
                <w:rFonts w:asciiTheme="minorHAnsi" w:hAnsiTheme="minorHAnsi" w:cstheme="minorHAnsi"/>
              </w:rPr>
              <w:t>W</w:t>
            </w:r>
            <w:r>
              <w:rPr>
                <w:rFonts w:asciiTheme="minorHAnsi" w:hAnsiTheme="minorHAnsi" w:cstheme="minorHAnsi"/>
              </w:rPr>
              <w:t xml:space="preserve">eb </w:t>
            </w:r>
          </w:p>
          <w:p w:rsidRPr="009139B3" w:rsidR="00BC64A5" w:rsidP="00B24F83" w:rsidRDefault="00BC64A5" w14:paraId="0240C234" w14:textId="77777777">
            <w:pPr>
              <w:rPr>
                <w:rFonts w:asciiTheme="minorHAnsi" w:hAnsiTheme="minorHAnsi" w:cstheme="minorHAnsi"/>
              </w:rPr>
            </w:pPr>
          </w:p>
          <w:p w:rsidRPr="009139B3" w:rsidR="00BC64A5" w:rsidP="00B24F83" w:rsidRDefault="00BC64A5" w14:paraId="0967045C" w14:textId="18E85BA1">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w:t>
            </w:r>
            <w:r w:rsidR="00BD2950">
              <w:rPr>
                <w:rFonts w:asciiTheme="minorHAnsi" w:hAnsiTheme="minorHAnsi" w:cstheme="minorHAnsi"/>
              </w:rPr>
              <w:t>0.</w:t>
            </w:r>
            <w:r w:rsidR="00406715">
              <w:rPr>
                <w:rFonts w:asciiTheme="minorHAnsi" w:hAnsiTheme="minorHAnsi" w:cstheme="minorHAnsi"/>
              </w:rPr>
              <w:t>67</w:t>
            </w:r>
            <w:r w:rsidR="009F4405">
              <w:rPr>
                <w:rFonts w:asciiTheme="minorHAnsi" w:hAnsiTheme="minorHAnsi" w:cstheme="minorHAnsi"/>
              </w:rPr>
              <w:t xml:space="preserve"> hours</w:t>
            </w:r>
          </w:p>
        </w:tc>
      </w:tr>
      <w:tr w:rsidRPr="009139B3" w:rsidR="00BC64A5" w:rsidTr="437BE98E" w14:paraId="148EF023" w14:textId="77777777">
        <w:tc>
          <w:tcPr>
            <w:tcW w:w="1860" w:type="dxa"/>
          </w:tcPr>
          <w:p w:rsidRPr="009139B3" w:rsidR="00BC64A5" w:rsidP="00B24F83" w:rsidRDefault="005A3BF2" w14:paraId="4D2F3A2E" w14:textId="7AB92CE8">
            <w:pPr>
              <w:rPr>
                <w:rFonts w:asciiTheme="minorHAnsi" w:hAnsiTheme="minorHAnsi" w:cstheme="minorHAnsi"/>
              </w:rPr>
            </w:pPr>
            <w:r>
              <w:rPr>
                <w:rFonts w:asciiTheme="minorHAnsi" w:hAnsiTheme="minorHAnsi" w:cstheme="minorHAnsi"/>
              </w:rPr>
              <w:t xml:space="preserve">Instrument 2: </w:t>
            </w:r>
            <w:r w:rsidR="00B7086F">
              <w:rPr>
                <w:rFonts w:asciiTheme="minorHAnsi" w:hAnsiTheme="minorHAnsi" w:cstheme="minorHAnsi"/>
              </w:rPr>
              <w:t>Connected Data Survey</w:t>
            </w:r>
          </w:p>
        </w:tc>
        <w:tc>
          <w:tcPr>
            <w:tcW w:w="1645" w:type="dxa"/>
          </w:tcPr>
          <w:p w:rsidRPr="00BC64A5" w:rsidR="00BC64A5" w:rsidP="00B24F83" w:rsidRDefault="00123576" w14:paraId="2BBE3CC1" w14:textId="289CD4CA">
            <w:pPr>
              <w:rPr>
                <w:rFonts w:asciiTheme="minorHAnsi" w:hAnsiTheme="minorHAnsi" w:cstheme="minorHAnsi"/>
                <w:b/>
              </w:rPr>
            </w:pPr>
            <w:r>
              <w:rPr>
                <w:rFonts w:asciiTheme="minorHAnsi" w:hAnsiTheme="minorHAnsi" w:cstheme="minorHAnsi"/>
              </w:rPr>
              <w:t>S</w:t>
            </w:r>
            <w:r w:rsidR="00BC64A5">
              <w:rPr>
                <w:rFonts w:asciiTheme="minorHAnsi" w:hAnsiTheme="minorHAnsi" w:cstheme="minorHAnsi"/>
              </w:rPr>
              <w:t>taff in states with integrated data and</w:t>
            </w:r>
            <w:r w:rsidR="00292868">
              <w:rPr>
                <w:rFonts w:asciiTheme="minorHAnsi" w:hAnsiTheme="minorHAnsi" w:cstheme="minorHAnsi"/>
              </w:rPr>
              <w:t xml:space="preserve">/or </w:t>
            </w:r>
            <w:r w:rsidR="00BC64A5">
              <w:rPr>
                <w:rFonts w:asciiTheme="minorHAnsi" w:hAnsiTheme="minorHAnsi" w:cstheme="minorHAnsi"/>
              </w:rPr>
              <w:t xml:space="preserve"> data sharing agreement(s) with a </w:t>
            </w:r>
            <w:r w:rsidR="00C06F6A">
              <w:rPr>
                <w:rFonts w:asciiTheme="minorHAnsi" w:hAnsiTheme="minorHAnsi" w:cstheme="minorHAnsi"/>
              </w:rPr>
              <w:t xml:space="preserve">connected </w:t>
            </w:r>
            <w:r w:rsidR="00BC64A5">
              <w:rPr>
                <w:rFonts w:asciiTheme="minorHAnsi" w:hAnsiTheme="minorHAnsi" w:cstheme="minorHAnsi"/>
              </w:rPr>
              <w:t>data set</w:t>
            </w:r>
          </w:p>
        </w:tc>
        <w:tc>
          <w:tcPr>
            <w:tcW w:w="4950" w:type="dxa"/>
          </w:tcPr>
          <w:p w:rsidRPr="009139B3" w:rsidR="00BC64A5" w:rsidP="00682071" w:rsidRDefault="00072990" w14:paraId="3F4D4F6C" w14:textId="1A35DA8E">
            <w:pPr>
              <w:spacing w:after="120"/>
              <w:rPr>
                <w:rFonts w:asciiTheme="minorHAnsi" w:hAnsiTheme="minorHAnsi" w:cstheme="minorHAnsi"/>
              </w:rPr>
            </w:pPr>
            <w:r>
              <w:rPr>
                <w:rFonts w:asciiTheme="minorHAnsi" w:hAnsiTheme="minorHAnsi" w:cstheme="minorHAnsi"/>
                <w:b/>
              </w:rPr>
              <w:t>Guiding Questions</w:t>
            </w:r>
            <w:r w:rsidRPr="009139B3" w:rsidR="00BC64A5">
              <w:rPr>
                <w:rFonts w:asciiTheme="minorHAnsi" w:hAnsiTheme="minorHAnsi" w:cstheme="minorHAnsi"/>
              </w:rPr>
              <w:t xml:space="preserve">: </w:t>
            </w:r>
            <w:r w:rsidR="00BC64A5">
              <w:rPr>
                <w:rFonts w:asciiTheme="minorHAnsi" w:hAnsiTheme="minorHAnsi" w:cstheme="minorHAnsi"/>
              </w:rPr>
              <w:t xml:space="preserve">What data are connected, by whom, and how? To what extent are the </w:t>
            </w:r>
            <w:r w:rsidR="00C06F6A">
              <w:rPr>
                <w:rFonts w:asciiTheme="minorHAnsi" w:hAnsiTheme="minorHAnsi" w:cstheme="minorHAnsi"/>
              </w:rPr>
              <w:t xml:space="preserve">connected </w:t>
            </w:r>
            <w:r w:rsidR="00BC64A5">
              <w:rPr>
                <w:rFonts w:asciiTheme="minorHAnsi" w:hAnsiTheme="minorHAnsi" w:cstheme="minorHAnsi"/>
              </w:rPr>
              <w:t xml:space="preserve">data used for policy, practice, or research? Does the state have data governance policies to support </w:t>
            </w:r>
            <w:r w:rsidR="00C06F6A">
              <w:rPr>
                <w:rFonts w:asciiTheme="minorHAnsi" w:hAnsiTheme="minorHAnsi" w:cstheme="minorHAnsi"/>
              </w:rPr>
              <w:t xml:space="preserve">connected </w:t>
            </w:r>
            <w:r w:rsidR="00BC64A5">
              <w:rPr>
                <w:rFonts w:asciiTheme="minorHAnsi" w:hAnsiTheme="minorHAnsi" w:cstheme="minorHAnsi"/>
              </w:rPr>
              <w:t xml:space="preserve">child </w:t>
            </w:r>
            <w:r w:rsidR="00C06F6A">
              <w:rPr>
                <w:rFonts w:asciiTheme="minorHAnsi" w:hAnsiTheme="minorHAnsi" w:cstheme="minorHAnsi"/>
              </w:rPr>
              <w:t xml:space="preserve">maltreatment </w:t>
            </w:r>
            <w:r w:rsidR="00BC64A5">
              <w:rPr>
                <w:rFonts w:asciiTheme="minorHAnsi" w:hAnsiTheme="minorHAnsi" w:cstheme="minorHAnsi"/>
              </w:rPr>
              <w:t xml:space="preserve">data? How prepared are states to measure child maltreatment incidence using a data set that includes child </w:t>
            </w:r>
            <w:r w:rsidR="00C06F6A">
              <w:rPr>
                <w:rFonts w:asciiTheme="minorHAnsi" w:hAnsiTheme="minorHAnsi" w:cstheme="minorHAnsi"/>
              </w:rPr>
              <w:t xml:space="preserve">maltreatment </w:t>
            </w:r>
            <w:r w:rsidR="00BC64A5">
              <w:rPr>
                <w:rFonts w:asciiTheme="minorHAnsi" w:hAnsiTheme="minorHAnsi" w:cstheme="minorHAnsi"/>
              </w:rPr>
              <w:t>data and other data? What are the content and coverage of connected data sets?</w:t>
            </w:r>
          </w:p>
          <w:p w:rsidRPr="009139B3" w:rsidR="00BC64A5" w:rsidP="437BE98E" w:rsidRDefault="2B3BC97A" w14:paraId="7D736580" w14:textId="7F6D5EC3">
            <w:pPr>
              <w:rPr>
                <w:rFonts w:asciiTheme="minorHAnsi" w:hAnsiTheme="minorHAnsi" w:cstheme="minorBidi"/>
              </w:rPr>
            </w:pPr>
            <w:r w:rsidRPr="437BE98E">
              <w:rPr>
                <w:rFonts w:asciiTheme="minorHAnsi" w:hAnsiTheme="minorHAnsi" w:cstheme="minorBidi"/>
                <w:b/>
                <w:bCs/>
              </w:rPr>
              <w:t>Purpose</w:t>
            </w:r>
            <w:r w:rsidRPr="437BE98E">
              <w:rPr>
                <w:rFonts w:asciiTheme="minorHAnsi" w:hAnsiTheme="minorHAnsi" w:cstheme="minorBidi"/>
              </w:rPr>
              <w:t xml:space="preserve">: </w:t>
            </w:r>
            <w:r w:rsidRPr="437BE98E" w:rsidR="7AF9BFE0">
              <w:rPr>
                <w:rFonts w:asciiTheme="minorHAnsi" w:hAnsiTheme="minorHAnsi" w:cstheme="minorBidi"/>
              </w:rPr>
              <w:t xml:space="preserve">This survey </w:t>
            </w:r>
            <w:r w:rsidRPr="437BE98E">
              <w:rPr>
                <w:rFonts w:asciiTheme="minorHAnsi" w:hAnsiTheme="minorHAnsi" w:cstheme="minorBidi"/>
              </w:rPr>
              <w:t>will ask for more</w:t>
            </w:r>
            <w:r w:rsidRPr="437BE98E" w:rsidR="7AF9BFE0">
              <w:rPr>
                <w:rFonts w:asciiTheme="minorHAnsi" w:hAnsiTheme="minorHAnsi" w:cstheme="minorBidi"/>
              </w:rPr>
              <w:t xml:space="preserve"> </w:t>
            </w:r>
            <w:r w:rsidRPr="437BE98E">
              <w:rPr>
                <w:rFonts w:asciiTheme="minorHAnsi" w:hAnsiTheme="minorHAnsi" w:cstheme="minorBidi"/>
              </w:rPr>
              <w:t xml:space="preserve">detailed information about specific </w:t>
            </w:r>
            <w:r w:rsidR="00C06F6A">
              <w:rPr>
                <w:rFonts w:asciiTheme="minorHAnsi" w:hAnsiTheme="minorHAnsi" w:cstheme="minorBidi"/>
              </w:rPr>
              <w:t>connected</w:t>
            </w:r>
            <w:r w:rsidRPr="437BE98E" w:rsidR="00C06F6A">
              <w:rPr>
                <w:rFonts w:asciiTheme="minorHAnsi" w:hAnsiTheme="minorHAnsi" w:cstheme="minorBidi"/>
              </w:rPr>
              <w:t xml:space="preserve"> </w:t>
            </w:r>
            <w:r w:rsidRPr="437BE98E">
              <w:rPr>
                <w:rFonts w:asciiTheme="minorHAnsi" w:hAnsiTheme="minorHAnsi" w:cstheme="minorBidi"/>
              </w:rPr>
              <w:t xml:space="preserve">data sets identified by the child welfare director. This will provide more nuanced and technical information about </w:t>
            </w:r>
            <w:r w:rsidR="00C06F6A">
              <w:rPr>
                <w:rFonts w:asciiTheme="minorHAnsi" w:hAnsiTheme="minorHAnsi" w:cstheme="minorBidi"/>
              </w:rPr>
              <w:t>connected</w:t>
            </w:r>
            <w:r w:rsidRPr="437BE98E" w:rsidR="00C06F6A">
              <w:rPr>
                <w:rFonts w:asciiTheme="minorHAnsi" w:hAnsiTheme="minorHAnsi" w:cstheme="minorBidi"/>
              </w:rPr>
              <w:t xml:space="preserve"> </w:t>
            </w:r>
            <w:r w:rsidRPr="437BE98E">
              <w:rPr>
                <w:rFonts w:asciiTheme="minorHAnsi" w:hAnsiTheme="minorHAnsi" w:cstheme="minorBidi"/>
              </w:rPr>
              <w:t>data than the child</w:t>
            </w:r>
            <w:r w:rsidRPr="437BE98E" w:rsidR="014EBB1A">
              <w:rPr>
                <w:rFonts w:asciiTheme="minorHAnsi" w:hAnsiTheme="minorHAnsi" w:cstheme="minorBidi"/>
              </w:rPr>
              <w:t xml:space="preserve"> </w:t>
            </w:r>
            <w:r w:rsidRPr="437BE98E">
              <w:rPr>
                <w:rFonts w:asciiTheme="minorHAnsi" w:hAnsiTheme="minorHAnsi" w:cstheme="minorBidi"/>
              </w:rPr>
              <w:t>welfare agency director might be able to provide</w:t>
            </w:r>
            <w:r w:rsidRPr="437BE98E" w:rsidR="7AF9BFE0">
              <w:rPr>
                <w:rFonts w:asciiTheme="minorHAnsi" w:hAnsiTheme="minorHAnsi" w:cstheme="minorBidi"/>
              </w:rPr>
              <w:t>.</w:t>
            </w:r>
          </w:p>
        </w:tc>
        <w:tc>
          <w:tcPr>
            <w:tcW w:w="1800" w:type="dxa"/>
          </w:tcPr>
          <w:p w:rsidRPr="009139B3" w:rsidR="00BC64A5" w:rsidP="00B24F83" w:rsidRDefault="00BC64A5" w14:paraId="4F09D85C" w14:textId="77202333">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BE2635">
              <w:rPr>
                <w:rFonts w:asciiTheme="minorHAnsi" w:hAnsiTheme="minorHAnsi" w:cstheme="minorHAnsi"/>
              </w:rPr>
              <w:t>W</w:t>
            </w:r>
            <w:r>
              <w:rPr>
                <w:rFonts w:asciiTheme="minorHAnsi" w:hAnsiTheme="minorHAnsi" w:cstheme="minorHAnsi"/>
              </w:rPr>
              <w:t xml:space="preserve">eb </w:t>
            </w:r>
          </w:p>
          <w:p w:rsidRPr="009139B3" w:rsidR="00BC64A5" w:rsidP="00B24F83" w:rsidRDefault="00BC64A5" w14:paraId="47BE1AD0" w14:textId="77777777">
            <w:pPr>
              <w:rPr>
                <w:rFonts w:asciiTheme="minorHAnsi" w:hAnsiTheme="minorHAnsi" w:cstheme="minorHAnsi"/>
              </w:rPr>
            </w:pPr>
          </w:p>
          <w:p w:rsidRPr="009139B3" w:rsidR="00BC64A5" w:rsidP="00B24F83" w:rsidRDefault="00BC64A5" w14:paraId="63176BC9" w14:textId="250FE524">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w:t>
            </w:r>
            <w:r w:rsidR="00BD2950">
              <w:rPr>
                <w:rFonts w:asciiTheme="minorHAnsi" w:hAnsiTheme="minorHAnsi" w:cstheme="minorHAnsi"/>
              </w:rPr>
              <w:t>0.</w:t>
            </w:r>
            <w:r w:rsidR="00406715">
              <w:rPr>
                <w:rFonts w:asciiTheme="minorHAnsi" w:hAnsiTheme="minorHAnsi" w:cstheme="minorHAnsi"/>
              </w:rPr>
              <w:t>58</w:t>
            </w:r>
            <w:r w:rsidR="009F4405">
              <w:rPr>
                <w:rFonts w:asciiTheme="minorHAnsi" w:hAnsiTheme="minorHAnsi" w:cstheme="minorHAnsi"/>
              </w:rPr>
              <w:t xml:space="preserve"> hours</w:t>
            </w:r>
          </w:p>
        </w:tc>
      </w:tr>
      <w:tr w:rsidRPr="009139B3" w:rsidR="00BC64A5" w:rsidTr="437BE98E" w14:paraId="67F3C42B" w14:textId="77777777">
        <w:tc>
          <w:tcPr>
            <w:tcW w:w="1860" w:type="dxa"/>
          </w:tcPr>
          <w:p w:rsidRPr="00B24F83" w:rsidR="00BC64A5" w:rsidP="00B24F83" w:rsidRDefault="005A3BF2" w14:paraId="4A9F3AB1" w14:textId="4D555744">
            <w:pPr>
              <w:rPr>
                <w:rFonts w:asciiTheme="minorHAnsi" w:hAnsiTheme="minorHAnsi" w:cstheme="minorHAnsi"/>
              </w:rPr>
            </w:pPr>
            <w:r>
              <w:rPr>
                <w:rFonts w:asciiTheme="minorHAnsi" w:hAnsiTheme="minorHAnsi" w:cstheme="minorHAnsi"/>
              </w:rPr>
              <w:t xml:space="preserve">Instrument 3: </w:t>
            </w:r>
            <w:r w:rsidR="00B7086F">
              <w:rPr>
                <w:rFonts w:asciiTheme="minorHAnsi" w:hAnsiTheme="minorHAnsi" w:cstheme="minorHAnsi"/>
              </w:rPr>
              <w:t>Interview guide</w:t>
            </w:r>
          </w:p>
        </w:tc>
        <w:tc>
          <w:tcPr>
            <w:tcW w:w="1645" w:type="dxa"/>
          </w:tcPr>
          <w:p w:rsidRPr="00BC64A5" w:rsidR="00BC64A5" w:rsidP="437BE98E" w:rsidRDefault="2B3BC97A" w14:paraId="397EE3BF" w14:textId="5F95FDAE">
            <w:pPr>
              <w:rPr>
                <w:rFonts w:asciiTheme="minorHAnsi" w:hAnsiTheme="minorHAnsi" w:cstheme="minorBidi"/>
                <w:b/>
                <w:bCs/>
              </w:rPr>
            </w:pPr>
            <w:r w:rsidRPr="437BE98E">
              <w:rPr>
                <w:rFonts w:asciiTheme="minorHAnsi" w:hAnsiTheme="minorHAnsi" w:cstheme="minorBidi"/>
              </w:rPr>
              <w:t xml:space="preserve">State child welfare directors, additional state staff, </w:t>
            </w:r>
            <w:r w:rsidRPr="437BE98E" w:rsidR="3E01FCAC">
              <w:rPr>
                <w:rFonts w:asciiTheme="minorHAnsi" w:hAnsiTheme="minorHAnsi" w:cstheme="minorBidi"/>
              </w:rPr>
              <w:t xml:space="preserve"> </w:t>
            </w:r>
            <w:r w:rsidRPr="437BE98E">
              <w:rPr>
                <w:rFonts w:asciiTheme="minorHAnsi" w:hAnsiTheme="minorHAnsi" w:cstheme="minorBidi"/>
              </w:rPr>
              <w:t>county staff in</w:t>
            </w:r>
            <w:r w:rsidRPr="437BE98E" w:rsidR="3E01FCAC">
              <w:rPr>
                <w:rFonts w:asciiTheme="minorHAnsi" w:hAnsiTheme="minorHAnsi" w:cstheme="minorBidi"/>
              </w:rPr>
              <w:t xml:space="preserve"> </w:t>
            </w:r>
            <w:r w:rsidRPr="437BE98E">
              <w:rPr>
                <w:rFonts w:asciiTheme="minorHAnsi" w:hAnsiTheme="minorHAnsi" w:cstheme="minorBidi"/>
              </w:rPr>
              <w:t>states with county-administered child welfare systems</w:t>
            </w:r>
          </w:p>
        </w:tc>
        <w:tc>
          <w:tcPr>
            <w:tcW w:w="4950" w:type="dxa"/>
          </w:tcPr>
          <w:p w:rsidRPr="00B24F83" w:rsidR="00BC64A5" w:rsidP="00BE492A" w:rsidRDefault="00072990" w14:paraId="0114095E" w14:textId="65218A0D">
            <w:pPr>
              <w:spacing w:after="120"/>
              <w:rPr>
                <w:rFonts w:asciiTheme="minorHAnsi" w:hAnsiTheme="minorHAnsi" w:cstheme="minorHAnsi"/>
              </w:rPr>
            </w:pPr>
            <w:r>
              <w:rPr>
                <w:rFonts w:asciiTheme="minorHAnsi" w:hAnsiTheme="minorHAnsi" w:cstheme="minorHAnsi"/>
                <w:b/>
              </w:rPr>
              <w:t>Guiding Questions</w:t>
            </w:r>
            <w:r w:rsidRPr="00B24F83" w:rsidR="00BC64A5">
              <w:rPr>
                <w:rFonts w:asciiTheme="minorHAnsi" w:hAnsiTheme="minorHAnsi" w:cstheme="minorHAnsi"/>
              </w:rPr>
              <w:t xml:space="preserve">: </w:t>
            </w:r>
            <w:r w:rsidR="00BC64A5">
              <w:rPr>
                <w:rFonts w:asciiTheme="minorHAnsi" w:hAnsiTheme="minorHAnsi" w:cstheme="minorHAnsi"/>
              </w:rPr>
              <w:t xml:space="preserve">How will states’ planned changes or updates to their child welfare case management system in the next five years affect their capacity to connect data? What were facilitators of and barriers to establishing data sharing agreements? How are </w:t>
            </w:r>
            <w:r w:rsidR="00C06F6A">
              <w:rPr>
                <w:rFonts w:asciiTheme="minorHAnsi" w:hAnsiTheme="minorHAnsi" w:cstheme="minorHAnsi"/>
              </w:rPr>
              <w:t xml:space="preserve">connected </w:t>
            </w:r>
            <w:r w:rsidR="00BC64A5">
              <w:rPr>
                <w:rFonts w:asciiTheme="minorHAnsi" w:hAnsiTheme="minorHAnsi" w:cstheme="minorHAnsi"/>
              </w:rPr>
              <w:t xml:space="preserve">data sets managed and stored? What are </w:t>
            </w:r>
            <w:r w:rsidR="00C06F6A">
              <w:rPr>
                <w:rFonts w:asciiTheme="minorHAnsi" w:hAnsiTheme="minorHAnsi" w:cstheme="minorHAnsi"/>
              </w:rPr>
              <w:t xml:space="preserve">connected </w:t>
            </w:r>
            <w:r w:rsidR="00BC64A5">
              <w:rPr>
                <w:rFonts w:asciiTheme="minorHAnsi" w:hAnsiTheme="minorHAnsi" w:cstheme="minorHAnsi"/>
              </w:rPr>
              <w:t>data used for (practice, research, state policy analysis, performance monitoring, etc</w:t>
            </w:r>
            <w:r w:rsidR="00F5548C">
              <w:rPr>
                <w:rFonts w:asciiTheme="minorHAnsi" w:hAnsiTheme="minorHAnsi" w:cstheme="minorHAnsi"/>
              </w:rPr>
              <w:t>.</w:t>
            </w:r>
            <w:r w:rsidR="00BC64A5">
              <w:rPr>
                <w:rFonts w:asciiTheme="minorHAnsi" w:hAnsiTheme="minorHAnsi" w:cstheme="minorHAnsi"/>
              </w:rPr>
              <w:t xml:space="preserve">)? Are there challenges or barriers to using the </w:t>
            </w:r>
            <w:r w:rsidR="00C06F6A">
              <w:rPr>
                <w:rFonts w:asciiTheme="minorHAnsi" w:hAnsiTheme="minorHAnsi" w:cstheme="minorHAnsi"/>
              </w:rPr>
              <w:t xml:space="preserve">connected </w:t>
            </w:r>
            <w:r w:rsidR="00BC64A5">
              <w:rPr>
                <w:rFonts w:asciiTheme="minorHAnsi" w:hAnsiTheme="minorHAnsi" w:cstheme="minorHAnsi"/>
              </w:rPr>
              <w:t>data?</w:t>
            </w:r>
          </w:p>
          <w:p w:rsidRPr="00B24F83" w:rsidR="00BC64A5" w:rsidP="00BE2635" w:rsidRDefault="00BC64A5" w14:paraId="481BA18A" w14:textId="25FCD6D9">
            <w:pPr>
              <w:rPr>
                <w:rFonts w:asciiTheme="minorHAnsi" w:hAnsiTheme="minorHAnsi" w:cstheme="minorHAnsi"/>
                <w:b/>
              </w:rPr>
            </w:pPr>
            <w:r w:rsidRPr="00B24F83">
              <w:rPr>
                <w:rFonts w:asciiTheme="minorHAnsi" w:hAnsiTheme="minorHAnsi" w:cstheme="minorHAnsi"/>
                <w:b/>
              </w:rPr>
              <w:t>Purpose</w:t>
            </w:r>
            <w:r w:rsidRPr="00B24F83">
              <w:rPr>
                <w:rFonts w:asciiTheme="minorHAnsi" w:hAnsiTheme="minorHAnsi" w:cstheme="minorHAnsi"/>
              </w:rPr>
              <w:t>:</w:t>
            </w:r>
            <w:r>
              <w:t xml:space="preserve"> </w:t>
            </w:r>
            <w:r w:rsidRPr="00BC64A5">
              <w:rPr>
                <w:rFonts w:asciiTheme="minorHAnsi" w:hAnsiTheme="minorHAnsi" w:cstheme="minorHAnsi"/>
              </w:rPr>
              <w:t>These interviews will</w:t>
            </w:r>
            <w:r w:rsidR="00BE2635">
              <w:rPr>
                <w:rFonts w:asciiTheme="minorHAnsi" w:hAnsiTheme="minorHAnsi" w:cstheme="minorHAnsi"/>
              </w:rPr>
              <w:t xml:space="preserve"> </w:t>
            </w:r>
            <w:r w:rsidRPr="00BC64A5">
              <w:rPr>
                <w:rFonts w:asciiTheme="minorHAnsi" w:hAnsiTheme="minorHAnsi" w:cstheme="minorHAnsi"/>
              </w:rPr>
              <w:t xml:space="preserve">capture </w:t>
            </w:r>
            <w:r w:rsidR="00E32606">
              <w:rPr>
                <w:rFonts w:asciiTheme="minorHAnsi" w:hAnsiTheme="minorHAnsi" w:cstheme="minorHAnsi"/>
              </w:rPr>
              <w:t>additional detail regarding</w:t>
            </w:r>
            <w:r w:rsidRPr="00BC64A5">
              <w:rPr>
                <w:rFonts w:asciiTheme="minorHAnsi" w:hAnsiTheme="minorHAnsi" w:cstheme="minorHAnsi"/>
              </w:rPr>
              <w:t xml:space="preserve"> each state’s experiences with connected data, such as</w:t>
            </w:r>
            <w:r w:rsidR="00BE2635">
              <w:rPr>
                <w:rFonts w:asciiTheme="minorHAnsi" w:hAnsiTheme="minorHAnsi" w:cstheme="minorHAnsi"/>
              </w:rPr>
              <w:t xml:space="preserve"> </w:t>
            </w:r>
            <w:r w:rsidRPr="00BC64A5">
              <w:rPr>
                <w:rFonts w:asciiTheme="minorHAnsi" w:hAnsiTheme="minorHAnsi" w:cstheme="minorHAnsi"/>
              </w:rPr>
              <w:t>facilitators of and barriers to connecting data. These interviews will provide details that</w:t>
            </w:r>
            <w:r w:rsidR="00BE2635">
              <w:rPr>
                <w:rFonts w:asciiTheme="minorHAnsi" w:hAnsiTheme="minorHAnsi" w:cstheme="minorHAnsi"/>
              </w:rPr>
              <w:t xml:space="preserve"> </w:t>
            </w:r>
            <w:r w:rsidR="00E32606">
              <w:rPr>
                <w:rFonts w:asciiTheme="minorHAnsi" w:hAnsiTheme="minorHAnsi" w:cstheme="minorHAnsi"/>
              </w:rPr>
              <w:t>will contextualize and complement information collected via the</w:t>
            </w:r>
            <w:r w:rsidRPr="00BC64A5">
              <w:rPr>
                <w:rFonts w:asciiTheme="minorHAnsi" w:hAnsiTheme="minorHAnsi" w:cstheme="minorHAnsi"/>
              </w:rPr>
              <w:t xml:space="preserve"> web-based survey</w:t>
            </w:r>
            <w:r w:rsidR="00E32606">
              <w:rPr>
                <w:rFonts w:asciiTheme="minorHAnsi" w:hAnsiTheme="minorHAnsi" w:cstheme="minorHAnsi"/>
              </w:rPr>
              <w:t>s</w:t>
            </w:r>
            <w:r w:rsidRPr="00BC64A5">
              <w:rPr>
                <w:rFonts w:asciiTheme="minorHAnsi" w:hAnsiTheme="minorHAnsi" w:cstheme="minorHAnsi"/>
              </w:rPr>
              <w:t>.</w:t>
            </w:r>
          </w:p>
        </w:tc>
        <w:tc>
          <w:tcPr>
            <w:tcW w:w="1800" w:type="dxa"/>
          </w:tcPr>
          <w:p w:rsidRPr="00B24F83" w:rsidR="00BC64A5" w:rsidP="00B24F83" w:rsidRDefault="00BC64A5" w14:paraId="671107D1" w14:textId="680D0918">
            <w:pPr>
              <w:rPr>
                <w:rFonts w:asciiTheme="minorHAnsi" w:hAnsiTheme="minorHAnsi" w:cstheme="minorHAnsi"/>
              </w:rPr>
            </w:pPr>
            <w:r w:rsidRPr="00B24F83">
              <w:rPr>
                <w:rFonts w:asciiTheme="minorHAnsi" w:hAnsiTheme="minorHAnsi" w:cstheme="minorHAnsi"/>
                <w:b/>
              </w:rPr>
              <w:t>Mode</w:t>
            </w:r>
            <w:r w:rsidRPr="00B24F83">
              <w:rPr>
                <w:rFonts w:asciiTheme="minorHAnsi" w:hAnsiTheme="minorHAnsi" w:cstheme="minorHAnsi"/>
              </w:rPr>
              <w:t xml:space="preserve">: </w:t>
            </w:r>
            <w:r w:rsidR="00BE2635">
              <w:rPr>
                <w:rFonts w:asciiTheme="minorHAnsi" w:hAnsiTheme="minorHAnsi" w:cstheme="minorHAnsi"/>
              </w:rPr>
              <w:t>S</w:t>
            </w:r>
            <w:r>
              <w:rPr>
                <w:rFonts w:asciiTheme="minorHAnsi" w:hAnsiTheme="minorHAnsi" w:cstheme="minorHAnsi"/>
              </w:rPr>
              <w:t>emi-structured interviews</w:t>
            </w:r>
            <w:r w:rsidR="009F4405">
              <w:rPr>
                <w:rFonts w:asciiTheme="minorHAnsi" w:hAnsiTheme="minorHAnsi" w:cstheme="minorHAnsi"/>
              </w:rPr>
              <w:t xml:space="preserve"> (virtual)</w:t>
            </w:r>
          </w:p>
          <w:p w:rsidRPr="00B24F83" w:rsidR="00BC64A5" w:rsidP="00B24F83" w:rsidRDefault="00BC64A5" w14:paraId="1365D138" w14:textId="77777777">
            <w:pPr>
              <w:rPr>
                <w:rFonts w:asciiTheme="minorHAnsi" w:hAnsiTheme="minorHAnsi" w:cstheme="minorHAnsi"/>
              </w:rPr>
            </w:pPr>
          </w:p>
          <w:p w:rsidRPr="00B24F83" w:rsidR="00BC64A5" w:rsidP="00B24F83" w:rsidRDefault="00BC64A5" w14:paraId="44180139" w14:textId="0D250E21">
            <w:pPr>
              <w:rPr>
                <w:rFonts w:asciiTheme="minorHAnsi" w:hAnsiTheme="minorHAnsi" w:cstheme="minorHAnsi"/>
                <w:b/>
              </w:rPr>
            </w:pPr>
            <w:r w:rsidRPr="00B24F83">
              <w:rPr>
                <w:rFonts w:asciiTheme="minorHAnsi" w:hAnsiTheme="minorHAnsi" w:cstheme="minorHAnsi"/>
                <w:b/>
              </w:rPr>
              <w:t>Duration</w:t>
            </w:r>
            <w:r w:rsidRPr="00B24F83">
              <w:rPr>
                <w:rFonts w:asciiTheme="minorHAnsi" w:hAnsiTheme="minorHAnsi" w:cstheme="minorHAnsi"/>
              </w:rPr>
              <w:t>:</w:t>
            </w:r>
            <w:r>
              <w:rPr>
                <w:rFonts w:asciiTheme="minorHAnsi" w:hAnsiTheme="minorHAnsi" w:cstheme="minorHAnsi"/>
              </w:rPr>
              <w:t xml:space="preserve"> </w:t>
            </w:r>
            <w:r w:rsidR="00BE2635">
              <w:rPr>
                <w:rFonts w:asciiTheme="minorHAnsi" w:hAnsiTheme="minorHAnsi" w:cstheme="minorHAnsi"/>
              </w:rPr>
              <w:t>1 hour</w:t>
            </w:r>
          </w:p>
        </w:tc>
      </w:tr>
    </w:tbl>
    <w:p w:rsidRPr="009139B3" w:rsidR="001D1C73" w:rsidP="001D1C73" w:rsidRDefault="001D1C73" w14:paraId="0DB98502" w14:textId="77777777">
      <w:pPr>
        <w:spacing w:after="0" w:line="240" w:lineRule="auto"/>
        <w:rPr>
          <w:i/>
        </w:rPr>
      </w:pPr>
    </w:p>
    <w:p w:rsidR="00BE492A" w:rsidRDefault="00BE492A" w14:paraId="05B93D9C" w14:textId="77777777">
      <w:pPr>
        <w:rPr>
          <w:i/>
        </w:rPr>
      </w:pPr>
      <w:r>
        <w:rPr>
          <w:i/>
        </w:rPr>
        <w:br w:type="page"/>
      </w:r>
    </w:p>
    <w:p w:rsidRPr="009139B3" w:rsidR="001D1C73" w:rsidP="001D1C73" w:rsidRDefault="001D1C73" w14:paraId="213059F9" w14:textId="2134E81C">
      <w:pPr>
        <w:spacing w:after="60" w:line="240" w:lineRule="auto"/>
        <w:rPr>
          <w:i/>
        </w:rPr>
      </w:pPr>
      <w:r w:rsidRPr="009139B3">
        <w:rPr>
          <w:i/>
        </w:rPr>
        <w:lastRenderedPageBreak/>
        <w:t>Other Data Sources and Uses of Information</w:t>
      </w:r>
    </w:p>
    <w:p w:rsidR="003868BC" w:rsidP="00BE492A" w:rsidRDefault="11C7AF0F" w14:paraId="217C6980" w14:textId="093C20CC">
      <w:pPr>
        <w:spacing w:after="120"/>
      </w:pPr>
      <w:r>
        <w:t xml:space="preserve">Mathematica and ACF began designing </w:t>
      </w:r>
      <w:r w:rsidR="67A2AF59">
        <w:t xml:space="preserve">the </w:t>
      </w:r>
      <w:r w:rsidRPr="00BE492A" w:rsidR="00A35C3C">
        <w:t xml:space="preserve">SCW </w:t>
      </w:r>
      <w:r w:rsidRPr="00F90588" w:rsidR="67A2AF59">
        <w:t xml:space="preserve">Descriptive Study </w:t>
      </w:r>
      <w:r>
        <w:t xml:space="preserve">as part of the </w:t>
      </w:r>
      <w:r w:rsidRPr="00BE492A" w:rsidR="003A3936">
        <w:t>Child Maltreatment Incidence </w:t>
      </w:r>
      <w:r w:rsidR="003A3936">
        <w:t>(</w:t>
      </w:r>
      <w:r>
        <w:t>CMI</w:t>
      </w:r>
      <w:r w:rsidR="003A3936">
        <w:t>)</w:t>
      </w:r>
      <w:r>
        <w:t xml:space="preserve"> Data Linkages project.</w:t>
      </w:r>
      <w:r w:rsidR="00990727">
        <w:t xml:space="preserve"> </w:t>
      </w:r>
      <w:r w:rsidR="00AB78CB">
        <w:t xml:space="preserve">The CMI Data Linkages project </w:t>
      </w:r>
      <w:r w:rsidR="00EA169A">
        <w:t xml:space="preserve">explored how innovative administrative data linkages can improve our understanding of child maltreatment incidence and related risk and protective factors. SCW Descriptive Study is a natural expansion to understand the extent to which </w:t>
      </w:r>
      <w:r w:rsidR="0090499D">
        <w:t xml:space="preserve">state agencies may </w:t>
      </w:r>
      <w:r w:rsidR="00EA169A">
        <w:t>use c</w:t>
      </w:r>
      <w:r w:rsidR="001606B3">
        <w:t xml:space="preserve">onnected administrative data to </w:t>
      </w:r>
      <w:r w:rsidR="00EA169A">
        <w:t>estimate</w:t>
      </w:r>
      <w:r w:rsidR="001606B3">
        <w:t xml:space="preserve"> the incidence of child maltreatment.</w:t>
      </w:r>
    </w:p>
    <w:p w:rsidRPr="009139B3" w:rsidR="001D1C73" w:rsidP="00BE492A" w:rsidRDefault="003868BC" w14:paraId="56F85A6E" w14:textId="62C2DFE4">
      <w:pPr>
        <w:spacing w:after="120"/>
      </w:pPr>
      <w:r>
        <w:t xml:space="preserve">The study’s analysis will include data collected by the study and </w:t>
      </w:r>
      <w:r w:rsidR="00990727">
        <w:t>publicly available information posted on ACF’s Child Welfare Information Gateway</w:t>
      </w:r>
      <w:r>
        <w:t xml:space="preserve">. </w:t>
      </w:r>
      <w:r w:rsidR="000E01ED">
        <w:t xml:space="preserve">The </w:t>
      </w:r>
      <w:r>
        <w:t xml:space="preserve">information </w:t>
      </w:r>
      <w:r w:rsidR="000E01ED">
        <w:t xml:space="preserve">collected from the Child Welfare Information Gateway </w:t>
      </w:r>
      <w:r>
        <w:t>includes</w:t>
      </w:r>
      <w:r w:rsidR="00990727">
        <w:t xml:space="preserve"> </w:t>
      </w:r>
      <w:r w:rsidR="00EE48A3">
        <w:t xml:space="preserve">contact information on child welfare directors and </w:t>
      </w:r>
      <w:r w:rsidR="00990727">
        <w:t xml:space="preserve">whether child welfare services in each state </w:t>
      </w:r>
      <w:r>
        <w:t>are</w:t>
      </w:r>
      <w:r w:rsidR="00990727">
        <w:t xml:space="preserve"> administered by the state, </w:t>
      </w:r>
      <w:r w:rsidR="00E70E37">
        <w:t xml:space="preserve">its </w:t>
      </w:r>
      <w:r w:rsidR="00990727">
        <w:t>counties, or partially by the state and its county(</w:t>
      </w:r>
      <w:proofErr w:type="spellStart"/>
      <w:r w:rsidR="00990727">
        <w:t>ies</w:t>
      </w:r>
      <w:proofErr w:type="spellEnd"/>
      <w:r w:rsidR="00990727">
        <w:t>)</w:t>
      </w:r>
      <w:r w:rsidR="00E70E37">
        <w:t xml:space="preserve"> (Child Welfare Information Gateway 2018)</w:t>
      </w:r>
      <w:r w:rsidR="00990727">
        <w:t>.</w:t>
      </w:r>
      <w:r w:rsidR="182CCBB5">
        <w:t xml:space="preserve">  </w:t>
      </w: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BE492A" w:rsidR="004408E8" w:rsidP="00BE492A" w:rsidRDefault="004408E8" w14:paraId="4B1F7D00" w14:textId="3A1194C3">
      <w:pPr>
        <w:spacing w:after="120"/>
      </w:pPr>
      <w:r w:rsidRPr="00BE492A">
        <w:t xml:space="preserve">The </w:t>
      </w:r>
      <w:r w:rsidRPr="00BE492A" w:rsidR="00072990">
        <w:t>SCW</w:t>
      </w:r>
      <w:r w:rsidRPr="00BE492A">
        <w:t xml:space="preserve"> Descriptive Study data collection plan </w:t>
      </w:r>
      <w:r w:rsidRPr="00BE492A" w:rsidR="00AC103F">
        <w:t>is sensitive to</w:t>
      </w:r>
      <w:r w:rsidRPr="00BE492A">
        <w:t xml:space="preserve"> issues of efficiency, accuracy, and respondent burden. </w:t>
      </w:r>
    </w:p>
    <w:p w:rsidRPr="00BE492A" w:rsidR="004408E8" w:rsidP="00BE492A" w:rsidRDefault="004408E8" w14:paraId="53E7F119" w14:textId="77777777">
      <w:pPr>
        <w:spacing w:after="120"/>
      </w:pPr>
      <w:r w:rsidRPr="00BE492A">
        <w:t>Web-based surveys can decrease respondent burden and improve data quality. Unlike paper instruments in which respondents must determine the question routes themselves, the web-based application will include built-in skips and route respondents to the next appropriate question based on their answers. The web-based program automatically skips them out of any questions that are not relevant to them, thus reducing the burden on respondents having to navigate through various paths. In addition, data checks can be programmed into the survey to eliminate responses that are out of range or that conflict.</w:t>
      </w:r>
    </w:p>
    <w:p w:rsidR="004408E8" w:rsidP="00BE492A" w:rsidRDefault="10ED1065" w14:paraId="63715A52" w14:textId="6FCB1447">
      <w:pPr>
        <w:spacing w:after="120"/>
      </w:pPr>
      <w:r w:rsidRPr="437BE98E">
        <w:t xml:space="preserve">Mathematica will conduct semi-structured interviews with </w:t>
      </w:r>
      <w:r w:rsidR="00E32606">
        <w:t xml:space="preserve">select </w:t>
      </w:r>
      <w:r w:rsidRPr="437BE98E">
        <w:t>state child welfare directors and state and county staff.  The information to be collected during these interviews is not conducive to the use of information technology, such as computerized interviewing.  Virtual administration via a secure web platform such as WebEx offers the best opportunity to tailor the data collection to staff with minimal burden on respondents.  These recordings, with participant approval, can assist in minimizing burden as verbatim transcripts will be made, decreasing the need for the interviewer to ask the respondent to repeat themselves to ensure the notes are accurate.</w:t>
      </w: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BE492A" w:rsidR="001D1C73" w:rsidP="00BE492A" w:rsidRDefault="005552ED" w14:paraId="7BD59622" w14:textId="399633C0">
      <w:pPr>
        <w:spacing w:after="120"/>
      </w:pPr>
      <w:r>
        <w:t xml:space="preserve">The information collection requirements for the </w:t>
      </w:r>
      <w:r w:rsidR="00072990">
        <w:t>SCW</w:t>
      </w:r>
      <w:r w:rsidRPr="00F90588">
        <w:t xml:space="preserve"> Descriptive Study </w:t>
      </w:r>
      <w:r>
        <w:t>have been carefully reviewed to avoid duplication and to maximize opportunities to use existing data</w:t>
      </w:r>
      <w:r w:rsidRPr="00FE4187">
        <w:t>.</w:t>
      </w:r>
      <w:r>
        <w:t xml:space="preserve"> </w:t>
      </w:r>
      <w:r w:rsidRPr="00BE492A" w:rsidR="005E6290">
        <w:t xml:space="preserve">Data collected for this study are not available anywhere else. To our knowledge, this is the first study </w:t>
      </w:r>
      <w:r w:rsidRPr="00BE492A" w:rsidR="00E873C9">
        <w:t>that examines connected data in the context of child welfare agencies</w:t>
      </w:r>
      <w:r w:rsidRPr="00BE492A" w:rsidR="005E6290">
        <w:t xml:space="preserve">. </w:t>
      </w:r>
    </w:p>
    <w:p w:rsidRPr="009139B3" w:rsidR="001D1C73" w:rsidP="00E873C9" w:rsidRDefault="001D1C73" w14:paraId="74793A1F" w14:textId="2E77E151">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BE492A" w:rsidRDefault="007F506C" w14:paraId="69B7A867" w14:textId="56D81923">
      <w:pPr>
        <w:spacing w:after="120"/>
      </w:pPr>
      <w:r w:rsidRPr="009139B3">
        <w:t>No small businesses will be involved with this information collection.</w:t>
      </w:r>
      <w:r w:rsidR="00E873C9">
        <w:t xml:space="preserve"> </w:t>
      </w:r>
    </w:p>
    <w:p w:rsidRPr="009139B3" w:rsidR="001D1C73" w:rsidP="00634FAF" w:rsidRDefault="001D1C73" w14:paraId="190C1007" w14:textId="794CDD4D">
      <w:pPr>
        <w:keepNext/>
        <w:keepLines/>
        <w:spacing w:after="120"/>
      </w:pPr>
      <w:r w:rsidRPr="009139B3">
        <w:rPr>
          <w:b/>
        </w:rPr>
        <w:lastRenderedPageBreak/>
        <w:t>A6</w:t>
      </w:r>
      <w:r w:rsidRPr="009139B3">
        <w:t>.</w:t>
      </w:r>
      <w:r w:rsidRPr="009139B3">
        <w:tab/>
      </w:r>
      <w:r w:rsidRPr="009139B3">
        <w:rPr>
          <w:b/>
        </w:rPr>
        <w:t>Consequences of Less Frequent Collection</w:t>
      </w:r>
      <w:r w:rsidRPr="009139B3">
        <w:t xml:space="preserve">  </w:t>
      </w:r>
    </w:p>
    <w:p w:rsidRPr="00971B15" w:rsidR="00971B15" w:rsidP="00634FAF" w:rsidRDefault="5932F3B9" w14:paraId="5FABB650" w14:textId="15653DD0">
      <w:pPr>
        <w:keepNext/>
        <w:keepLines/>
        <w:spacing w:after="120"/>
      </w:pPr>
      <w:r>
        <w:t xml:space="preserve">We </w:t>
      </w:r>
      <w:r w:rsidR="49C9B999">
        <w:t xml:space="preserve">designed </w:t>
      </w:r>
      <w:r>
        <w:t>this one-time</w:t>
      </w:r>
      <w:r w:rsidR="49C9B999">
        <w:t xml:space="preserve"> data collection </w:t>
      </w:r>
      <w:r w:rsidR="5E99D1ED">
        <w:t>to</w:t>
      </w:r>
      <w:r w:rsidR="49C9B999">
        <w:t xml:space="preserve"> ease the burden on respondents while maximizing response and information. </w:t>
      </w:r>
      <w:r w:rsidR="39A510BA">
        <w:t xml:space="preserve">The first two surveys </w:t>
      </w:r>
      <w:r w:rsidR="17158F15">
        <w:t xml:space="preserve">(Instrument 1 and Instrument 2) </w:t>
      </w:r>
      <w:r w:rsidR="39A510BA">
        <w:t>are of different groups</w:t>
      </w:r>
      <w:r w:rsidR="7F359C3E">
        <w:t>, while t</w:t>
      </w:r>
      <w:r w:rsidR="39A510BA">
        <w:t xml:space="preserve">he final interview will capture nuanced information that </w:t>
      </w:r>
      <w:r w:rsidR="002869EA">
        <w:t>will not be captured</w:t>
      </w:r>
      <w:r w:rsidR="6B30C9CD">
        <w:t xml:space="preserve"> in the survey. </w:t>
      </w:r>
      <w:r w:rsidRPr="00BE492A" w:rsidR="49A03A4C">
        <w:t xml:space="preserve">The Initial Survey (Instrument 1) will </w:t>
      </w:r>
      <w:r w:rsidRPr="00BE492A" w:rsidR="002869EA">
        <w:t xml:space="preserve">collect </w:t>
      </w:r>
      <w:r w:rsidRPr="00BE492A" w:rsidR="49A03A4C">
        <w:t xml:space="preserve">critical foundational information, including whether the state uses connected data in its child </w:t>
      </w:r>
      <w:r w:rsidRPr="00BE492A" w:rsidR="00C06F6A">
        <w:t xml:space="preserve">maltreatment </w:t>
      </w:r>
      <w:r w:rsidRPr="00BE492A" w:rsidR="49A03A4C">
        <w:t xml:space="preserve">data systems, and the respondents for the Connected Data Survey and semi-structured interviews (Instrument 2 and 3). The Connected Data Survey will </w:t>
      </w:r>
      <w:r w:rsidRPr="00BE492A" w:rsidR="002869EA">
        <w:t>collect</w:t>
      </w:r>
      <w:r w:rsidRPr="00BE492A" w:rsidR="49A03A4C">
        <w:t xml:space="preserve"> detailed, nuanced information about</w:t>
      </w:r>
      <w:r w:rsidRPr="00BE492A" w:rsidR="519B2705">
        <w:t xml:space="preserve"> integrated data and</w:t>
      </w:r>
      <w:r w:rsidRPr="00BE492A" w:rsidR="49A03A4C">
        <w:t xml:space="preserve"> specific linked data sets, which the state child welfare directors would not likely be able to provide. Finally, the semi-structured interviews with both state child welfare directors and additional state and county staff </w:t>
      </w:r>
      <w:r w:rsidRPr="00BE492A" w:rsidR="002869EA">
        <w:t>will contextualize</w:t>
      </w:r>
      <w:r w:rsidRPr="00BE492A" w:rsidR="49A03A4C">
        <w:t xml:space="preserve"> each state's experiences with connected data, which would be difficult to capture in a closed-item, web-based survey. </w:t>
      </w:r>
      <w:r w:rsidR="7F359C3E">
        <w:t xml:space="preserve">Without collecting information from multiple stakeholders involved in linking child </w:t>
      </w:r>
      <w:r w:rsidR="00C06F6A">
        <w:t xml:space="preserve">maltreatment </w:t>
      </w:r>
      <w:r w:rsidR="7F359C3E">
        <w:t>data, ACF risks missing information that would create a specific and nuanced view of how states structure data linkages and how connected data is used.</w:t>
      </w: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634FAF" w:rsidRDefault="001D1C73" w14:paraId="15C2AFB4" w14:textId="2EB9022B">
      <w:pPr>
        <w:spacing w:after="12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8A5DE4">
        <w:t xml:space="preserve">This notice was published on </w:t>
      </w:r>
      <w:r w:rsidRPr="008A5DE4" w:rsidR="00CD5261">
        <w:t>February 11</w:t>
      </w:r>
      <w:r w:rsidRPr="008A5DE4">
        <w:t xml:space="preserve">, Volume </w:t>
      </w:r>
      <w:r w:rsidRPr="008A5DE4" w:rsidR="00CD5261">
        <w:t>87</w:t>
      </w:r>
      <w:r w:rsidRPr="008A5DE4">
        <w:t xml:space="preserve">, Number </w:t>
      </w:r>
      <w:r w:rsidR="00B871E8">
        <w:t>29</w:t>
      </w:r>
      <w:r w:rsidRPr="008A5DE4">
        <w:t>, page</w:t>
      </w:r>
      <w:r w:rsidRPr="008A5DE4" w:rsidR="00CD5261">
        <w:t>s 8017–8018</w:t>
      </w:r>
      <w:r w:rsidRPr="008A5DE4">
        <w:t xml:space="preserve">, and provided a sixty-day period for public comment.  During the notice and comment period, </w:t>
      </w:r>
      <w:r w:rsidRPr="008A5DE4" w:rsidR="00CD5261">
        <w:t>1</w:t>
      </w:r>
      <w:r w:rsidRPr="008A5DE4">
        <w:t xml:space="preserve"> comment was received, which is attached.</w:t>
      </w:r>
      <w:r w:rsidRPr="009139B3">
        <w:t xml:space="preserve"> </w:t>
      </w:r>
      <w:r w:rsidR="0024268E">
        <w:t xml:space="preserve">In response to the comment, we have added </w:t>
      </w:r>
      <w:r w:rsidR="006B12B5">
        <w:t xml:space="preserve">information about pretesting and burden calculations to </w:t>
      </w:r>
      <w:r w:rsidR="006B12B5">
        <w:rPr>
          <w:rFonts w:ascii="Calibri" w:hAnsi="Calibri" w:eastAsia="Calibri" w:cs="Times New Roman"/>
        </w:rPr>
        <w:t xml:space="preserve">Supporting Statement B, section B3. </w:t>
      </w:r>
    </w:p>
    <w:p w:rsidRPr="003C0CC3" w:rsidR="001D1C73" w:rsidP="001D1C73" w:rsidRDefault="001D1C73" w14:paraId="404D40E1" w14:textId="77777777">
      <w:pPr>
        <w:pStyle w:val="Heading4"/>
        <w:spacing w:before="0"/>
        <w:rPr>
          <w:rFonts w:asciiTheme="minorHAnsi" w:hAnsiTheme="minorHAnsi" w:cstheme="minorHAnsi"/>
          <w:b w:val="0"/>
          <w:i/>
          <w:sz w:val="22"/>
          <w:szCs w:val="22"/>
        </w:rPr>
      </w:pPr>
      <w:r w:rsidRPr="003C0CC3">
        <w:rPr>
          <w:rFonts w:asciiTheme="minorHAnsi" w:hAnsiTheme="minorHAnsi" w:cstheme="minorHAnsi"/>
          <w:b w:val="0"/>
          <w:i/>
          <w:sz w:val="22"/>
          <w:szCs w:val="22"/>
        </w:rPr>
        <w:t>Consultation with Experts Outside of the Study</w:t>
      </w:r>
    </w:p>
    <w:p w:rsidR="00D12ACC" w:rsidP="00BE492A" w:rsidRDefault="00644187" w14:paraId="0DAC8469" w14:textId="439CD04D">
      <w:pPr>
        <w:spacing w:after="120"/>
      </w:pPr>
      <w:r>
        <w:t>In addition to the Mathematica team, w</w:t>
      </w:r>
      <w:r w:rsidRPr="00644187">
        <w:t xml:space="preserve">e </w:t>
      </w:r>
      <w:r>
        <w:t>solicited</w:t>
      </w:r>
      <w:r w:rsidRPr="00644187">
        <w:t xml:space="preserve"> a panel of experts to review the </w:t>
      </w:r>
      <w:r>
        <w:t xml:space="preserve">instruments </w:t>
      </w:r>
      <w:r w:rsidRPr="00644187">
        <w:t xml:space="preserve">and provide written feedback. </w:t>
      </w:r>
      <w:r>
        <w:t xml:space="preserve">The experts included </w:t>
      </w:r>
      <w:r w:rsidRPr="00644187">
        <w:t>two staff who worked on the initial CMI Data Linkages projects</w:t>
      </w:r>
      <w:r w:rsidR="00072990">
        <w:t>, Jared Parrish (</w:t>
      </w:r>
      <w:r w:rsidRPr="00072990" w:rsidR="00072990">
        <w:t>Senior Epidemiologist, Alaska Department of Health and Human Services, Alaska Birth Defects Registry/Fetal Alcohol Syndrome Surveillance Program</w:t>
      </w:r>
      <w:r w:rsidR="00072990">
        <w:t>) and Emily Putnam-Hornstein (</w:t>
      </w:r>
      <w:r w:rsidRPr="00072990" w:rsidR="00072990">
        <w:t>John A. Tate Distinguished Professor for Children in Need and the Director of Policy Practice</w:t>
      </w:r>
      <w:r w:rsidR="004A7E16">
        <w:t xml:space="preserve">, </w:t>
      </w:r>
      <w:r w:rsidRPr="00072990" w:rsidR="00072990">
        <w:t>School of Social Work</w:t>
      </w:r>
      <w:r w:rsidR="004A7E16">
        <w:t xml:space="preserve">, </w:t>
      </w:r>
      <w:r w:rsidRPr="00072990" w:rsidR="00072990">
        <w:t>University of North Carolina at Chapel Hill</w:t>
      </w:r>
      <w:r w:rsidR="004A7E16">
        <w:t>; Co-Director, Children’s Data Network)</w:t>
      </w:r>
      <w:r w:rsidRPr="00644187">
        <w:t>; CMI Data Linkages project consultant Dr. Melissa Jonson-Reid</w:t>
      </w:r>
      <w:r w:rsidR="00B25DC8">
        <w:t xml:space="preserve"> (Ralph and Muriel Pumphrey Professor of Social Work Research, </w:t>
      </w:r>
      <w:r w:rsidR="005750FE">
        <w:t>Brown School, Washington University in St. Louis)</w:t>
      </w:r>
      <w:r w:rsidRPr="00644187">
        <w:t>; and ACF staff.</w:t>
      </w:r>
    </w:p>
    <w:p w:rsidRPr="009139B3" w:rsidR="001D1C73" w:rsidP="00903685" w:rsidRDefault="001D1C73" w14:paraId="700EEC01" w14:textId="4AA256AD">
      <w:pPr>
        <w:spacing w:after="120" w:line="240" w:lineRule="auto"/>
      </w:pPr>
      <w:r w:rsidRPr="009139B3">
        <w:rPr>
          <w:b/>
        </w:rPr>
        <w:t>A9</w:t>
      </w:r>
      <w:r w:rsidRPr="009139B3">
        <w:t>.</w:t>
      </w:r>
      <w:r w:rsidRPr="009139B3">
        <w:tab/>
      </w:r>
      <w:r w:rsidRPr="009139B3">
        <w:rPr>
          <w:b/>
        </w:rPr>
        <w:t>Tokens of Appreciation</w:t>
      </w:r>
    </w:p>
    <w:p w:rsidRPr="009139B3" w:rsidR="001D1C73" w:rsidP="00BE492A" w:rsidRDefault="004D72CC" w14:paraId="0780E74A" w14:textId="1AECBA2D">
      <w:pPr>
        <w:spacing w:after="120"/>
      </w:pPr>
      <w:r>
        <w:t xml:space="preserve">We do not plan to offer </w:t>
      </w:r>
      <w:r w:rsidR="00685CF4">
        <w:t xml:space="preserve">tokens of appreciation. </w:t>
      </w:r>
    </w:p>
    <w:p w:rsidR="001D1C73" w:rsidP="00634FAF" w:rsidRDefault="001D1C73" w14:paraId="63D44C93" w14:textId="5E9A84E9">
      <w:pPr>
        <w:keepNext/>
        <w:keepLines/>
        <w:spacing w:after="120" w:line="240" w:lineRule="auto"/>
        <w:rPr>
          <w:b/>
        </w:rPr>
      </w:pPr>
      <w:r w:rsidRPr="009139B3">
        <w:rPr>
          <w:b/>
        </w:rPr>
        <w:lastRenderedPageBreak/>
        <w:t>A10</w:t>
      </w:r>
      <w:r w:rsidRPr="009139B3">
        <w:t>.</w:t>
      </w:r>
      <w:r w:rsidRPr="009139B3">
        <w:tab/>
      </w:r>
      <w:r w:rsidRPr="009139B3">
        <w:rPr>
          <w:b/>
        </w:rPr>
        <w:t>Privacy:  Procedures to protect privacy of information, while maximizing data sharing</w:t>
      </w:r>
    </w:p>
    <w:p w:rsidR="001D1C73" w:rsidP="00634FAF" w:rsidRDefault="001D1C73" w14:paraId="628A8123" w14:textId="0C6B9167">
      <w:pPr>
        <w:keepNext/>
        <w:keepLines/>
        <w:spacing w:after="60" w:line="240" w:lineRule="auto"/>
        <w:rPr>
          <w:i/>
        </w:rPr>
      </w:pPr>
      <w:r w:rsidRPr="009139B3">
        <w:rPr>
          <w:i/>
        </w:rPr>
        <w:t>Personally Identifiable Information</w:t>
      </w:r>
    </w:p>
    <w:p w:rsidR="00532888" w:rsidP="00634FAF" w:rsidRDefault="61FC9BF3" w14:paraId="018D69D1" w14:textId="5122016C">
      <w:pPr>
        <w:keepNext/>
        <w:keepLines/>
        <w:spacing w:after="120"/>
      </w:pPr>
      <w:r w:rsidRPr="437BE98E">
        <w:t>Th</w:t>
      </w:r>
      <w:r w:rsidRPr="437BE98E" w:rsidR="6F007A4E">
        <w:t xml:space="preserve">e study will collect </w:t>
      </w:r>
      <w:r w:rsidRPr="437BE98E">
        <w:t xml:space="preserve">names, email addresses, and telephone numbers </w:t>
      </w:r>
      <w:r w:rsidRPr="437BE98E" w:rsidR="3D4F0D19">
        <w:t xml:space="preserve">of child welfare agency and partner staff and </w:t>
      </w:r>
      <w:r w:rsidRPr="437BE98E" w:rsidR="740075BD">
        <w:t>consultants</w:t>
      </w:r>
      <w:r w:rsidRPr="437BE98E" w:rsidR="3D4F0D19">
        <w:t xml:space="preserve"> </w:t>
      </w:r>
      <w:r w:rsidRPr="437BE98E">
        <w:t xml:space="preserve">for the purpose of contacting </w:t>
      </w:r>
      <w:r w:rsidRPr="437BE98E" w:rsidR="3D4F0D19">
        <w:t xml:space="preserve">them to complete </w:t>
      </w:r>
      <w:r w:rsidRPr="437BE98E" w:rsidR="7C717732">
        <w:t>the relevant data collection activities.</w:t>
      </w:r>
      <w:r w:rsidRPr="437BE98E">
        <w:t xml:space="preserve"> </w:t>
      </w:r>
      <w:r w:rsidRPr="437BE98E" w:rsidR="7C717732">
        <w:t xml:space="preserve"> The study </w:t>
      </w:r>
      <w:r w:rsidRPr="437BE98E" w:rsidR="59C01102">
        <w:t xml:space="preserve">will </w:t>
      </w:r>
      <w:r w:rsidRPr="437BE98E" w:rsidR="3D4F0D19">
        <w:t xml:space="preserve">not collect sensitive </w:t>
      </w:r>
      <w:r w:rsidR="00AC103F">
        <w:t>Personally Identifiable Information (</w:t>
      </w:r>
      <w:r w:rsidRPr="437BE98E" w:rsidR="3D4F0D19">
        <w:t>PII</w:t>
      </w:r>
      <w:r w:rsidR="00AC103F">
        <w:t>)</w:t>
      </w:r>
      <w:r w:rsidRPr="437BE98E" w:rsidR="3D4F0D19">
        <w:t>.</w:t>
      </w:r>
    </w:p>
    <w:p w:rsidRPr="00532888" w:rsidR="00FC11CC" w:rsidP="00BE492A" w:rsidRDefault="61FC9BF3" w14:paraId="1EB8A964" w14:textId="3D9EEA7D">
      <w:pPr>
        <w:spacing w:after="120"/>
      </w:pPr>
      <w:r w:rsidRPr="437BE98E">
        <w:t>Information will not be maintained in a paper or electronic system from which data are actually or directly retrieved by an individual</w:t>
      </w:r>
      <w:r w:rsidRPr="437BE98E" w:rsidR="2DA470CF">
        <w:t>’</w:t>
      </w:r>
      <w:r w:rsidRPr="437BE98E">
        <w:t>s personal identifier.</w:t>
      </w:r>
      <w:r w:rsidRPr="437BE98E" w:rsidR="14FC2A2B">
        <w:t xml:space="preserve"> </w:t>
      </w:r>
      <w:r w:rsidRPr="437BE98E" w:rsidR="7337F6D0">
        <w:t>Any files containing PII are stored on Mathematica’s network in a secure project folder whose access is limited to select project team members. Only the principal investigator, project director, and key study staff have access to this folder. Furthermore, approved study team members can only access this folder after going through multiple layers of security</w:t>
      </w:r>
      <w:r w:rsidRPr="437BE98E">
        <w:t xml:space="preserve">. PII </w:t>
      </w:r>
      <w:r w:rsidRPr="437BE98E" w:rsidR="7337F6D0">
        <w:t xml:space="preserve">will not be kept in the same location as any data collected. Access to respondents’ contact information is restricted to only those working on the </w:t>
      </w:r>
      <w:r w:rsidR="00072990">
        <w:t>SCW</w:t>
      </w:r>
      <w:r w:rsidRPr="437BE98E" w:rsidR="67A2AF59">
        <w:t xml:space="preserve"> Descriptive Study</w:t>
      </w:r>
      <w:r w:rsidRPr="437BE98E" w:rsidR="7337F6D0">
        <w:t>.</w:t>
      </w:r>
    </w:p>
    <w:p w:rsidRPr="009139B3" w:rsidR="001D1C73" w:rsidP="008432A7" w:rsidRDefault="001D1C73" w14:paraId="4254686E" w14:textId="77777777">
      <w:pPr>
        <w:spacing w:after="60"/>
        <w:rPr>
          <w:i/>
        </w:rPr>
      </w:pPr>
      <w:r w:rsidRPr="009139B3">
        <w:rPr>
          <w:i/>
        </w:rPr>
        <w:t>Assurances of Privacy</w:t>
      </w:r>
    </w:p>
    <w:p w:rsidRPr="00BE492A" w:rsidR="00692CDC" w:rsidP="00BE492A" w:rsidRDefault="00692CDC" w14:paraId="781579AD" w14:textId="77777777">
      <w:pPr>
        <w:spacing w:after="120"/>
      </w:pPr>
      <w:r w:rsidRPr="00BE492A">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 </w:t>
      </w:r>
    </w:p>
    <w:p w:rsidRPr="00BE492A" w:rsidR="00692CDC" w:rsidP="00BE492A" w:rsidRDefault="00692CDC" w14:paraId="25D4A99D" w14:textId="45EDEF8E">
      <w:pPr>
        <w:spacing w:after="120"/>
      </w:pPr>
      <w:r w:rsidRPr="00BE492A">
        <w:t xml:space="preserve">We will record interviews only with permission from participants. Before the discussions begin, we will inform participants that we want to record the discussion and ask them for their permission. The recording from the discussion will be deleted as soon as information has been transcribed. Virtual discussions will take place on a secure platform. </w:t>
      </w:r>
    </w:p>
    <w:p w:rsidR="00692CDC" w:rsidP="00BE492A" w:rsidRDefault="54C109C0" w14:paraId="245B2DFD" w14:textId="3D0C5FAE">
      <w:pPr>
        <w:spacing w:after="120"/>
      </w:pPr>
      <w:r w:rsidRPr="437BE98E">
        <w:t xml:space="preserve">Before starting the interviews, we will inform all participants that their identities will be kept private to the extent permitted by law, that results will only be reported in the aggregate, and that they do not have to answer any questions that make them uncomfortable. </w:t>
      </w:r>
      <w:r w:rsidR="006530F9">
        <w:rPr>
          <w:rFonts w:cstheme="minorHAnsi"/>
        </w:rPr>
        <w:t>We will also inform respondents that their states</w:t>
      </w:r>
      <w:r w:rsidRPr="006530F9" w:rsidR="006530F9">
        <w:t xml:space="preserve"> </w:t>
      </w:r>
      <w:r w:rsidR="006530F9">
        <w:t>may be identified in public reports of study findings based on the collected data or in archived dat</w:t>
      </w:r>
      <w:r w:rsidR="00275844">
        <w:t>a</w:t>
      </w:r>
      <w:r w:rsidR="006530F9">
        <w:t>. However, public reports and archived data will not identify respondents by name.</w:t>
      </w:r>
    </w:p>
    <w:p w:rsidRPr="00BE492A" w:rsidR="001D1C73" w:rsidP="00BE492A" w:rsidRDefault="00C2485A" w14:paraId="4F8CC7BF" w14:textId="4F84BE7A">
      <w:pPr>
        <w:spacing w:after="120"/>
      </w:pPr>
      <w:r w:rsidRPr="00BE492A">
        <w:t>T</w:t>
      </w:r>
      <w:r w:rsidRPr="00BE492A" w:rsidR="001D1C73">
        <w:t xml:space="preserve">he </w:t>
      </w:r>
      <w:r w:rsidRPr="00BE492A" w:rsidR="00072990">
        <w:t>SCW</w:t>
      </w:r>
      <w:r w:rsidRPr="00BE492A" w:rsidR="00F90588">
        <w:t xml:space="preserve"> Descriptive Study</w:t>
      </w:r>
      <w:r w:rsidRPr="00BE492A" w:rsidR="001D1C73">
        <w:t xml:space="preserve"> will obtain a Certificate of Confidentiality. The study team has applied for this Certificate. The Certificate of Confidentiality helps to assure participants that their information will be kept private to the fullest extent permitted by law. </w:t>
      </w:r>
      <w:r w:rsidRPr="00BE492A" w:rsidR="00111F8F">
        <w:t xml:space="preserve">The study team </w:t>
      </w:r>
      <w:r w:rsidRPr="00BE492A" w:rsidR="006A7B1C">
        <w:t>will also apply</w:t>
      </w:r>
      <w:r w:rsidRPr="00BE492A" w:rsidR="00111F8F">
        <w:t xml:space="preserve"> for IRB approval from the Health Media Lab IRB. </w:t>
      </w:r>
    </w:p>
    <w:p w:rsidR="001D1C73" w:rsidP="008432A7" w:rsidRDefault="001D1C73" w14:paraId="013EB7D6" w14:textId="079937F9">
      <w:pPr>
        <w:spacing w:after="60"/>
        <w:rPr>
          <w:rFonts w:cstheme="minorHAnsi"/>
          <w:i/>
        </w:rPr>
      </w:pPr>
      <w:r w:rsidRPr="009139B3">
        <w:rPr>
          <w:rFonts w:cstheme="minorHAnsi"/>
          <w:i/>
        </w:rPr>
        <w:t>Data Security and Monitoring</w:t>
      </w:r>
    </w:p>
    <w:p w:rsidRPr="00BE492A" w:rsidR="001D1C73" w:rsidP="00BE492A" w:rsidRDefault="001D1C73" w14:paraId="5E1F4C48" w14:textId="77777777">
      <w:pPr>
        <w:spacing w:after="120"/>
      </w:pPr>
      <w:r w:rsidRPr="00BE492A">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BE492A" w:rsidR="001D1C73" w:rsidP="00BE492A" w:rsidRDefault="001D1C73" w14:paraId="2AD7F4B4" w14:textId="210E1B9B">
      <w:pPr>
        <w:spacing w:after="120"/>
      </w:pPr>
      <w:r w:rsidRPr="00BE492A">
        <w:lastRenderedPageBreak/>
        <w:t xml:space="preserve">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Pr="009139B3" w:rsidR="001D1C73" w:rsidP="0087310F" w:rsidRDefault="001D1C73" w14:paraId="40B5F5B3" w14:textId="77777777">
      <w:pPr>
        <w:spacing w:after="120"/>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001D1C73" w:rsidP="00634FAF" w:rsidRDefault="4EC87917" w14:paraId="454AD3D8" w14:textId="1449B32E">
      <w:pPr>
        <w:spacing w:after="120"/>
      </w:pPr>
      <w:r w:rsidRPr="437BE98E">
        <w:t xml:space="preserve">The </w:t>
      </w:r>
      <w:r w:rsidRPr="437BE98E" w:rsidR="1AAF7E88">
        <w:t xml:space="preserve">study does not include the collection of sensitive information. </w:t>
      </w:r>
      <w:r w:rsidRPr="437BE98E" w:rsidR="383547F1">
        <w:t xml:space="preserve">Although the study deals with child welfare and maltreatment, </w:t>
      </w:r>
      <w:r w:rsidRPr="437BE98E" w:rsidR="34CC6880">
        <w:t xml:space="preserve">the instruments ask about data issues and do not include </w:t>
      </w:r>
      <w:r w:rsidRPr="437BE98E" w:rsidR="28A8A15D">
        <w:t xml:space="preserve"> </w:t>
      </w:r>
      <w:r w:rsidRPr="437BE98E" w:rsidR="5BAC5AC5">
        <w:t xml:space="preserve">questions </w:t>
      </w:r>
      <w:r w:rsidRPr="437BE98E" w:rsidR="135F9159">
        <w:t>about incidents of abuse or other sensitive topics</w:t>
      </w:r>
      <w:r w:rsidRPr="437BE98E" w:rsidR="3529DF11">
        <w:t xml:space="preserve">. </w:t>
      </w:r>
      <w:r w:rsidRPr="437BE98E" w:rsidR="5DB11F69">
        <w:t xml:space="preserve">The target participants are directors </w:t>
      </w:r>
      <w:r w:rsidRPr="437BE98E">
        <w:t xml:space="preserve">and </w:t>
      </w:r>
      <w:r w:rsidRPr="437BE98E" w:rsidR="5DB11F69">
        <w:t xml:space="preserve">staff at the state or county level within child welfare agencies, which </w:t>
      </w:r>
      <w:r w:rsidRPr="437BE98E">
        <w:t xml:space="preserve">are not </w:t>
      </w:r>
      <w:r w:rsidRPr="437BE98E" w:rsidR="5DB11F69">
        <w:t xml:space="preserve">a vulnerable group. This study does not collect Social Security numbers or any other personal sensitive information. </w:t>
      </w:r>
    </w:p>
    <w:p w:rsidRPr="009139B3" w:rsidR="001D1C73" w:rsidP="0087310F" w:rsidRDefault="001D1C73" w14:paraId="62ADEB38" w14:textId="77777777">
      <w:pPr>
        <w:spacing w:after="120"/>
        <w:rPr>
          <w:b/>
        </w:rPr>
      </w:pPr>
      <w:r w:rsidRPr="009139B3">
        <w:rPr>
          <w:b/>
        </w:rPr>
        <w:t>A12</w:t>
      </w:r>
      <w:r w:rsidRPr="009139B3">
        <w:t>.</w:t>
      </w:r>
      <w:r w:rsidRPr="009139B3">
        <w:tab/>
      </w:r>
      <w:r w:rsidRPr="009139B3">
        <w:rPr>
          <w:b/>
        </w:rPr>
        <w:t>Burden</w:t>
      </w:r>
    </w:p>
    <w:p w:rsidRPr="00473207" w:rsidR="001D1C73" w:rsidP="0087310F" w:rsidRDefault="001D1C73" w14:paraId="52E2F984" w14:textId="141F7F04">
      <w:pPr>
        <w:spacing w:after="60"/>
        <w:rPr>
          <w:i/>
        </w:rPr>
      </w:pPr>
      <w:r w:rsidRPr="009139B3">
        <w:rPr>
          <w:i/>
        </w:rPr>
        <w:t>Explanation of Burden Estimates</w:t>
      </w:r>
    </w:p>
    <w:p w:rsidR="004D1364" w:rsidP="00634FAF" w:rsidRDefault="004D1364" w14:paraId="1050AF23" w14:textId="328C2CA8">
      <w:pPr>
        <w:spacing w:after="120"/>
        <w:rPr>
          <w:rFonts w:ascii="Calibri" w:hAnsi="Calibri" w:eastAsia="Calibri" w:cs="Times New Roman"/>
        </w:rPr>
      </w:pPr>
      <w:r>
        <w:t xml:space="preserve">Table </w:t>
      </w:r>
      <w:r w:rsidR="000909D6">
        <w:t>2</w:t>
      </w:r>
      <w:r>
        <w:t xml:space="preserve"> presents the burden estimates for the new information collection. The estimates of time to complete each instrument are based on the </w:t>
      </w:r>
      <w:r>
        <w:rPr>
          <w:rFonts w:ascii="Calibri" w:hAnsi="Calibri" w:eastAsia="Calibri" w:cs="Times New Roman"/>
        </w:rPr>
        <w:t>project team’s experience collecting data from state and county child welfare agency staff for the project’s pretest</w:t>
      </w:r>
      <w:r w:rsidR="00FB2E8D">
        <w:rPr>
          <w:rFonts w:ascii="Calibri" w:hAnsi="Calibri" w:eastAsia="Calibri" w:cs="Times New Roman"/>
        </w:rPr>
        <w:t xml:space="preserve"> (See Supporting Statement B, section B3 for additional information on pretesting)</w:t>
      </w:r>
      <w:r>
        <w:rPr>
          <w:rFonts w:ascii="Calibri" w:hAnsi="Calibri" w:eastAsia="Calibri" w:cs="Times New Roman"/>
        </w:rPr>
        <w:t xml:space="preserve">.  </w:t>
      </w:r>
    </w:p>
    <w:p w:rsidR="004D1364" w:rsidP="004D1364" w:rsidRDefault="004D1364" w14:paraId="5FCD3530" w14:textId="4F53181E">
      <w:pPr>
        <w:pStyle w:val="ListParagraph"/>
        <w:numPr>
          <w:ilvl w:val="0"/>
          <w:numId w:val="49"/>
        </w:numPr>
        <w:spacing w:after="0"/>
      </w:pPr>
      <w:r>
        <w:t xml:space="preserve">The initial survey is estimated to take </w:t>
      </w:r>
      <w:r w:rsidR="009F49E0">
        <w:t>4</w:t>
      </w:r>
      <w:r>
        <w:t>0 minutes (0.</w:t>
      </w:r>
      <w:r w:rsidR="009F49E0">
        <w:t>67</w:t>
      </w:r>
      <w:r>
        <w:t xml:space="preserve"> hours) to complete. </w:t>
      </w:r>
      <w:r w:rsidRPr="46E9EA01" w:rsidR="00FB2E8D">
        <w:rPr>
          <w:rFonts w:eastAsia="Times New Roman"/>
          <w:color w:val="000000" w:themeColor="text1"/>
        </w:rPr>
        <w:t>We will invite 52 state and territory child welfare agency directors</w:t>
      </w:r>
      <w:r w:rsidR="00FB2E8D">
        <w:t xml:space="preserve"> to complete the initial survey. </w:t>
      </w:r>
      <w:r>
        <w:t xml:space="preserve">The total burden over </w:t>
      </w:r>
      <w:r w:rsidR="00E13A45">
        <w:t xml:space="preserve">two </w:t>
      </w:r>
      <w:r w:rsidR="003309DE">
        <w:t xml:space="preserve">years is estimated to be </w:t>
      </w:r>
      <w:r w:rsidR="009F49E0">
        <w:t>35</w:t>
      </w:r>
      <w:r w:rsidR="003309DE">
        <w:t xml:space="preserve"> hours (52 participants x 0.</w:t>
      </w:r>
      <w:r w:rsidR="009F49E0">
        <w:t>67)</w:t>
      </w:r>
      <w:r w:rsidR="007C377C">
        <w:t xml:space="preserve">, and the total annual burden is estimated to be </w:t>
      </w:r>
      <w:r w:rsidR="00E13A45">
        <w:t xml:space="preserve">18 </w:t>
      </w:r>
      <w:r w:rsidR="007C377C">
        <w:t>hours (35 hours/</w:t>
      </w:r>
      <w:r w:rsidR="00E13A45">
        <w:t xml:space="preserve">2 </w:t>
      </w:r>
      <w:r w:rsidR="007C377C">
        <w:t>years)</w:t>
      </w:r>
      <w:r w:rsidR="003309DE">
        <w:t>.</w:t>
      </w:r>
    </w:p>
    <w:p w:rsidR="003309DE" w:rsidP="004D1364" w:rsidRDefault="003309DE" w14:paraId="6BD24553" w14:textId="3BE57F20">
      <w:pPr>
        <w:pStyle w:val="ListParagraph"/>
        <w:numPr>
          <w:ilvl w:val="0"/>
          <w:numId w:val="49"/>
        </w:numPr>
        <w:spacing w:after="0"/>
      </w:pPr>
      <w:r>
        <w:t>The connected data survey is estimated to take 3</w:t>
      </w:r>
      <w:r w:rsidR="009F49E0">
        <w:t>5</w:t>
      </w:r>
      <w:r>
        <w:t xml:space="preserve"> minutes (0.5</w:t>
      </w:r>
      <w:r w:rsidR="009F49E0">
        <w:t>8</w:t>
      </w:r>
      <w:r>
        <w:t xml:space="preserve"> hours) to complete.</w:t>
      </w:r>
      <w:r w:rsidR="00CD2E08">
        <w:t xml:space="preserve"> We will invite up to 208 state staff to complete the connected data survey</w:t>
      </w:r>
      <w:r w:rsidR="00811A06">
        <w:t>. Each state (</w:t>
      </w:r>
      <w:r w:rsidR="009C1463">
        <w:t>and</w:t>
      </w:r>
      <w:r w:rsidR="00811A06">
        <w:t xml:space="preserve"> territory) will receive up to four surveys, each focusing on one connected data set</w:t>
      </w:r>
      <w:r w:rsidR="00CD3C39">
        <w:t xml:space="preserve"> identified in the initial </w:t>
      </w:r>
      <w:r w:rsidR="00CD3C39">
        <w:lastRenderedPageBreak/>
        <w:t>survey</w:t>
      </w:r>
      <w:r w:rsidR="00811A06">
        <w:t xml:space="preserve">. </w:t>
      </w:r>
      <w:r w:rsidR="00CD3C39">
        <w:t>In states where one person is identified in the initial survey as the contact for multiple connected data sets, that person</w:t>
      </w:r>
      <w:r w:rsidR="009C1463">
        <w:t xml:space="preserve"> </w:t>
      </w:r>
      <w:r w:rsidR="00CD3C39">
        <w:t xml:space="preserve">may </w:t>
      </w:r>
      <w:r w:rsidR="009C1463">
        <w:t xml:space="preserve">receive up to four </w:t>
      </w:r>
      <w:r w:rsidR="007B430F">
        <w:t xml:space="preserve">connected data </w:t>
      </w:r>
      <w:r w:rsidR="009C1463">
        <w:t>surveys</w:t>
      </w:r>
      <w:r w:rsidR="00811A06">
        <w:t>.</w:t>
      </w:r>
      <w:r w:rsidR="00407659">
        <w:t xml:space="preserve"> </w:t>
      </w:r>
      <w:r w:rsidR="00407659">
        <w:rPr>
          <w:rFonts w:eastAsia="Times New Roman"/>
          <w:color w:val="000000" w:themeColor="text1"/>
        </w:rPr>
        <w:t xml:space="preserve">Our estimates for burden hours define respondent by survey administration and not </w:t>
      </w:r>
      <w:r w:rsidR="0090499D">
        <w:rPr>
          <w:rFonts w:eastAsia="Times New Roman"/>
          <w:color w:val="000000" w:themeColor="text1"/>
        </w:rPr>
        <w:t xml:space="preserve">necessarily </w:t>
      </w:r>
      <w:r w:rsidR="00407659">
        <w:rPr>
          <w:rFonts w:eastAsia="Times New Roman"/>
          <w:color w:val="000000" w:themeColor="text1"/>
        </w:rPr>
        <w:t>by the number of different people completing the survey.</w:t>
      </w:r>
      <w:r>
        <w:t xml:space="preserve"> The total burden over three years is estimated to be </w:t>
      </w:r>
      <w:r w:rsidR="00E13A45">
        <w:t xml:space="preserve">121 </w:t>
      </w:r>
      <w:r>
        <w:t>hours (</w:t>
      </w:r>
      <w:r w:rsidR="009F49E0">
        <w:t>208</w:t>
      </w:r>
      <w:r>
        <w:t xml:space="preserve"> participants x 0.5</w:t>
      </w:r>
      <w:r w:rsidR="009F49E0">
        <w:t>8</w:t>
      </w:r>
      <w:r w:rsidR="007C377C">
        <w:t xml:space="preserve">), and the total annual burden is estimated to be </w:t>
      </w:r>
      <w:r w:rsidR="00E13A45">
        <w:t xml:space="preserve">61 </w:t>
      </w:r>
      <w:r w:rsidR="007C377C">
        <w:t>hours (121 hours/</w:t>
      </w:r>
      <w:r w:rsidR="00E13A45">
        <w:t xml:space="preserve">2 </w:t>
      </w:r>
      <w:r w:rsidR="007C377C">
        <w:t>years)</w:t>
      </w:r>
      <w:r>
        <w:t>.</w:t>
      </w:r>
    </w:p>
    <w:p w:rsidR="003309DE" w:rsidP="00634FAF" w:rsidRDefault="003309DE" w14:paraId="6C962E89" w14:textId="46526AE5">
      <w:pPr>
        <w:pStyle w:val="ListParagraph"/>
        <w:numPr>
          <w:ilvl w:val="0"/>
          <w:numId w:val="49"/>
        </w:numPr>
        <w:spacing w:after="240"/>
      </w:pPr>
      <w:r>
        <w:t xml:space="preserve">The interview guide is estimated to take 60 minutes (one hour) to complete. </w:t>
      </w:r>
      <w:r w:rsidR="00CD2E08">
        <w:t>We will invite</w:t>
      </w:r>
      <w:r w:rsidR="009C1463">
        <w:t xml:space="preserve"> up to 120 state and county staff to complete the interviews, virtually or by phone.</w:t>
      </w:r>
      <w:r w:rsidR="00CD2E08">
        <w:t xml:space="preserve"> </w:t>
      </w:r>
      <w:r>
        <w:t>The total burden over three years is estimated to be 120 hours (120 participants x 1</w:t>
      </w:r>
      <w:r w:rsidR="009F49E0">
        <w:t>)</w:t>
      </w:r>
      <w:r w:rsidR="007C377C">
        <w:t xml:space="preserve">, and the total annual burden is estimated to be </w:t>
      </w:r>
      <w:r w:rsidR="00E13A45">
        <w:t xml:space="preserve">60 </w:t>
      </w:r>
      <w:r w:rsidR="007C377C">
        <w:t>hours (</w:t>
      </w:r>
      <w:r w:rsidR="00F353DB">
        <w:t>120 hours/</w:t>
      </w:r>
      <w:r w:rsidR="00E13A45">
        <w:t xml:space="preserve">2 </w:t>
      </w:r>
      <w:r w:rsidR="00F353DB">
        <w:t>years)</w:t>
      </w:r>
      <w:r>
        <w:t>.</w:t>
      </w:r>
    </w:p>
    <w:p w:rsidRPr="009139B3" w:rsidR="001D1C73" w:rsidP="0087310F" w:rsidRDefault="001D1C73" w14:paraId="36874344" w14:textId="77777777">
      <w:pPr>
        <w:spacing w:after="60"/>
        <w:rPr>
          <w:i/>
        </w:rPr>
      </w:pPr>
      <w:r w:rsidRPr="009139B3">
        <w:rPr>
          <w:i/>
        </w:rPr>
        <w:t>Estimated Annualized Cost to Respondents</w:t>
      </w:r>
    </w:p>
    <w:p w:rsidRPr="009139B3" w:rsidR="00F873F5" w:rsidP="00634FAF" w:rsidRDefault="00F804E1" w14:paraId="7BCCA122" w14:textId="523B29A2">
      <w:pPr>
        <w:spacing w:after="240"/>
      </w:pPr>
      <w:r w:rsidRPr="00F804E1">
        <w:t xml:space="preserve">The total annual cost for data collection instruments is </w:t>
      </w:r>
      <w:r w:rsidR="00F478C2">
        <w:t>$</w:t>
      </w:r>
      <w:r w:rsidR="00F353DB">
        <w:t>3,323.96</w:t>
      </w:r>
      <w:r w:rsidRPr="00F804E1">
        <w:t xml:space="preserve">. </w:t>
      </w:r>
      <w:r>
        <w:rPr>
          <w:rFonts w:cstheme="minorHAnsi"/>
        </w:rPr>
        <w:t xml:space="preserve">The hourly wage rate for staff is based on the mean hourly wage rate for social and community service managers ($36.13) (SOC code 11-9151, National Occupational Employment and Wage Estimates, Bureau of Labor Statistics, Department of Labor, May 2020, </w:t>
      </w:r>
      <w:hyperlink w:history="1" r:id="rId11">
        <w:r w:rsidRPr="002D090C">
          <w:rPr>
            <w:rStyle w:val="Hyperlink"/>
            <w:rFonts w:cstheme="minorHAnsi"/>
          </w:rPr>
          <w:t>http://www.bls.gov/oes/current/oes_stru.htm</w:t>
        </w:r>
      </w:hyperlink>
      <w:r>
        <w:rPr>
          <w:rFonts w:cstheme="minorHAnsi"/>
        </w:rPr>
        <w:t xml:space="preserve">). </w:t>
      </w:r>
    </w:p>
    <w:p w:rsidRPr="000909D6" w:rsidR="000909D6" w:rsidP="001D1C73" w:rsidRDefault="000909D6" w14:paraId="03579B34" w14:textId="4F14BD45">
      <w:pPr>
        <w:spacing w:after="0" w:line="240" w:lineRule="auto"/>
        <w:rPr>
          <w:b/>
          <w:bCs/>
        </w:rPr>
      </w:pPr>
      <w:r w:rsidRPr="000909D6">
        <w:rPr>
          <w:b/>
          <w:bCs/>
        </w:rPr>
        <w:t>Table 2. Burden hours requested under this information collection</w:t>
      </w:r>
    </w:p>
    <w:tbl>
      <w:tblPr>
        <w:tblStyle w:val="TableGrid"/>
        <w:tblW w:w="9653" w:type="dxa"/>
        <w:tblInd w:w="108" w:type="dxa"/>
        <w:tblLayout w:type="fixed"/>
        <w:tblLook w:val="01E0" w:firstRow="1" w:lastRow="1" w:firstColumn="1" w:lastColumn="1" w:noHBand="0" w:noVBand="0"/>
      </w:tblPr>
      <w:tblGrid>
        <w:gridCol w:w="1327"/>
        <w:gridCol w:w="1350"/>
        <w:gridCol w:w="1530"/>
        <w:gridCol w:w="1260"/>
        <w:gridCol w:w="990"/>
        <w:gridCol w:w="1036"/>
        <w:gridCol w:w="944"/>
        <w:gridCol w:w="1216"/>
      </w:tblGrid>
      <w:tr w:rsidRPr="003234B0" w:rsidR="007C377C" w:rsidTr="00634FAF" w14:paraId="4E2D066D" w14:textId="77777777">
        <w:tc>
          <w:tcPr>
            <w:tcW w:w="1327" w:type="dxa"/>
            <w:tcBorders>
              <w:top w:val="single" w:color="auto" w:sz="4" w:space="0"/>
              <w:left w:val="single" w:color="auto" w:sz="4" w:space="0"/>
              <w:bottom w:val="single" w:color="auto" w:sz="4" w:space="0"/>
              <w:right w:val="single" w:color="auto" w:sz="4" w:space="0"/>
            </w:tcBorders>
            <w:vAlign w:val="bottom"/>
            <w:hideMark/>
          </w:tcPr>
          <w:p w:rsidRPr="003234B0" w:rsidR="007C377C" w:rsidP="00634FAF" w:rsidRDefault="007C377C" w14:paraId="09C725B7" w14:textId="1465B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234B0">
              <w:rPr>
                <w:rFonts w:asciiTheme="minorHAnsi" w:hAnsiTheme="minorHAnsi" w:cstheme="minorHAnsi"/>
                <w:bCs/>
              </w:rPr>
              <w:t>Instrument</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3234B0" w:rsidR="007C377C" w:rsidP="00634FAF" w:rsidRDefault="007C377C"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234B0">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3234B0" w:rsidR="007C377C" w:rsidP="00634FAF" w:rsidRDefault="007C377C"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234B0">
              <w:rPr>
                <w:rFonts w:asciiTheme="minorHAnsi" w:hAnsiTheme="minorHAnsi" w:cstheme="minorHAnsi"/>
                <w:bCs/>
              </w:rPr>
              <w:t>No. of Responses per Respondent (total over request period)</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3234B0" w:rsidR="007C377C" w:rsidP="00634FAF" w:rsidRDefault="007C377C"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234B0">
              <w:rPr>
                <w:rFonts w:asciiTheme="minorHAnsi" w:hAnsiTheme="minorHAnsi" w:cstheme="minorHAnsi"/>
                <w:bCs/>
              </w:rPr>
              <w:t>Avg. Burden per Response (in hours)</w:t>
            </w:r>
          </w:p>
        </w:tc>
        <w:tc>
          <w:tcPr>
            <w:tcW w:w="990" w:type="dxa"/>
            <w:tcBorders>
              <w:top w:val="single" w:color="auto" w:sz="4" w:space="0"/>
              <w:left w:val="single" w:color="auto" w:sz="4" w:space="0"/>
              <w:bottom w:val="single" w:color="auto" w:sz="4" w:space="0"/>
              <w:right w:val="single" w:color="auto" w:sz="4" w:space="0"/>
            </w:tcBorders>
            <w:vAlign w:val="bottom"/>
          </w:tcPr>
          <w:p w:rsidRPr="003234B0" w:rsidR="007C377C" w:rsidP="00634FAF" w:rsidRDefault="007C377C"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234B0">
              <w:rPr>
                <w:rFonts w:asciiTheme="minorHAnsi" w:hAnsiTheme="minorHAnsi" w:cstheme="minorHAnsi"/>
                <w:bCs/>
              </w:rPr>
              <w:t>Total Burden (in hours)</w:t>
            </w:r>
          </w:p>
        </w:tc>
        <w:tc>
          <w:tcPr>
            <w:tcW w:w="1036" w:type="dxa"/>
            <w:tcBorders>
              <w:top w:val="single" w:color="auto" w:sz="4" w:space="0"/>
              <w:left w:val="single" w:color="auto" w:sz="4" w:space="0"/>
              <w:bottom w:val="single" w:color="auto" w:sz="4" w:space="0"/>
              <w:right w:val="single" w:color="auto" w:sz="4" w:space="0"/>
            </w:tcBorders>
            <w:vAlign w:val="bottom"/>
          </w:tcPr>
          <w:p w:rsidRPr="007C377C" w:rsidR="007C377C" w:rsidP="00634FAF" w:rsidRDefault="007C377C" w14:paraId="0EF50F3A" w14:textId="07BAA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C377C">
              <w:rPr>
                <w:rFonts w:asciiTheme="minorHAnsi" w:hAnsiTheme="minorHAnsi" w:cstheme="minorHAnsi"/>
                <w:bCs/>
              </w:rPr>
              <w:t>Total Annual Burden (in hours)</w:t>
            </w:r>
          </w:p>
        </w:tc>
        <w:tc>
          <w:tcPr>
            <w:tcW w:w="944" w:type="dxa"/>
            <w:tcBorders>
              <w:top w:val="single" w:color="auto" w:sz="4" w:space="0"/>
              <w:left w:val="single" w:color="auto" w:sz="4" w:space="0"/>
              <w:bottom w:val="single" w:color="auto" w:sz="4" w:space="0"/>
              <w:right w:val="single" w:color="auto" w:sz="4" w:space="0"/>
            </w:tcBorders>
            <w:vAlign w:val="bottom"/>
            <w:hideMark/>
          </w:tcPr>
          <w:p w:rsidRPr="003234B0" w:rsidR="007C377C" w:rsidP="00634FAF" w:rsidRDefault="007C377C" w14:paraId="72CE99A2" w14:textId="77F86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234B0">
              <w:rPr>
                <w:rFonts w:asciiTheme="minorHAnsi" w:hAnsiTheme="minorHAnsi" w:cstheme="minorHAnsi"/>
                <w:bCs/>
              </w:rPr>
              <w:t>Average Hourly Wage Rate</w:t>
            </w:r>
          </w:p>
        </w:tc>
        <w:tc>
          <w:tcPr>
            <w:tcW w:w="1216" w:type="dxa"/>
            <w:tcBorders>
              <w:top w:val="single" w:color="auto" w:sz="4" w:space="0"/>
              <w:left w:val="single" w:color="auto" w:sz="4" w:space="0"/>
              <w:bottom w:val="single" w:color="auto" w:sz="4" w:space="0"/>
              <w:right w:val="single" w:color="auto" w:sz="4" w:space="0"/>
            </w:tcBorders>
            <w:vAlign w:val="bottom"/>
            <w:hideMark/>
          </w:tcPr>
          <w:p w:rsidRPr="003234B0" w:rsidR="007C377C" w:rsidP="00634FAF" w:rsidRDefault="007C377C" w14:paraId="7AE8C07A" w14:textId="65FB1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234B0">
              <w:rPr>
                <w:rFonts w:asciiTheme="minorHAnsi" w:hAnsiTheme="minorHAnsi" w:cstheme="minorHAnsi"/>
                <w:bCs/>
              </w:rPr>
              <w:t xml:space="preserve">Total </w:t>
            </w:r>
            <w:r>
              <w:rPr>
                <w:rFonts w:asciiTheme="minorHAnsi" w:hAnsiTheme="minorHAnsi" w:cstheme="minorHAnsi"/>
                <w:bCs/>
              </w:rPr>
              <w:t xml:space="preserve">Annual </w:t>
            </w:r>
            <w:r w:rsidRPr="003234B0">
              <w:rPr>
                <w:rFonts w:asciiTheme="minorHAnsi" w:hAnsiTheme="minorHAnsi" w:cstheme="minorHAnsi"/>
                <w:bCs/>
              </w:rPr>
              <w:t>Respondent Cost</w:t>
            </w:r>
          </w:p>
        </w:tc>
      </w:tr>
      <w:tr w:rsidRPr="003234B0" w:rsidR="007C377C" w:rsidTr="00226A1B" w14:paraId="5BC27676" w14:textId="77777777">
        <w:tc>
          <w:tcPr>
            <w:tcW w:w="1327" w:type="dxa"/>
            <w:tcBorders>
              <w:top w:val="single" w:color="auto" w:sz="4" w:space="0"/>
              <w:left w:val="single" w:color="auto" w:sz="4" w:space="0"/>
              <w:bottom w:val="single" w:color="auto" w:sz="4" w:space="0"/>
              <w:right w:val="single" w:color="auto" w:sz="4" w:space="0"/>
            </w:tcBorders>
          </w:tcPr>
          <w:p w:rsidRPr="003234B0" w:rsidR="007C377C" w:rsidP="00B24F83" w:rsidRDefault="007C377C" w14:paraId="305C520D" w14:textId="5EB80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1: Initial Survey</w:t>
            </w:r>
          </w:p>
        </w:tc>
        <w:tc>
          <w:tcPr>
            <w:tcW w:w="135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60C47704" w14:textId="7EED7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52</w:t>
            </w:r>
          </w:p>
        </w:tc>
        <w:tc>
          <w:tcPr>
            <w:tcW w:w="153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6C16BA6E" w14:textId="587CA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26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3EFAEFF8" w14:textId="5433F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0.67</w:t>
            </w:r>
          </w:p>
        </w:tc>
        <w:tc>
          <w:tcPr>
            <w:tcW w:w="990" w:type="dxa"/>
            <w:tcBorders>
              <w:top w:val="single" w:color="auto" w:sz="4" w:space="0"/>
              <w:left w:val="single" w:color="auto" w:sz="4" w:space="0"/>
              <w:bottom w:val="single" w:color="auto" w:sz="4" w:space="0"/>
              <w:right w:val="single" w:color="auto" w:sz="4" w:space="0"/>
            </w:tcBorders>
            <w:vAlign w:val="center"/>
          </w:tcPr>
          <w:p w:rsidRPr="003234B0" w:rsidR="007C377C" w:rsidP="00F45632" w:rsidRDefault="007C377C" w14:paraId="3BD4C70C" w14:textId="6924A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35</w:t>
            </w:r>
          </w:p>
        </w:tc>
        <w:tc>
          <w:tcPr>
            <w:tcW w:w="1036" w:type="dxa"/>
            <w:tcBorders>
              <w:top w:val="single" w:color="auto" w:sz="4" w:space="0"/>
              <w:left w:val="single" w:color="auto" w:sz="4" w:space="0"/>
              <w:bottom w:val="single" w:color="auto" w:sz="4" w:space="0"/>
              <w:right w:val="single" w:color="auto" w:sz="4" w:space="0"/>
            </w:tcBorders>
            <w:vAlign w:val="center"/>
          </w:tcPr>
          <w:p w:rsidRPr="007C377C" w:rsidR="007C377C" w:rsidP="007C377C" w:rsidRDefault="009D4F2C" w14:paraId="7CE14902" w14:textId="62DB9F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p>
        </w:tc>
        <w:tc>
          <w:tcPr>
            <w:tcW w:w="944" w:type="dxa"/>
            <w:tcBorders>
              <w:top w:val="single" w:color="auto" w:sz="4" w:space="0"/>
              <w:left w:val="single" w:color="auto" w:sz="4" w:space="0"/>
              <w:bottom w:val="single" w:color="auto" w:sz="4" w:space="0"/>
              <w:right w:val="single" w:color="auto" w:sz="4" w:space="0"/>
            </w:tcBorders>
            <w:vAlign w:val="center"/>
            <w:hideMark/>
          </w:tcPr>
          <w:p w:rsidRPr="003234B0" w:rsidR="007C377C" w:rsidP="00B24F83" w:rsidRDefault="007C377C" w14:paraId="27A110B5" w14:textId="6A55E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234B0">
              <w:rPr>
                <w:rFonts w:asciiTheme="minorHAnsi" w:hAnsiTheme="minorHAnsi" w:cstheme="minorHAnsi"/>
                <w:bCs/>
              </w:rPr>
              <w:t>$</w:t>
            </w:r>
            <w:r>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3234B0" w:rsidR="007C377C" w:rsidP="00B24F83" w:rsidRDefault="007C377C" w14:paraId="690ABB5B" w14:textId="1E95B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234B0">
              <w:rPr>
                <w:rFonts w:asciiTheme="minorHAnsi" w:hAnsiTheme="minorHAnsi" w:cstheme="minorHAnsi"/>
                <w:bCs/>
              </w:rPr>
              <w:t>$</w:t>
            </w:r>
            <w:r w:rsidR="009D4F2C">
              <w:rPr>
                <w:rFonts w:asciiTheme="minorHAnsi" w:hAnsiTheme="minorHAnsi" w:cstheme="minorHAnsi"/>
                <w:bCs/>
              </w:rPr>
              <w:t>650.34</w:t>
            </w:r>
          </w:p>
        </w:tc>
      </w:tr>
      <w:tr w:rsidRPr="003234B0" w:rsidR="007C377C" w:rsidTr="00226A1B" w14:paraId="29B72EBB" w14:textId="77777777">
        <w:tc>
          <w:tcPr>
            <w:tcW w:w="1327" w:type="dxa"/>
            <w:tcBorders>
              <w:top w:val="single" w:color="auto" w:sz="4" w:space="0"/>
              <w:left w:val="single" w:color="auto" w:sz="4" w:space="0"/>
              <w:bottom w:val="single" w:color="auto" w:sz="4" w:space="0"/>
              <w:right w:val="single" w:color="auto" w:sz="4" w:space="0"/>
            </w:tcBorders>
          </w:tcPr>
          <w:p w:rsidRPr="003234B0" w:rsidR="007C377C" w:rsidP="00B24F83" w:rsidRDefault="007C377C" w14:paraId="505F6723" w14:textId="14B87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2: Connected Data Survey</w:t>
            </w:r>
            <w:r w:rsidRPr="003C0CC3" w:rsidR="00675791">
              <w:rPr>
                <w:rFonts w:cstheme="minorHAnsi"/>
                <w:bCs/>
                <w:vertAlign w:val="superscript"/>
              </w:rPr>
              <w:t>1</w:t>
            </w:r>
          </w:p>
        </w:tc>
        <w:tc>
          <w:tcPr>
            <w:tcW w:w="135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7704960F" w14:textId="5B969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208</w:t>
            </w:r>
          </w:p>
        </w:tc>
        <w:tc>
          <w:tcPr>
            <w:tcW w:w="153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05FDB051" w14:textId="403CC9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26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7061D86F" w14:textId="1733E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0.58</w:t>
            </w:r>
          </w:p>
        </w:tc>
        <w:tc>
          <w:tcPr>
            <w:tcW w:w="990" w:type="dxa"/>
            <w:tcBorders>
              <w:top w:val="single" w:color="auto" w:sz="4" w:space="0"/>
              <w:left w:val="single" w:color="auto" w:sz="4" w:space="0"/>
              <w:bottom w:val="single" w:color="auto" w:sz="4" w:space="0"/>
              <w:right w:val="single" w:color="auto" w:sz="4" w:space="0"/>
            </w:tcBorders>
            <w:vAlign w:val="center"/>
          </w:tcPr>
          <w:p w:rsidRPr="003234B0" w:rsidR="007C377C" w:rsidP="00F45632" w:rsidRDefault="007C377C" w14:paraId="74B8FF53" w14:textId="4A17F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121</w:t>
            </w:r>
          </w:p>
        </w:tc>
        <w:tc>
          <w:tcPr>
            <w:tcW w:w="1036" w:type="dxa"/>
            <w:tcBorders>
              <w:top w:val="single" w:color="auto" w:sz="4" w:space="0"/>
              <w:left w:val="single" w:color="auto" w:sz="4" w:space="0"/>
              <w:bottom w:val="single" w:color="auto" w:sz="4" w:space="0"/>
              <w:right w:val="single" w:color="auto" w:sz="4" w:space="0"/>
            </w:tcBorders>
            <w:vAlign w:val="center"/>
          </w:tcPr>
          <w:p w:rsidRPr="007C377C" w:rsidR="007C377C" w:rsidP="007C377C" w:rsidRDefault="00E13A45" w14:paraId="3CFDC143" w14:textId="702A5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r w:rsidR="009D4F2C">
              <w:rPr>
                <w:rFonts w:asciiTheme="minorHAnsi" w:hAnsiTheme="minorHAnsi" w:cstheme="minorHAnsi"/>
                <w:bCs/>
              </w:rPr>
              <w:t>1</w:t>
            </w:r>
          </w:p>
        </w:tc>
        <w:tc>
          <w:tcPr>
            <w:tcW w:w="944"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33A0E5A3" w14:textId="69BAC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3E965E94" w14:textId="235F5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D838ED">
              <w:rPr>
                <w:rFonts w:asciiTheme="minorHAnsi" w:hAnsiTheme="minorHAnsi" w:cstheme="minorHAnsi"/>
                <w:bCs/>
              </w:rPr>
              <w:t>2,203.93</w:t>
            </w:r>
          </w:p>
        </w:tc>
      </w:tr>
      <w:tr w:rsidRPr="003234B0" w:rsidR="007C377C" w:rsidTr="00226A1B" w14:paraId="55A51D7B" w14:textId="77777777">
        <w:tc>
          <w:tcPr>
            <w:tcW w:w="1327" w:type="dxa"/>
            <w:tcBorders>
              <w:top w:val="single" w:color="auto" w:sz="4" w:space="0"/>
              <w:left w:val="single" w:color="auto" w:sz="4" w:space="0"/>
              <w:bottom w:val="single" w:color="auto" w:sz="4" w:space="0"/>
              <w:right w:val="single" w:color="auto" w:sz="4" w:space="0"/>
            </w:tcBorders>
          </w:tcPr>
          <w:p w:rsidRPr="003234B0" w:rsidR="007C377C" w:rsidP="00B24F83" w:rsidRDefault="007C377C" w14:paraId="4054FA94" w14:textId="0E922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3: Interview Guide</w:t>
            </w:r>
            <w:r w:rsidRPr="003234B0">
              <w:rPr>
                <w:rFonts w:asciiTheme="minorHAnsi" w:hAnsiTheme="minorHAnsi" w:cstheme="minorHAnsi"/>
                <w:bCs/>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171DCC1F" w14:textId="52858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120</w:t>
            </w:r>
          </w:p>
        </w:tc>
        <w:tc>
          <w:tcPr>
            <w:tcW w:w="153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6D2C7842" w14:textId="7719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26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5E0E6241" w14:textId="0A7A1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990" w:type="dxa"/>
            <w:tcBorders>
              <w:top w:val="single" w:color="auto" w:sz="4" w:space="0"/>
              <w:left w:val="single" w:color="auto" w:sz="4" w:space="0"/>
              <w:bottom w:val="single" w:color="auto" w:sz="4" w:space="0"/>
              <w:right w:val="single" w:color="auto" w:sz="4" w:space="0"/>
            </w:tcBorders>
            <w:vAlign w:val="center"/>
          </w:tcPr>
          <w:p w:rsidRPr="003234B0" w:rsidR="007C377C" w:rsidP="00F45632" w:rsidRDefault="007C377C" w14:paraId="68DC2F34" w14:textId="3DA77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120</w:t>
            </w:r>
          </w:p>
        </w:tc>
        <w:tc>
          <w:tcPr>
            <w:tcW w:w="1036" w:type="dxa"/>
            <w:tcBorders>
              <w:top w:val="single" w:color="auto" w:sz="4" w:space="0"/>
              <w:left w:val="single" w:color="auto" w:sz="4" w:space="0"/>
              <w:bottom w:val="single" w:color="auto" w:sz="4" w:space="0"/>
              <w:right w:val="single" w:color="auto" w:sz="4" w:space="0"/>
            </w:tcBorders>
            <w:vAlign w:val="center"/>
          </w:tcPr>
          <w:p w:rsidRPr="007C377C" w:rsidR="007C377C" w:rsidP="007C377C" w:rsidRDefault="009D4F2C" w14:paraId="12D3696E" w14:textId="1BF86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w:t>
            </w:r>
          </w:p>
        </w:tc>
        <w:tc>
          <w:tcPr>
            <w:tcW w:w="944"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78859C3B" w14:textId="6DEC0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38C76CC9" w14:textId="23C14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9D4F2C">
              <w:rPr>
                <w:rFonts w:asciiTheme="minorHAnsi" w:hAnsiTheme="minorHAnsi" w:cstheme="minorHAnsi"/>
                <w:bCs/>
              </w:rPr>
              <w:t>2,167.80</w:t>
            </w:r>
          </w:p>
        </w:tc>
      </w:tr>
      <w:tr w:rsidRPr="003234B0" w:rsidR="007C377C" w:rsidTr="00226A1B" w14:paraId="718F3303" w14:textId="77777777">
        <w:tc>
          <w:tcPr>
            <w:tcW w:w="1327" w:type="dxa"/>
            <w:tcBorders>
              <w:top w:val="single" w:color="auto" w:sz="4" w:space="0"/>
              <w:left w:val="single" w:color="auto" w:sz="4" w:space="0"/>
              <w:bottom w:val="single" w:color="auto" w:sz="4" w:space="0"/>
              <w:right w:val="single" w:color="auto" w:sz="4" w:space="0"/>
            </w:tcBorders>
            <w:hideMark/>
          </w:tcPr>
          <w:p w:rsidRPr="003234B0" w:rsidR="007C377C" w:rsidP="00B24F83" w:rsidRDefault="007C377C"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234B0">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2686650C" w14:textId="34043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p>
        </w:tc>
        <w:tc>
          <w:tcPr>
            <w:tcW w:w="153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0CDF33B0" w14:textId="2DC9A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p>
        </w:tc>
        <w:tc>
          <w:tcPr>
            <w:tcW w:w="1260" w:type="dxa"/>
            <w:tcBorders>
              <w:top w:val="single" w:color="auto" w:sz="4" w:space="0"/>
              <w:left w:val="single" w:color="auto" w:sz="4" w:space="0"/>
              <w:bottom w:val="single" w:color="auto" w:sz="4" w:space="0"/>
              <w:right w:val="single" w:color="auto" w:sz="4" w:space="0"/>
            </w:tcBorders>
            <w:vAlign w:val="center"/>
          </w:tcPr>
          <w:p w:rsidRPr="003234B0" w:rsidR="007C377C" w:rsidP="00B24F83" w:rsidRDefault="007C377C" w14:paraId="69CE8E7F" w14:textId="029DD3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p>
        </w:tc>
        <w:tc>
          <w:tcPr>
            <w:tcW w:w="990" w:type="dxa"/>
            <w:tcBorders>
              <w:top w:val="single" w:color="auto" w:sz="4" w:space="0"/>
              <w:left w:val="single" w:color="auto" w:sz="4" w:space="0"/>
              <w:bottom w:val="single" w:color="auto" w:sz="4" w:space="0"/>
              <w:right w:val="single" w:color="auto" w:sz="4" w:space="0"/>
            </w:tcBorders>
            <w:vAlign w:val="center"/>
          </w:tcPr>
          <w:p w:rsidRPr="003234B0" w:rsidR="007C377C" w:rsidP="00D2354F" w:rsidRDefault="00FB2E8D" w14:paraId="343D9ABE" w14:textId="1DF7D8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p>
        </w:tc>
        <w:tc>
          <w:tcPr>
            <w:tcW w:w="1036" w:type="dxa"/>
            <w:tcBorders>
              <w:top w:val="single" w:color="auto" w:sz="4" w:space="0"/>
              <w:left w:val="single" w:color="auto" w:sz="4" w:space="0"/>
              <w:bottom w:val="single" w:color="auto" w:sz="4" w:space="0"/>
              <w:right w:val="single" w:color="auto" w:sz="4" w:space="0"/>
            </w:tcBorders>
            <w:vAlign w:val="center"/>
          </w:tcPr>
          <w:p w:rsidRPr="007C377C" w:rsidR="007C377C" w:rsidRDefault="009D4F2C" w14:paraId="7B9630FB" w14:textId="4977A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E13A45">
              <w:rPr>
                <w:rFonts w:asciiTheme="minorHAnsi" w:hAnsiTheme="minorHAnsi" w:cstheme="minorHAnsi"/>
                <w:bCs/>
              </w:rPr>
              <w:t>3</w:t>
            </w:r>
            <w:r>
              <w:rPr>
                <w:rFonts w:asciiTheme="minorHAnsi" w:hAnsiTheme="minorHAnsi" w:cstheme="minorHAnsi"/>
                <w:bCs/>
              </w:rPr>
              <w:t>9</w:t>
            </w:r>
          </w:p>
        </w:tc>
        <w:tc>
          <w:tcPr>
            <w:tcW w:w="944" w:type="dxa"/>
            <w:tcBorders>
              <w:top w:val="single" w:color="auto" w:sz="4" w:space="0"/>
              <w:left w:val="single" w:color="auto" w:sz="4" w:space="0"/>
              <w:bottom w:val="single" w:color="auto" w:sz="4" w:space="0"/>
              <w:right w:val="single" w:color="auto" w:sz="4" w:space="0"/>
            </w:tcBorders>
            <w:vAlign w:val="center"/>
            <w:hideMark/>
          </w:tcPr>
          <w:p w:rsidRPr="003234B0" w:rsidR="007C377C" w:rsidP="00B24F83" w:rsidRDefault="007C377C" w14:paraId="00D13F6F" w14:textId="53804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3234B0" w:rsidR="007C377C" w:rsidP="00B24F83" w:rsidRDefault="007C377C" w14:paraId="767B4190" w14:textId="0E4BE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234B0">
              <w:rPr>
                <w:rFonts w:asciiTheme="minorHAnsi" w:hAnsiTheme="minorHAnsi" w:cstheme="minorHAnsi"/>
                <w:bCs/>
              </w:rPr>
              <w:t>$</w:t>
            </w:r>
            <w:r w:rsidR="00D838ED">
              <w:rPr>
                <w:rFonts w:asciiTheme="minorHAnsi" w:hAnsiTheme="minorHAnsi" w:cstheme="minorHAnsi"/>
                <w:bCs/>
              </w:rPr>
              <w:t>5,022.07</w:t>
            </w:r>
          </w:p>
        </w:tc>
      </w:tr>
    </w:tbl>
    <w:p w:rsidRPr="00226A1B" w:rsidR="001D1C73" w:rsidP="00634FAF" w:rsidRDefault="00675791" w14:paraId="1DA4EFA8" w14:textId="49C631D6">
      <w:pPr>
        <w:spacing w:after="240" w:line="240" w:lineRule="auto"/>
        <w:rPr>
          <w:sz w:val="20"/>
          <w:szCs w:val="20"/>
          <w:vertAlign w:val="superscript"/>
        </w:rPr>
      </w:pPr>
      <w:r w:rsidRPr="00226A1B">
        <w:rPr>
          <w:sz w:val="20"/>
          <w:szCs w:val="20"/>
          <w:vertAlign w:val="superscript"/>
        </w:rPr>
        <w:t xml:space="preserve">1 </w:t>
      </w:r>
      <w:r w:rsidRPr="00226A1B">
        <w:rPr>
          <w:rFonts w:eastAsia="Times New Roman"/>
          <w:color w:val="000000" w:themeColor="text1"/>
          <w:sz w:val="20"/>
          <w:szCs w:val="20"/>
        </w:rPr>
        <w:t>Estimates for burden hours define respondent by survey administration and not by the number of different people completing the survey.</w:t>
      </w: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634FAF" w:rsidRDefault="00F873F5" w14:paraId="01ADACD0" w14:textId="5B26BAAF">
      <w:pPr>
        <w:autoSpaceDE w:val="0"/>
        <w:autoSpaceDN w:val="0"/>
        <w:adjustRightInd w:val="0"/>
        <w:spacing w:after="120" w:line="240" w:lineRule="auto"/>
        <w:rPr>
          <w:rFonts w:cstheme="minorHAnsi"/>
        </w:rPr>
      </w:pPr>
      <w:r w:rsidRPr="00F873F5">
        <w:rPr>
          <w:rFonts w:cstheme="minorHAnsi"/>
        </w:rPr>
        <w:t>There are no additional costs to respondents.</w:t>
      </w: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8771C4" w:rsidR="00FB2E8D" w:rsidP="00634FAF" w:rsidRDefault="00026D07" w14:paraId="7A3A8524" w14:textId="53588226">
      <w:pPr>
        <w:spacing w:after="120" w:line="240" w:lineRule="auto"/>
        <w:rPr>
          <w:rFonts w:cstheme="minorHAnsi"/>
        </w:rPr>
      </w:pPr>
      <w:r w:rsidRPr="00026D07">
        <w:rPr>
          <w:rFonts w:cstheme="minorHAnsi"/>
        </w:rPr>
        <w:t>The total cost to the Federal government for the data collection activities under this ICR will be about $</w:t>
      </w:r>
      <w:r w:rsidR="009D4F2C">
        <w:rPr>
          <w:rFonts w:cstheme="minorHAnsi"/>
        </w:rPr>
        <w:t>477</w:t>
      </w:r>
      <w:r w:rsidRPr="00026D07">
        <w:rPr>
          <w:rFonts w:cstheme="minorHAnsi"/>
        </w:rPr>
        <w:t>,000. Annualized costs to the Federal government will be about $</w:t>
      </w:r>
      <w:r w:rsidR="009D4F2C">
        <w:rPr>
          <w:rFonts w:cstheme="minorHAnsi"/>
        </w:rPr>
        <w:t>238,500</w:t>
      </w:r>
      <w:r w:rsidRPr="00026D07">
        <w:rPr>
          <w:rFonts w:cstheme="minorHAnsi"/>
        </w:rPr>
        <w:t xml:space="preserve"> for the proposed data collection. These estimates of costs come from Mathematica’s budgeted estimates and include labor rates and direct costs. </w:t>
      </w:r>
    </w:p>
    <w:p w:rsidR="00A8415A" w:rsidRDefault="00A8415A" w14:paraId="209B66B9" w14:textId="77777777">
      <w:pPr>
        <w:rPr>
          <w:rFonts w:cstheme="minorHAnsi"/>
          <w:b/>
          <w:bCs/>
        </w:rPr>
      </w:pPr>
      <w:r>
        <w:rPr>
          <w:rFonts w:cstheme="minorHAnsi"/>
          <w:b/>
          <w:bCs/>
        </w:rPr>
        <w:br w:type="page"/>
      </w:r>
    </w:p>
    <w:p w:rsidRPr="002B17D2" w:rsidR="000909D6" w:rsidP="000909D6" w:rsidRDefault="000909D6" w14:paraId="2882949E" w14:textId="5683FD5B">
      <w:pPr>
        <w:spacing w:before="60" w:after="60"/>
        <w:jc w:val="both"/>
        <w:rPr>
          <w:rFonts w:cstheme="minorHAnsi"/>
          <w:b/>
          <w:bCs/>
        </w:rPr>
      </w:pPr>
      <w:r w:rsidRPr="002B17D2">
        <w:rPr>
          <w:rFonts w:cstheme="minorHAnsi"/>
          <w:b/>
          <w:bCs/>
        </w:rPr>
        <w:lastRenderedPageBreak/>
        <w:t xml:space="preserve">Table </w:t>
      </w:r>
      <w:r>
        <w:rPr>
          <w:rFonts w:cstheme="minorHAnsi"/>
          <w:b/>
          <w:bCs/>
        </w:rPr>
        <w:t>3</w:t>
      </w:r>
      <w:r w:rsidRPr="002B17D2">
        <w:rPr>
          <w:rFonts w:cstheme="minorHAnsi"/>
          <w:b/>
          <w:bCs/>
        </w:rPr>
        <w:t>. Cost of proposed data collection</w:t>
      </w:r>
    </w:p>
    <w:tbl>
      <w:tblPr>
        <w:tblW w:w="0" w:type="auto"/>
        <w:tblCellMar>
          <w:left w:w="0" w:type="dxa"/>
          <w:right w:w="0" w:type="dxa"/>
        </w:tblCellMar>
        <w:tblLook w:val="04A0" w:firstRow="1" w:lastRow="0" w:firstColumn="1" w:lastColumn="0" w:noHBand="0" w:noVBand="1"/>
      </w:tblPr>
      <w:tblGrid>
        <w:gridCol w:w="2510"/>
        <w:gridCol w:w="4590"/>
        <w:gridCol w:w="1710"/>
      </w:tblGrid>
      <w:tr w:rsidRPr="009139B3" w:rsidR="001D1C73" w:rsidTr="00B24F83" w14:paraId="6C6F85A7" w14:textId="77777777">
        <w:tc>
          <w:tcPr>
            <w:tcW w:w="251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B24F83" w:rsidRDefault="001D1C73" w14:paraId="203C71D4" w14:textId="77777777">
            <w:pPr>
              <w:spacing w:after="0"/>
              <w:rPr>
                <w:b/>
                <w:sz w:val="20"/>
              </w:rPr>
            </w:pPr>
            <w:r w:rsidRPr="009139B3">
              <w:rPr>
                <w:b/>
                <w:sz w:val="20"/>
              </w:rPr>
              <w:t>Activity</w:t>
            </w:r>
          </w:p>
        </w:tc>
        <w:tc>
          <w:tcPr>
            <w:tcW w:w="459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B24F83" w:rsidRDefault="001D1C73" w14:paraId="49E796B9" w14:textId="77777777">
            <w:pPr>
              <w:spacing w:after="0"/>
              <w:rPr>
                <w:rFonts w:ascii="Calibri" w:hAnsi="Calibri" w:cs="Calibri"/>
                <w:b/>
                <w:sz w:val="20"/>
              </w:rPr>
            </w:pPr>
            <w:r w:rsidRPr="009139B3">
              <w:rPr>
                <w:b/>
                <w:sz w:val="20"/>
              </w:rPr>
              <w:t>Detail</w:t>
            </w:r>
          </w:p>
        </w:tc>
        <w:tc>
          <w:tcPr>
            <w:tcW w:w="1710" w:type="dxa"/>
            <w:tcBorders>
              <w:top w:val="single" w:color="auto" w:sz="8" w:space="0"/>
              <w:left w:val="nil"/>
              <w:bottom w:val="single" w:color="auto" w:sz="8" w:space="0"/>
              <w:right w:val="single" w:color="auto" w:sz="8" w:space="0"/>
            </w:tcBorders>
            <w:shd w:val="clear" w:color="auto" w:fill="BFBFBF"/>
            <w:hideMark/>
          </w:tcPr>
          <w:p w:rsidRPr="009139B3" w:rsidR="001D1C73" w:rsidP="00B24F83" w:rsidRDefault="001D1C73" w14:paraId="548E26B3" w14:textId="77777777">
            <w:pPr>
              <w:spacing w:after="0"/>
              <w:rPr>
                <w:b/>
                <w:sz w:val="20"/>
              </w:rPr>
            </w:pPr>
            <w:r w:rsidRPr="009139B3">
              <w:rPr>
                <w:b/>
                <w:sz w:val="20"/>
              </w:rPr>
              <w:t>Estimated Cost</w:t>
            </w:r>
          </w:p>
        </w:tc>
      </w:tr>
      <w:tr w:rsidRPr="009139B3" w:rsidR="004C63E5" w:rsidTr="00B24F83" w14:paraId="661CC617" w14:textId="77777777">
        <w:tc>
          <w:tcPr>
            <w:tcW w:w="2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4C63E5" w:rsidP="004C63E5" w:rsidRDefault="004C63E5" w14:paraId="0B6C2652" w14:textId="77777777">
            <w:pPr>
              <w:spacing w:after="0"/>
              <w:rPr>
                <w:sz w:val="20"/>
              </w:rPr>
            </w:pPr>
            <w:r w:rsidRPr="009139B3">
              <w:rPr>
                <w:sz w:val="20"/>
              </w:rPr>
              <w:t>Survey administration</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9139B3" w:rsidR="004C63E5" w:rsidP="004C63E5" w:rsidRDefault="004C63E5" w14:paraId="4F06CFE9" w14:textId="77777777">
            <w:pPr>
              <w:pStyle w:val="ListParagraph"/>
              <w:numPr>
                <w:ilvl w:val="0"/>
                <w:numId w:val="22"/>
              </w:numPr>
              <w:spacing w:after="0" w:line="240" w:lineRule="auto"/>
              <w:ind w:left="256" w:hanging="180"/>
              <w:contextualSpacing w:val="0"/>
              <w:rPr>
                <w:sz w:val="20"/>
              </w:rPr>
            </w:pPr>
            <w:r w:rsidRPr="009139B3">
              <w:rPr>
                <w:sz w:val="20"/>
              </w:rPr>
              <w:t>FTE time</w:t>
            </w:r>
          </w:p>
          <w:p w:rsidRPr="009139B3" w:rsidR="004C63E5" w:rsidP="004C63E5" w:rsidRDefault="004C63E5" w14:paraId="5362F95B" w14:textId="77777777">
            <w:pPr>
              <w:pStyle w:val="ListParagraph"/>
              <w:numPr>
                <w:ilvl w:val="0"/>
                <w:numId w:val="22"/>
              </w:numPr>
              <w:spacing w:after="0" w:line="240" w:lineRule="auto"/>
              <w:ind w:left="256" w:hanging="180"/>
              <w:contextualSpacing w:val="0"/>
              <w:rPr>
                <w:sz w:val="20"/>
              </w:rPr>
            </w:pPr>
            <w:r w:rsidRPr="009139B3">
              <w:rPr>
                <w:sz w:val="20"/>
              </w:rPr>
              <w:t>Operational expenses (such as equipment, overhead, printing, and staff support)</w:t>
            </w:r>
          </w:p>
          <w:p w:rsidRPr="009139B3" w:rsidR="004C63E5" w:rsidP="004C63E5" w:rsidRDefault="004C63E5" w14:paraId="1704FE7D" w14:textId="77777777">
            <w:pPr>
              <w:pStyle w:val="ListParagraph"/>
              <w:numPr>
                <w:ilvl w:val="0"/>
                <w:numId w:val="22"/>
              </w:numPr>
              <w:spacing w:after="0" w:line="240" w:lineRule="auto"/>
              <w:ind w:left="256" w:hanging="180"/>
              <w:contextualSpacing w:val="0"/>
              <w:rPr>
                <w:sz w:val="20"/>
              </w:rPr>
            </w:pPr>
            <w:r w:rsidRPr="009139B3">
              <w:rPr>
                <w:sz w:val="20"/>
              </w:rPr>
              <w:t>Other expenses which would not have been incurred without this collection of information</w:t>
            </w:r>
          </w:p>
        </w:tc>
        <w:tc>
          <w:tcPr>
            <w:tcW w:w="1710" w:type="dxa"/>
            <w:tcBorders>
              <w:top w:val="nil"/>
              <w:left w:val="nil"/>
              <w:bottom w:val="single" w:color="auto" w:sz="8" w:space="0"/>
              <w:right w:val="single" w:color="auto" w:sz="8" w:space="0"/>
            </w:tcBorders>
            <w:vAlign w:val="center"/>
            <w:hideMark/>
          </w:tcPr>
          <w:p w:rsidRPr="004C63E5" w:rsidR="004C63E5" w:rsidP="004C63E5" w:rsidRDefault="004C63E5" w14:paraId="35A3C080" w14:textId="3F26E038">
            <w:pPr>
              <w:spacing w:after="0"/>
              <w:jc w:val="center"/>
              <w:rPr>
                <w:sz w:val="20"/>
              </w:rPr>
            </w:pPr>
            <w:r w:rsidRPr="009F49E0">
              <w:rPr>
                <w:sz w:val="20"/>
                <w:szCs w:val="20"/>
              </w:rPr>
              <w:t>$171,000</w:t>
            </w:r>
          </w:p>
        </w:tc>
      </w:tr>
      <w:tr w:rsidRPr="009139B3" w:rsidR="004C63E5" w:rsidTr="00B24F83" w14:paraId="0AEC8C9C" w14:textId="77777777">
        <w:tc>
          <w:tcPr>
            <w:tcW w:w="251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4C63E5" w:rsidP="004C63E5" w:rsidRDefault="004C63E5" w14:paraId="78E84727" w14:textId="77777777">
            <w:pPr>
              <w:spacing w:after="0"/>
              <w:rPr>
                <w:sz w:val="20"/>
              </w:rPr>
            </w:pPr>
            <w:r w:rsidRPr="009139B3">
              <w:rPr>
                <w:sz w:val="20"/>
              </w:rPr>
              <w:t>Analysis and initial dissemination</w:t>
            </w:r>
          </w:p>
        </w:tc>
        <w:tc>
          <w:tcPr>
            <w:tcW w:w="4590" w:type="dxa"/>
            <w:tcBorders>
              <w:top w:val="nil"/>
              <w:left w:val="nil"/>
              <w:bottom w:val="single" w:color="auto" w:sz="4" w:space="0"/>
              <w:right w:val="single" w:color="auto" w:sz="8" w:space="0"/>
            </w:tcBorders>
            <w:tcMar>
              <w:top w:w="0" w:type="dxa"/>
              <w:left w:w="108" w:type="dxa"/>
              <w:bottom w:w="0" w:type="dxa"/>
              <w:right w:w="108" w:type="dxa"/>
            </w:tcMar>
            <w:hideMark/>
          </w:tcPr>
          <w:p w:rsidRPr="009139B3" w:rsidR="004C63E5" w:rsidP="004C63E5" w:rsidRDefault="004C63E5" w14:paraId="01FEAB77" w14:textId="77777777">
            <w:pPr>
              <w:pStyle w:val="ListParagraph"/>
              <w:numPr>
                <w:ilvl w:val="0"/>
                <w:numId w:val="22"/>
              </w:numPr>
              <w:spacing w:after="0" w:line="240" w:lineRule="auto"/>
              <w:ind w:left="256" w:hanging="180"/>
              <w:contextualSpacing w:val="0"/>
              <w:rPr>
                <w:sz w:val="20"/>
              </w:rPr>
            </w:pPr>
            <w:r w:rsidRPr="009139B3">
              <w:rPr>
                <w:sz w:val="20"/>
              </w:rPr>
              <w:t>FTE time</w:t>
            </w:r>
          </w:p>
          <w:p w:rsidRPr="009139B3" w:rsidR="004C63E5" w:rsidP="004C63E5" w:rsidRDefault="004C63E5" w14:paraId="2204B74B" w14:textId="77777777">
            <w:pPr>
              <w:pStyle w:val="ListParagraph"/>
              <w:numPr>
                <w:ilvl w:val="0"/>
                <w:numId w:val="22"/>
              </w:numPr>
              <w:spacing w:after="0" w:line="240" w:lineRule="auto"/>
              <w:ind w:left="256" w:hanging="180"/>
              <w:contextualSpacing w:val="0"/>
              <w:rPr>
                <w:sz w:val="20"/>
              </w:rPr>
            </w:pPr>
            <w:r w:rsidRPr="009139B3">
              <w:rPr>
                <w:sz w:val="20"/>
              </w:rPr>
              <w:t>Operational expenses (such as equipment, overhead, printing, and staff support)</w:t>
            </w:r>
          </w:p>
          <w:p w:rsidRPr="009139B3" w:rsidR="004C63E5" w:rsidP="004C63E5" w:rsidRDefault="004C63E5" w14:paraId="29F88188" w14:textId="77777777">
            <w:pPr>
              <w:pStyle w:val="ListParagraph"/>
              <w:numPr>
                <w:ilvl w:val="0"/>
                <w:numId w:val="22"/>
              </w:numPr>
              <w:spacing w:after="0" w:line="240" w:lineRule="auto"/>
              <w:ind w:left="256" w:hanging="180"/>
              <w:contextualSpacing w:val="0"/>
              <w:rPr>
                <w:sz w:val="20"/>
              </w:rPr>
            </w:pPr>
            <w:r w:rsidRPr="009139B3">
              <w:rPr>
                <w:sz w:val="20"/>
              </w:rPr>
              <w:t>Other expenses which would not have been incurred without this collection of information</w:t>
            </w:r>
          </w:p>
        </w:tc>
        <w:tc>
          <w:tcPr>
            <w:tcW w:w="1710" w:type="dxa"/>
            <w:tcBorders>
              <w:top w:val="nil"/>
              <w:left w:val="nil"/>
              <w:bottom w:val="single" w:color="auto" w:sz="4" w:space="0"/>
              <w:right w:val="single" w:color="auto" w:sz="8" w:space="0"/>
            </w:tcBorders>
            <w:vAlign w:val="center"/>
            <w:hideMark/>
          </w:tcPr>
          <w:p w:rsidRPr="004C63E5" w:rsidR="004C63E5" w:rsidP="004C63E5" w:rsidRDefault="004C63E5" w14:paraId="3D8DFB40" w14:textId="51748767">
            <w:pPr>
              <w:spacing w:after="0"/>
              <w:jc w:val="center"/>
              <w:rPr>
                <w:sz w:val="20"/>
              </w:rPr>
            </w:pPr>
            <w:r w:rsidRPr="009F49E0">
              <w:rPr>
                <w:sz w:val="20"/>
                <w:szCs w:val="20"/>
              </w:rPr>
              <w:t>$306,000</w:t>
            </w:r>
          </w:p>
        </w:tc>
      </w:tr>
      <w:tr w:rsidRPr="009139B3" w:rsidR="004C63E5" w:rsidTr="009F49E0" w14:paraId="1751DF55" w14:textId="77777777">
        <w:tc>
          <w:tcPr>
            <w:tcW w:w="71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4C63E5" w:rsidP="004C63E5" w:rsidRDefault="004C63E5" w14:paraId="2FDB05A7" w14:textId="77777777">
            <w:pPr>
              <w:spacing w:after="0"/>
              <w:jc w:val="right"/>
              <w:rPr>
                <w:b/>
                <w:sz w:val="20"/>
              </w:rPr>
            </w:pPr>
            <w:r w:rsidRPr="009139B3">
              <w:rPr>
                <w:b/>
                <w:color w:val="000000"/>
                <w:sz w:val="20"/>
              </w:rPr>
              <w:t>Total costs over the request period</w:t>
            </w:r>
          </w:p>
        </w:tc>
        <w:tc>
          <w:tcPr>
            <w:tcW w:w="1710" w:type="dxa"/>
            <w:tcBorders>
              <w:top w:val="single" w:color="auto" w:sz="4" w:space="0"/>
              <w:left w:val="single" w:color="auto" w:sz="4" w:space="0"/>
              <w:bottom w:val="single" w:color="auto" w:sz="4" w:space="0"/>
              <w:right w:val="single" w:color="auto" w:sz="4" w:space="0"/>
            </w:tcBorders>
            <w:hideMark/>
          </w:tcPr>
          <w:p w:rsidRPr="009F49E0" w:rsidR="004C63E5" w:rsidP="004C63E5" w:rsidRDefault="004C63E5" w14:paraId="0074AE5D" w14:textId="0585C5A6">
            <w:pPr>
              <w:spacing w:after="0"/>
              <w:jc w:val="center"/>
              <w:rPr>
                <w:sz w:val="20"/>
                <w:szCs w:val="20"/>
              </w:rPr>
            </w:pPr>
            <w:r w:rsidRPr="009F49E0">
              <w:rPr>
                <w:sz w:val="20"/>
                <w:szCs w:val="20"/>
              </w:rPr>
              <w:t>$</w:t>
            </w:r>
            <w:r w:rsidR="009D4F2C">
              <w:rPr>
                <w:sz w:val="20"/>
                <w:szCs w:val="20"/>
              </w:rPr>
              <w:t>477</w:t>
            </w:r>
            <w:r w:rsidRPr="009F49E0">
              <w:rPr>
                <w:sz w:val="20"/>
                <w:szCs w:val="20"/>
              </w:rPr>
              <w:t>,000</w:t>
            </w:r>
          </w:p>
        </w:tc>
      </w:tr>
      <w:tr w:rsidRPr="009139B3" w:rsidR="004C63E5" w:rsidTr="009F49E0" w14:paraId="7F9A6E71" w14:textId="77777777">
        <w:tc>
          <w:tcPr>
            <w:tcW w:w="71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4C63E5" w:rsidP="004C63E5" w:rsidRDefault="004C63E5" w14:paraId="3AF1868A" w14:textId="77777777">
            <w:pPr>
              <w:spacing w:after="0"/>
              <w:jc w:val="right"/>
              <w:rPr>
                <w:b/>
                <w:color w:val="000000"/>
                <w:sz w:val="20"/>
              </w:rPr>
            </w:pPr>
            <w:r w:rsidRPr="009139B3">
              <w:rPr>
                <w:b/>
                <w:color w:val="000000"/>
                <w:sz w:val="20"/>
              </w:rPr>
              <w:t>Annual costs</w:t>
            </w:r>
          </w:p>
        </w:tc>
        <w:tc>
          <w:tcPr>
            <w:tcW w:w="1710" w:type="dxa"/>
            <w:tcBorders>
              <w:top w:val="single" w:color="auto" w:sz="4" w:space="0"/>
              <w:left w:val="single" w:color="auto" w:sz="4" w:space="0"/>
              <w:bottom w:val="single" w:color="auto" w:sz="4" w:space="0"/>
              <w:right w:val="single" w:color="auto" w:sz="4" w:space="0"/>
            </w:tcBorders>
          </w:tcPr>
          <w:p w:rsidRPr="009F49E0" w:rsidR="004C63E5" w:rsidP="004C63E5" w:rsidRDefault="004C63E5" w14:paraId="5EC3261F" w14:textId="1DE28C6D">
            <w:pPr>
              <w:spacing w:after="0"/>
              <w:jc w:val="center"/>
              <w:rPr>
                <w:sz w:val="20"/>
                <w:szCs w:val="20"/>
              </w:rPr>
            </w:pPr>
            <w:r w:rsidRPr="009F49E0">
              <w:rPr>
                <w:sz w:val="20"/>
                <w:szCs w:val="20"/>
              </w:rPr>
              <w:t>$</w:t>
            </w:r>
            <w:r w:rsidR="009D4F2C">
              <w:rPr>
                <w:sz w:val="20"/>
                <w:szCs w:val="20"/>
              </w:rPr>
              <w:t>238,500</w:t>
            </w:r>
          </w:p>
        </w:tc>
      </w:tr>
    </w:tbl>
    <w:p w:rsidRPr="009139B3" w:rsidR="001D1C73" w:rsidP="001D1C73" w:rsidRDefault="001D1C73" w14:paraId="628BD691"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A8415A" w:rsidRDefault="00EB7291" w14:paraId="766F8004" w14:textId="61DF5866">
      <w:pPr>
        <w:spacing w:after="120" w:line="240" w:lineRule="auto"/>
        <w:rPr>
          <w:rFonts w:cstheme="minorHAnsi"/>
        </w:rPr>
      </w:pPr>
      <w:r>
        <w:rPr>
          <w:rFonts w:cstheme="minorHAnsi"/>
        </w:rPr>
        <w:t>This is a new information collection request.</w:t>
      </w: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C67074" w:rsidP="00A8415A" w:rsidRDefault="00C67074" w14:paraId="7066A411" w14:textId="7432ED46">
      <w:pPr>
        <w:spacing w:after="120" w:line="240" w:lineRule="auto"/>
        <w:rPr>
          <w:rFonts w:cstheme="minorHAnsi"/>
        </w:rPr>
      </w:pPr>
      <w:r>
        <w:rPr>
          <w:rFonts w:cstheme="minorHAnsi"/>
        </w:rPr>
        <w:t xml:space="preserve">The request for approval is for </w:t>
      </w:r>
      <w:r w:rsidR="003652E2">
        <w:rPr>
          <w:rFonts w:cstheme="minorHAnsi"/>
        </w:rPr>
        <w:t>two years</w:t>
      </w:r>
      <w:r>
        <w:rPr>
          <w:rFonts w:cstheme="minorHAnsi"/>
        </w:rPr>
        <w:t xml:space="preserve">, which will cover the total period of the study. Data collection will begin after OMB approval and continue for 16 months. Preliminary analysis of data will begin 3 months after data collection begins. </w:t>
      </w:r>
      <w:r w:rsidR="00511E79">
        <w:rPr>
          <w:rFonts w:cstheme="minorHAnsi"/>
        </w:rPr>
        <w:t xml:space="preserve">A </w:t>
      </w:r>
      <w:r w:rsidR="003401DC">
        <w:rPr>
          <w:rFonts w:cstheme="minorHAnsi"/>
        </w:rPr>
        <w:t>series of three briefs, a technical report, and an infographic</w:t>
      </w:r>
      <w:r>
        <w:rPr>
          <w:rFonts w:cstheme="minorHAnsi"/>
        </w:rPr>
        <w:t xml:space="preserve"> </w:t>
      </w:r>
      <w:r w:rsidR="00511E79">
        <w:rPr>
          <w:rFonts w:cstheme="minorHAnsi"/>
        </w:rPr>
        <w:t xml:space="preserve">will be completed approximately </w:t>
      </w:r>
      <w:r w:rsidR="00B7086F">
        <w:rPr>
          <w:rFonts w:cstheme="minorHAnsi"/>
        </w:rPr>
        <w:t>six months after completing data collection.</w:t>
      </w:r>
    </w:p>
    <w:p w:rsidR="00B7086F" w:rsidP="00A8415A" w:rsidRDefault="00B7086F" w14:paraId="1A60B01D" w14:textId="3376E937">
      <w:pPr>
        <w:spacing w:after="120" w:line="240" w:lineRule="auto"/>
        <w:rPr>
          <w:rFonts w:cstheme="minorHAnsi"/>
        </w:rPr>
      </w:pPr>
      <w:r>
        <w:rPr>
          <w:rFonts w:cstheme="minorHAnsi"/>
        </w:rPr>
        <w:t xml:space="preserve">Table </w:t>
      </w:r>
      <w:r w:rsidR="000909D6">
        <w:rPr>
          <w:rFonts w:cstheme="minorHAnsi"/>
        </w:rPr>
        <w:t>4</w:t>
      </w:r>
      <w:r>
        <w:rPr>
          <w:rFonts w:cstheme="minorHAnsi"/>
        </w:rPr>
        <w:t xml:space="preserve"> outlines the key time points for the study and for information collection, analysis, and reporting.</w:t>
      </w:r>
    </w:p>
    <w:p w:rsidRPr="00B7086F" w:rsidR="00567C65" w:rsidP="00567C65" w:rsidRDefault="00B7086F" w14:paraId="149E6B22" w14:textId="6EB03554">
      <w:pPr>
        <w:spacing w:after="0" w:line="240" w:lineRule="auto"/>
        <w:rPr>
          <w:rFonts w:cstheme="minorHAnsi"/>
          <w:b/>
          <w:bCs/>
        </w:rPr>
      </w:pPr>
      <w:r w:rsidRPr="00B7086F">
        <w:rPr>
          <w:rFonts w:cstheme="minorHAnsi"/>
          <w:b/>
          <w:bCs/>
        </w:rPr>
        <w:t xml:space="preserve">Table </w:t>
      </w:r>
      <w:r w:rsidR="000909D6">
        <w:rPr>
          <w:rFonts w:cstheme="minorHAnsi"/>
          <w:b/>
          <w:bCs/>
        </w:rPr>
        <w:t>4</w:t>
      </w:r>
      <w:r w:rsidRPr="00B7086F">
        <w:rPr>
          <w:rFonts w:cstheme="minorHAnsi"/>
          <w:b/>
          <w:bCs/>
        </w:rPr>
        <w:t>. Plan and Time Schedule for Information Collection, Tabulation, and Publication</w:t>
      </w:r>
    </w:p>
    <w:tbl>
      <w:tblPr>
        <w:tblStyle w:val="TableGrid"/>
        <w:tblW w:w="9445" w:type="dxa"/>
        <w:tblInd w:w="0" w:type="dxa"/>
        <w:tblLook w:val="04A0" w:firstRow="1" w:lastRow="0" w:firstColumn="1" w:lastColumn="0" w:noHBand="0" w:noVBand="1"/>
      </w:tblPr>
      <w:tblGrid>
        <w:gridCol w:w="2582"/>
        <w:gridCol w:w="837"/>
        <w:gridCol w:w="875"/>
        <w:gridCol w:w="837"/>
        <w:gridCol w:w="873"/>
        <w:gridCol w:w="837"/>
        <w:gridCol w:w="897"/>
        <w:gridCol w:w="870"/>
        <w:gridCol w:w="837"/>
      </w:tblGrid>
      <w:tr w:rsidRPr="00B7086F" w:rsidR="009E3750" w:rsidTr="00226A1B" w14:paraId="74E810CD" w14:textId="77777777">
        <w:tc>
          <w:tcPr>
            <w:tcW w:w="2605" w:type="dxa"/>
          </w:tcPr>
          <w:p w:rsidRPr="00B7086F" w:rsidR="00D53CF7" w:rsidP="00567C65" w:rsidRDefault="00D53CF7" w14:paraId="1EA7E3CE" w14:textId="740A2B90">
            <w:pPr>
              <w:rPr>
                <w:rFonts w:asciiTheme="minorHAnsi" w:hAnsiTheme="minorHAnsi" w:cstheme="minorHAnsi"/>
              </w:rPr>
            </w:pPr>
            <w:r w:rsidRPr="00B7086F">
              <w:rPr>
                <w:rFonts w:asciiTheme="minorHAnsi" w:hAnsiTheme="minorHAnsi" w:cstheme="minorHAnsi"/>
              </w:rPr>
              <w:t>Time after OMB approval</w:t>
            </w:r>
          </w:p>
        </w:tc>
        <w:tc>
          <w:tcPr>
            <w:tcW w:w="810" w:type="dxa"/>
          </w:tcPr>
          <w:p w:rsidRPr="00B7086F" w:rsidR="00D53CF7" w:rsidP="00567C65" w:rsidRDefault="00D53CF7" w14:paraId="29DB2796" w14:textId="60C584A6">
            <w:pPr>
              <w:rPr>
                <w:rFonts w:asciiTheme="minorHAnsi" w:hAnsiTheme="minorHAnsi" w:cstheme="minorHAnsi"/>
              </w:rPr>
            </w:pPr>
            <w:r w:rsidRPr="00B7086F">
              <w:rPr>
                <w:rFonts w:asciiTheme="minorHAnsi" w:hAnsiTheme="minorHAnsi" w:cstheme="minorHAnsi"/>
              </w:rPr>
              <w:t>1-3 months</w:t>
            </w:r>
          </w:p>
        </w:tc>
        <w:tc>
          <w:tcPr>
            <w:tcW w:w="876" w:type="dxa"/>
          </w:tcPr>
          <w:p w:rsidRPr="00B7086F" w:rsidR="00D53CF7" w:rsidP="00567C65" w:rsidRDefault="00D53CF7" w14:paraId="578A5F7C" w14:textId="10ECE738">
            <w:pPr>
              <w:rPr>
                <w:rFonts w:asciiTheme="minorHAnsi" w:hAnsiTheme="minorHAnsi" w:cstheme="minorHAnsi"/>
              </w:rPr>
            </w:pPr>
            <w:r w:rsidRPr="00B7086F">
              <w:rPr>
                <w:rFonts w:asciiTheme="minorHAnsi" w:hAnsiTheme="minorHAnsi" w:cstheme="minorHAnsi"/>
              </w:rPr>
              <w:t>4-6 months</w:t>
            </w:r>
          </w:p>
        </w:tc>
        <w:tc>
          <w:tcPr>
            <w:tcW w:w="837" w:type="dxa"/>
          </w:tcPr>
          <w:p w:rsidRPr="00B7086F" w:rsidR="00D53CF7" w:rsidP="00567C65" w:rsidRDefault="00D53CF7" w14:paraId="727E0883" w14:textId="77BC0366">
            <w:pPr>
              <w:rPr>
                <w:rFonts w:asciiTheme="minorHAnsi" w:hAnsiTheme="minorHAnsi" w:cstheme="minorHAnsi"/>
              </w:rPr>
            </w:pPr>
            <w:r w:rsidRPr="00B7086F">
              <w:rPr>
                <w:rFonts w:asciiTheme="minorHAnsi" w:hAnsiTheme="minorHAnsi" w:cstheme="minorHAnsi"/>
              </w:rPr>
              <w:t>7-9 months</w:t>
            </w:r>
          </w:p>
        </w:tc>
        <w:tc>
          <w:tcPr>
            <w:tcW w:w="874" w:type="dxa"/>
          </w:tcPr>
          <w:p w:rsidRPr="00B7086F" w:rsidR="00D53CF7" w:rsidP="00567C65" w:rsidRDefault="00D53CF7" w14:paraId="68197C14" w14:textId="4D11392E">
            <w:pPr>
              <w:rPr>
                <w:rFonts w:asciiTheme="minorHAnsi" w:hAnsiTheme="minorHAnsi" w:cstheme="minorHAnsi"/>
              </w:rPr>
            </w:pPr>
            <w:r w:rsidRPr="00B7086F">
              <w:rPr>
                <w:rFonts w:asciiTheme="minorHAnsi" w:hAnsiTheme="minorHAnsi" w:cstheme="minorHAnsi"/>
              </w:rPr>
              <w:t>10-13 months</w:t>
            </w:r>
          </w:p>
        </w:tc>
        <w:tc>
          <w:tcPr>
            <w:tcW w:w="837" w:type="dxa"/>
          </w:tcPr>
          <w:p w:rsidRPr="00B7086F" w:rsidR="00D53CF7" w:rsidP="00567C65" w:rsidRDefault="00D53CF7" w14:paraId="34B9FA16" w14:textId="41A12B83">
            <w:pPr>
              <w:rPr>
                <w:rFonts w:asciiTheme="minorHAnsi" w:hAnsiTheme="minorHAnsi" w:cstheme="minorHAnsi"/>
              </w:rPr>
            </w:pPr>
            <w:r w:rsidRPr="00B7086F">
              <w:rPr>
                <w:rFonts w:asciiTheme="minorHAnsi" w:hAnsiTheme="minorHAnsi" w:cstheme="minorHAnsi"/>
              </w:rPr>
              <w:t>14-16 months</w:t>
            </w:r>
          </w:p>
        </w:tc>
        <w:tc>
          <w:tcPr>
            <w:tcW w:w="898" w:type="dxa"/>
          </w:tcPr>
          <w:p w:rsidRPr="00B7086F" w:rsidR="00D53CF7" w:rsidP="00567C65" w:rsidRDefault="00D53CF7" w14:paraId="5DBBEA45" w14:textId="0F8274D0">
            <w:pPr>
              <w:rPr>
                <w:rFonts w:asciiTheme="minorHAnsi" w:hAnsiTheme="minorHAnsi" w:cstheme="minorHAnsi"/>
              </w:rPr>
            </w:pPr>
            <w:r w:rsidRPr="00B7086F">
              <w:rPr>
                <w:rFonts w:asciiTheme="minorHAnsi" w:hAnsiTheme="minorHAnsi" w:cstheme="minorHAnsi"/>
              </w:rPr>
              <w:t>17-19 months</w:t>
            </w:r>
          </w:p>
        </w:tc>
        <w:tc>
          <w:tcPr>
            <w:tcW w:w="871" w:type="dxa"/>
          </w:tcPr>
          <w:p w:rsidRPr="00B7086F" w:rsidR="00D53CF7" w:rsidP="00567C65" w:rsidRDefault="00D53CF7" w14:paraId="0D172F76" w14:textId="350CF9F9">
            <w:pPr>
              <w:rPr>
                <w:rFonts w:asciiTheme="minorHAnsi" w:hAnsiTheme="minorHAnsi" w:cstheme="minorHAnsi"/>
              </w:rPr>
            </w:pPr>
            <w:r w:rsidRPr="00B7086F">
              <w:rPr>
                <w:rFonts w:asciiTheme="minorHAnsi" w:hAnsiTheme="minorHAnsi" w:cstheme="minorHAnsi"/>
              </w:rPr>
              <w:t>20-23 months</w:t>
            </w:r>
          </w:p>
        </w:tc>
        <w:tc>
          <w:tcPr>
            <w:tcW w:w="837" w:type="dxa"/>
          </w:tcPr>
          <w:p w:rsidRPr="00B7086F" w:rsidR="00D53CF7" w:rsidP="00567C65" w:rsidRDefault="00D53CF7" w14:paraId="7011C60F" w14:textId="36AE5560">
            <w:pPr>
              <w:rPr>
                <w:rFonts w:asciiTheme="minorHAnsi" w:hAnsiTheme="minorHAnsi" w:cstheme="minorHAnsi"/>
              </w:rPr>
            </w:pPr>
            <w:r w:rsidRPr="00B7086F">
              <w:rPr>
                <w:rFonts w:asciiTheme="minorHAnsi" w:hAnsiTheme="minorHAnsi" w:cstheme="minorHAnsi"/>
              </w:rPr>
              <w:t>23-26 months</w:t>
            </w:r>
          </w:p>
        </w:tc>
      </w:tr>
      <w:tr w:rsidRPr="00B7086F" w:rsidR="009E3750" w:rsidTr="00226A1B" w14:paraId="2EBB54D4" w14:textId="77777777">
        <w:tc>
          <w:tcPr>
            <w:tcW w:w="2605" w:type="dxa"/>
          </w:tcPr>
          <w:p w:rsidRPr="00B7086F" w:rsidR="00D53CF7" w:rsidP="00567C65" w:rsidRDefault="00B7086F" w14:paraId="05D98349" w14:textId="72A0BA21">
            <w:pPr>
              <w:rPr>
                <w:rFonts w:asciiTheme="minorHAnsi" w:hAnsiTheme="minorHAnsi" w:cstheme="minorHAnsi"/>
              </w:rPr>
            </w:pPr>
            <w:r w:rsidRPr="00B7086F">
              <w:rPr>
                <w:rFonts w:asciiTheme="minorHAnsi" w:hAnsiTheme="minorHAnsi" w:cstheme="minorHAnsi"/>
              </w:rPr>
              <w:t>Data collection: Initial Survey</w:t>
            </w:r>
          </w:p>
        </w:tc>
        <w:tc>
          <w:tcPr>
            <w:tcW w:w="810" w:type="dxa"/>
          </w:tcPr>
          <w:p w:rsidRPr="00B7086F" w:rsidR="00D53CF7" w:rsidP="00D53CF7" w:rsidRDefault="00D53CF7" w14:paraId="048E2FE9" w14:textId="5C2DEBEB">
            <w:pPr>
              <w:jc w:val="center"/>
              <w:rPr>
                <w:rFonts w:asciiTheme="minorHAnsi" w:hAnsiTheme="minorHAnsi" w:cstheme="minorHAnsi"/>
              </w:rPr>
            </w:pPr>
            <w:r w:rsidRPr="00B7086F">
              <w:rPr>
                <w:rFonts w:asciiTheme="minorHAnsi" w:hAnsiTheme="minorHAnsi" w:cstheme="minorHAnsi"/>
              </w:rPr>
              <w:t>X</w:t>
            </w:r>
          </w:p>
        </w:tc>
        <w:tc>
          <w:tcPr>
            <w:tcW w:w="876" w:type="dxa"/>
          </w:tcPr>
          <w:p w:rsidRPr="00B7086F" w:rsidR="00D53CF7" w:rsidP="00D53CF7" w:rsidRDefault="00D53CF7" w14:paraId="5DD0AD73" w14:textId="487F7A00">
            <w:pPr>
              <w:jc w:val="center"/>
              <w:rPr>
                <w:rFonts w:asciiTheme="minorHAnsi" w:hAnsiTheme="minorHAnsi" w:cstheme="minorHAnsi"/>
              </w:rPr>
            </w:pPr>
          </w:p>
        </w:tc>
        <w:tc>
          <w:tcPr>
            <w:tcW w:w="837" w:type="dxa"/>
          </w:tcPr>
          <w:p w:rsidRPr="00B7086F" w:rsidR="00D53CF7" w:rsidP="00D53CF7" w:rsidRDefault="00D53CF7" w14:paraId="299AEA46" w14:textId="77777777">
            <w:pPr>
              <w:jc w:val="center"/>
              <w:rPr>
                <w:rFonts w:asciiTheme="minorHAnsi" w:hAnsiTheme="minorHAnsi" w:cstheme="minorHAnsi"/>
              </w:rPr>
            </w:pPr>
          </w:p>
        </w:tc>
        <w:tc>
          <w:tcPr>
            <w:tcW w:w="874" w:type="dxa"/>
          </w:tcPr>
          <w:p w:rsidRPr="00B7086F" w:rsidR="00D53CF7" w:rsidP="00D53CF7" w:rsidRDefault="00D53CF7" w14:paraId="371A3C92" w14:textId="77777777">
            <w:pPr>
              <w:jc w:val="center"/>
              <w:rPr>
                <w:rFonts w:asciiTheme="minorHAnsi" w:hAnsiTheme="minorHAnsi" w:cstheme="minorHAnsi"/>
              </w:rPr>
            </w:pPr>
          </w:p>
        </w:tc>
        <w:tc>
          <w:tcPr>
            <w:tcW w:w="837" w:type="dxa"/>
          </w:tcPr>
          <w:p w:rsidRPr="00B7086F" w:rsidR="00D53CF7" w:rsidP="00D53CF7" w:rsidRDefault="00D53CF7" w14:paraId="04928F46" w14:textId="77777777">
            <w:pPr>
              <w:jc w:val="center"/>
              <w:rPr>
                <w:rFonts w:asciiTheme="minorHAnsi" w:hAnsiTheme="minorHAnsi" w:cstheme="minorHAnsi"/>
              </w:rPr>
            </w:pPr>
          </w:p>
        </w:tc>
        <w:tc>
          <w:tcPr>
            <w:tcW w:w="898" w:type="dxa"/>
          </w:tcPr>
          <w:p w:rsidRPr="00B7086F" w:rsidR="00D53CF7" w:rsidP="00D53CF7" w:rsidRDefault="00D53CF7" w14:paraId="058F28EE" w14:textId="77777777">
            <w:pPr>
              <w:jc w:val="center"/>
              <w:rPr>
                <w:rFonts w:asciiTheme="minorHAnsi" w:hAnsiTheme="minorHAnsi" w:cstheme="minorHAnsi"/>
              </w:rPr>
            </w:pPr>
          </w:p>
        </w:tc>
        <w:tc>
          <w:tcPr>
            <w:tcW w:w="871" w:type="dxa"/>
          </w:tcPr>
          <w:p w:rsidRPr="00B7086F" w:rsidR="00D53CF7" w:rsidP="00D53CF7" w:rsidRDefault="00D53CF7" w14:paraId="6021E449" w14:textId="77777777">
            <w:pPr>
              <w:jc w:val="center"/>
              <w:rPr>
                <w:rFonts w:asciiTheme="minorHAnsi" w:hAnsiTheme="minorHAnsi" w:cstheme="minorHAnsi"/>
              </w:rPr>
            </w:pPr>
          </w:p>
        </w:tc>
        <w:tc>
          <w:tcPr>
            <w:tcW w:w="837" w:type="dxa"/>
          </w:tcPr>
          <w:p w:rsidRPr="00B7086F" w:rsidR="00D53CF7" w:rsidP="00D53CF7" w:rsidRDefault="00D53CF7" w14:paraId="1B372CB8" w14:textId="77777777">
            <w:pPr>
              <w:jc w:val="center"/>
              <w:rPr>
                <w:rFonts w:asciiTheme="minorHAnsi" w:hAnsiTheme="minorHAnsi" w:cstheme="minorHAnsi"/>
              </w:rPr>
            </w:pPr>
          </w:p>
        </w:tc>
      </w:tr>
      <w:tr w:rsidRPr="00B7086F" w:rsidR="009E3750" w:rsidTr="00226A1B" w14:paraId="5869E4C5" w14:textId="77777777">
        <w:tc>
          <w:tcPr>
            <w:tcW w:w="2605" w:type="dxa"/>
          </w:tcPr>
          <w:p w:rsidRPr="00B7086F" w:rsidR="00D53CF7" w:rsidP="00567C65" w:rsidRDefault="00B7086F" w14:paraId="63B21584" w14:textId="63D4E376">
            <w:pPr>
              <w:rPr>
                <w:rFonts w:asciiTheme="minorHAnsi" w:hAnsiTheme="minorHAnsi" w:cstheme="minorHAnsi"/>
              </w:rPr>
            </w:pPr>
            <w:r w:rsidRPr="00B7086F">
              <w:rPr>
                <w:rFonts w:asciiTheme="minorHAnsi" w:hAnsiTheme="minorHAnsi" w:cstheme="minorHAnsi"/>
              </w:rPr>
              <w:t>Data collection: Connected Data Survey</w:t>
            </w:r>
          </w:p>
        </w:tc>
        <w:tc>
          <w:tcPr>
            <w:tcW w:w="810" w:type="dxa"/>
          </w:tcPr>
          <w:p w:rsidRPr="00B7086F" w:rsidR="00D53CF7" w:rsidP="00D53CF7" w:rsidRDefault="00D53CF7" w14:paraId="41F05440" w14:textId="77777777">
            <w:pPr>
              <w:jc w:val="center"/>
              <w:rPr>
                <w:rFonts w:asciiTheme="minorHAnsi" w:hAnsiTheme="minorHAnsi" w:cstheme="minorHAnsi"/>
              </w:rPr>
            </w:pPr>
          </w:p>
        </w:tc>
        <w:tc>
          <w:tcPr>
            <w:tcW w:w="876" w:type="dxa"/>
          </w:tcPr>
          <w:p w:rsidRPr="00B7086F" w:rsidR="00D53CF7" w:rsidP="00D53CF7" w:rsidRDefault="00D53CF7" w14:paraId="3BDCF949" w14:textId="5D78320E">
            <w:pPr>
              <w:jc w:val="center"/>
              <w:rPr>
                <w:rFonts w:asciiTheme="minorHAnsi" w:hAnsiTheme="minorHAnsi" w:cstheme="minorHAnsi"/>
              </w:rPr>
            </w:pPr>
            <w:r w:rsidRPr="00B7086F">
              <w:rPr>
                <w:rFonts w:asciiTheme="minorHAnsi" w:hAnsiTheme="minorHAnsi" w:cstheme="minorHAnsi"/>
              </w:rPr>
              <w:t>X</w:t>
            </w:r>
          </w:p>
        </w:tc>
        <w:tc>
          <w:tcPr>
            <w:tcW w:w="837" w:type="dxa"/>
          </w:tcPr>
          <w:p w:rsidRPr="00B7086F" w:rsidR="00D53CF7" w:rsidP="00D53CF7" w:rsidRDefault="00D53CF7" w14:paraId="27543DC9" w14:textId="77777777">
            <w:pPr>
              <w:jc w:val="center"/>
              <w:rPr>
                <w:rFonts w:asciiTheme="minorHAnsi" w:hAnsiTheme="minorHAnsi" w:cstheme="minorHAnsi"/>
              </w:rPr>
            </w:pPr>
          </w:p>
        </w:tc>
        <w:tc>
          <w:tcPr>
            <w:tcW w:w="874" w:type="dxa"/>
          </w:tcPr>
          <w:p w:rsidRPr="00B7086F" w:rsidR="00D53CF7" w:rsidP="00D53CF7" w:rsidRDefault="00D53CF7" w14:paraId="65D320CF" w14:textId="77777777">
            <w:pPr>
              <w:jc w:val="center"/>
              <w:rPr>
                <w:rFonts w:asciiTheme="minorHAnsi" w:hAnsiTheme="minorHAnsi" w:cstheme="minorHAnsi"/>
              </w:rPr>
            </w:pPr>
          </w:p>
        </w:tc>
        <w:tc>
          <w:tcPr>
            <w:tcW w:w="837" w:type="dxa"/>
          </w:tcPr>
          <w:p w:rsidRPr="00B7086F" w:rsidR="00D53CF7" w:rsidP="00D53CF7" w:rsidRDefault="00D53CF7" w14:paraId="6F9E8867" w14:textId="77777777">
            <w:pPr>
              <w:jc w:val="center"/>
              <w:rPr>
                <w:rFonts w:asciiTheme="minorHAnsi" w:hAnsiTheme="minorHAnsi" w:cstheme="minorHAnsi"/>
              </w:rPr>
            </w:pPr>
          </w:p>
        </w:tc>
        <w:tc>
          <w:tcPr>
            <w:tcW w:w="898" w:type="dxa"/>
          </w:tcPr>
          <w:p w:rsidRPr="00B7086F" w:rsidR="00D53CF7" w:rsidP="00D53CF7" w:rsidRDefault="00D53CF7" w14:paraId="2FE3C424" w14:textId="77777777">
            <w:pPr>
              <w:jc w:val="center"/>
              <w:rPr>
                <w:rFonts w:asciiTheme="minorHAnsi" w:hAnsiTheme="minorHAnsi" w:cstheme="minorHAnsi"/>
              </w:rPr>
            </w:pPr>
          </w:p>
        </w:tc>
        <w:tc>
          <w:tcPr>
            <w:tcW w:w="871" w:type="dxa"/>
          </w:tcPr>
          <w:p w:rsidRPr="00B7086F" w:rsidR="00D53CF7" w:rsidP="00D53CF7" w:rsidRDefault="00D53CF7" w14:paraId="4FE86222" w14:textId="77777777">
            <w:pPr>
              <w:jc w:val="center"/>
              <w:rPr>
                <w:rFonts w:asciiTheme="minorHAnsi" w:hAnsiTheme="minorHAnsi" w:cstheme="minorHAnsi"/>
              </w:rPr>
            </w:pPr>
          </w:p>
        </w:tc>
        <w:tc>
          <w:tcPr>
            <w:tcW w:w="837" w:type="dxa"/>
          </w:tcPr>
          <w:p w:rsidRPr="00B7086F" w:rsidR="00D53CF7" w:rsidP="00D53CF7" w:rsidRDefault="00D53CF7" w14:paraId="06E69EE1" w14:textId="77777777">
            <w:pPr>
              <w:jc w:val="center"/>
              <w:rPr>
                <w:rFonts w:asciiTheme="minorHAnsi" w:hAnsiTheme="minorHAnsi" w:cstheme="minorHAnsi"/>
              </w:rPr>
            </w:pPr>
          </w:p>
        </w:tc>
      </w:tr>
      <w:tr w:rsidRPr="00B7086F" w:rsidR="009E3750" w:rsidTr="00226A1B" w14:paraId="102655A1" w14:textId="77777777">
        <w:tc>
          <w:tcPr>
            <w:tcW w:w="2605" w:type="dxa"/>
          </w:tcPr>
          <w:p w:rsidRPr="00B7086F" w:rsidR="00D53CF7" w:rsidP="00567C65" w:rsidRDefault="00B7086F" w14:paraId="717A3AE5" w14:textId="0781F0A8">
            <w:pPr>
              <w:rPr>
                <w:rFonts w:asciiTheme="minorHAnsi" w:hAnsiTheme="minorHAnsi" w:cstheme="minorHAnsi"/>
              </w:rPr>
            </w:pPr>
            <w:r w:rsidRPr="00B7086F">
              <w:rPr>
                <w:rFonts w:asciiTheme="minorHAnsi" w:hAnsiTheme="minorHAnsi" w:cstheme="minorHAnsi"/>
              </w:rPr>
              <w:t>Data collection: Interview Guide</w:t>
            </w:r>
          </w:p>
        </w:tc>
        <w:tc>
          <w:tcPr>
            <w:tcW w:w="810" w:type="dxa"/>
          </w:tcPr>
          <w:p w:rsidRPr="00B7086F" w:rsidR="00D53CF7" w:rsidP="00D53CF7" w:rsidRDefault="00D53CF7" w14:paraId="79326184" w14:textId="77777777">
            <w:pPr>
              <w:jc w:val="center"/>
              <w:rPr>
                <w:rFonts w:asciiTheme="minorHAnsi" w:hAnsiTheme="minorHAnsi" w:cstheme="minorHAnsi"/>
              </w:rPr>
            </w:pPr>
          </w:p>
        </w:tc>
        <w:tc>
          <w:tcPr>
            <w:tcW w:w="876" w:type="dxa"/>
          </w:tcPr>
          <w:p w:rsidRPr="00B7086F" w:rsidR="00D53CF7" w:rsidP="00D53CF7" w:rsidRDefault="00D53CF7" w14:paraId="1CD40EC0" w14:textId="77777777">
            <w:pPr>
              <w:jc w:val="center"/>
              <w:rPr>
                <w:rFonts w:asciiTheme="minorHAnsi" w:hAnsiTheme="minorHAnsi" w:cstheme="minorHAnsi"/>
              </w:rPr>
            </w:pPr>
          </w:p>
        </w:tc>
        <w:tc>
          <w:tcPr>
            <w:tcW w:w="837" w:type="dxa"/>
          </w:tcPr>
          <w:p w:rsidRPr="00B7086F" w:rsidR="00D53CF7" w:rsidP="00D53CF7" w:rsidRDefault="00D53CF7" w14:paraId="0E4690BA" w14:textId="77777777">
            <w:pPr>
              <w:jc w:val="center"/>
              <w:rPr>
                <w:rFonts w:asciiTheme="minorHAnsi" w:hAnsiTheme="minorHAnsi" w:cstheme="minorHAnsi"/>
              </w:rPr>
            </w:pPr>
          </w:p>
        </w:tc>
        <w:tc>
          <w:tcPr>
            <w:tcW w:w="874" w:type="dxa"/>
          </w:tcPr>
          <w:p w:rsidRPr="00B7086F" w:rsidR="00D53CF7" w:rsidP="00D53CF7" w:rsidRDefault="00D53CF7" w14:paraId="442AF328" w14:textId="53B90FA1">
            <w:pPr>
              <w:jc w:val="center"/>
              <w:rPr>
                <w:rFonts w:asciiTheme="minorHAnsi" w:hAnsiTheme="minorHAnsi" w:cstheme="minorHAnsi"/>
              </w:rPr>
            </w:pPr>
            <w:r w:rsidRPr="00B7086F">
              <w:rPr>
                <w:rFonts w:asciiTheme="minorHAnsi" w:hAnsiTheme="minorHAnsi" w:cstheme="minorHAnsi"/>
              </w:rPr>
              <w:t>X</w:t>
            </w:r>
          </w:p>
        </w:tc>
        <w:tc>
          <w:tcPr>
            <w:tcW w:w="837" w:type="dxa"/>
          </w:tcPr>
          <w:p w:rsidRPr="00B7086F" w:rsidR="00D53CF7" w:rsidP="00D53CF7" w:rsidRDefault="00D53CF7" w14:paraId="3EBF193A" w14:textId="7D996DD9">
            <w:pPr>
              <w:jc w:val="center"/>
              <w:rPr>
                <w:rFonts w:asciiTheme="minorHAnsi" w:hAnsiTheme="minorHAnsi" w:cstheme="minorHAnsi"/>
              </w:rPr>
            </w:pPr>
            <w:r w:rsidRPr="00B7086F">
              <w:rPr>
                <w:rFonts w:asciiTheme="minorHAnsi" w:hAnsiTheme="minorHAnsi" w:cstheme="minorHAnsi"/>
              </w:rPr>
              <w:t>X</w:t>
            </w:r>
          </w:p>
        </w:tc>
        <w:tc>
          <w:tcPr>
            <w:tcW w:w="898" w:type="dxa"/>
          </w:tcPr>
          <w:p w:rsidRPr="00B7086F" w:rsidR="00D53CF7" w:rsidP="00D53CF7" w:rsidRDefault="00D53CF7" w14:paraId="44379BCA" w14:textId="77777777">
            <w:pPr>
              <w:jc w:val="center"/>
              <w:rPr>
                <w:rFonts w:asciiTheme="minorHAnsi" w:hAnsiTheme="minorHAnsi" w:cstheme="minorHAnsi"/>
              </w:rPr>
            </w:pPr>
          </w:p>
        </w:tc>
        <w:tc>
          <w:tcPr>
            <w:tcW w:w="871" w:type="dxa"/>
          </w:tcPr>
          <w:p w:rsidRPr="00B7086F" w:rsidR="00D53CF7" w:rsidP="00D53CF7" w:rsidRDefault="00D53CF7" w14:paraId="2460666E" w14:textId="77777777">
            <w:pPr>
              <w:jc w:val="center"/>
              <w:rPr>
                <w:rFonts w:asciiTheme="minorHAnsi" w:hAnsiTheme="minorHAnsi" w:cstheme="minorHAnsi"/>
              </w:rPr>
            </w:pPr>
          </w:p>
        </w:tc>
        <w:tc>
          <w:tcPr>
            <w:tcW w:w="837" w:type="dxa"/>
          </w:tcPr>
          <w:p w:rsidRPr="00B7086F" w:rsidR="00D53CF7" w:rsidP="00D53CF7" w:rsidRDefault="00D53CF7" w14:paraId="23D72800" w14:textId="77777777">
            <w:pPr>
              <w:jc w:val="center"/>
              <w:rPr>
                <w:rFonts w:asciiTheme="minorHAnsi" w:hAnsiTheme="minorHAnsi" w:cstheme="minorHAnsi"/>
              </w:rPr>
            </w:pPr>
          </w:p>
        </w:tc>
      </w:tr>
      <w:tr w:rsidRPr="00B7086F" w:rsidR="009E3750" w:rsidTr="00226A1B" w14:paraId="3F9A460E" w14:textId="77777777">
        <w:tc>
          <w:tcPr>
            <w:tcW w:w="2605" w:type="dxa"/>
          </w:tcPr>
          <w:p w:rsidRPr="00B7086F" w:rsidR="00D53CF7" w:rsidP="00567C65" w:rsidRDefault="00D53CF7" w14:paraId="5BA04F59" w14:textId="1305A477">
            <w:pPr>
              <w:rPr>
                <w:rFonts w:asciiTheme="minorHAnsi" w:hAnsiTheme="minorHAnsi" w:cstheme="minorHAnsi"/>
              </w:rPr>
            </w:pPr>
            <w:r w:rsidRPr="00B7086F">
              <w:rPr>
                <w:rFonts w:asciiTheme="minorHAnsi" w:hAnsiTheme="minorHAnsi" w:cstheme="minorHAnsi"/>
              </w:rPr>
              <w:t>Analysis</w:t>
            </w:r>
          </w:p>
        </w:tc>
        <w:tc>
          <w:tcPr>
            <w:tcW w:w="810" w:type="dxa"/>
          </w:tcPr>
          <w:p w:rsidRPr="00B7086F" w:rsidR="00D53CF7" w:rsidP="00D53CF7" w:rsidRDefault="00D53CF7" w14:paraId="3010DDA1" w14:textId="77777777">
            <w:pPr>
              <w:jc w:val="center"/>
              <w:rPr>
                <w:rFonts w:asciiTheme="minorHAnsi" w:hAnsiTheme="minorHAnsi" w:cstheme="minorHAnsi"/>
              </w:rPr>
            </w:pPr>
          </w:p>
        </w:tc>
        <w:tc>
          <w:tcPr>
            <w:tcW w:w="876" w:type="dxa"/>
          </w:tcPr>
          <w:p w:rsidRPr="00B7086F" w:rsidR="00D53CF7" w:rsidP="00D53CF7" w:rsidRDefault="00D53CF7" w14:paraId="12132A3B" w14:textId="68C09034">
            <w:pPr>
              <w:jc w:val="center"/>
              <w:rPr>
                <w:rFonts w:asciiTheme="minorHAnsi" w:hAnsiTheme="minorHAnsi" w:cstheme="minorHAnsi"/>
              </w:rPr>
            </w:pPr>
            <w:r w:rsidRPr="00B7086F">
              <w:rPr>
                <w:rFonts w:asciiTheme="minorHAnsi" w:hAnsiTheme="minorHAnsi" w:cstheme="minorHAnsi"/>
              </w:rPr>
              <w:t>X</w:t>
            </w:r>
          </w:p>
        </w:tc>
        <w:tc>
          <w:tcPr>
            <w:tcW w:w="837" w:type="dxa"/>
          </w:tcPr>
          <w:p w:rsidRPr="00B7086F" w:rsidR="00D53CF7" w:rsidP="00D53CF7" w:rsidRDefault="00D53CF7" w14:paraId="0447CA84" w14:textId="5D812495">
            <w:pPr>
              <w:jc w:val="center"/>
              <w:rPr>
                <w:rFonts w:asciiTheme="minorHAnsi" w:hAnsiTheme="minorHAnsi" w:cstheme="minorHAnsi"/>
              </w:rPr>
            </w:pPr>
            <w:r w:rsidRPr="00B7086F">
              <w:rPr>
                <w:rFonts w:asciiTheme="minorHAnsi" w:hAnsiTheme="minorHAnsi" w:cstheme="minorHAnsi"/>
              </w:rPr>
              <w:t>X</w:t>
            </w:r>
          </w:p>
        </w:tc>
        <w:tc>
          <w:tcPr>
            <w:tcW w:w="874" w:type="dxa"/>
          </w:tcPr>
          <w:p w:rsidRPr="00B7086F" w:rsidR="00D53CF7" w:rsidP="00D53CF7" w:rsidRDefault="00D53CF7" w14:paraId="5130DC74" w14:textId="3E65633D">
            <w:pPr>
              <w:jc w:val="center"/>
              <w:rPr>
                <w:rFonts w:asciiTheme="minorHAnsi" w:hAnsiTheme="minorHAnsi" w:cstheme="minorHAnsi"/>
              </w:rPr>
            </w:pPr>
            <w:r w:rsidRPr="00B7086F">
              <w:rPr>
                <w:rFonts w:asciiTheme="minorHAnsi" w:hAnsiTheme="minorHAnsi" w:cstheme="minorHAnsi"/>
              </w:rPr>
              <w:t>X</w:t>
            </w:r>
          </w:p>
        </w:tc>
        <w:tc>
          <w:tcPr>
            <w:tcW w:w="837" w:type="dxa"/>
          </w:tcPr>
          <w:p w:rsidRPr="00B7086F" w:rsidR="00D53CF7" w:rsidP="00D53CF7" w:rsidRDefault="00D53CF7" w14:paraId="5A863850" w14:textId="529CDF58">
            <w:pPr>
              <w:jc w:val="center"/>
              <w:rPr>
                <w:rFonts w:asciiTheme="minorHAnsi" w:hAnsiTheme="minorHAnsi" w:cstheme="minorHAnsi"/>
              </w:rPr>
            </w:pPr>
            <w:r w:rsidRPr="00B7086F">
              <w:rPr>
                <w:rFonts w:asciiTheme="minorHAnsi" w:hAnsiTheme="minorHAnsi" w:cstheme="minorHAnsi"/>
              </w:rPr>
              <w:t>X</w:t>
            </w:r>
          </w:p>
        </w:tc>
        <w:tc>
          <w:tcPr>
            <w:tcW w:w="898" w:type="dxa"/>
          </w:tcPr>
          <w:p w:rsidRPr="00B7086F" w:rsidR="00D53CF7" w:rsidP="00D53CF7" w:rsidRDefault="00D53CF7" w14:paraId="6A2B3DA9" w14:textId="6731180C">
            <w:pPr>
              <w:jc w:val="center"/>
              <w:rPr>
                <w:rFonts w:asciiTheme="minorHAnsi" w:hAnsiTheme="minorHAnsi" w:cstheme="minorHAnsi"/>
              </w:rPr>
            </w:pPr>
            <w:r w:rsidRPr="00B7086F">
              <w:rPr>
                <w:rFonts w:asciiTheme="minorHAnsi" w:hAnsiTheme="minorHAnsi" w:cstheme="minorHAnsi"/>
              </w:rPr>
              <w:t>X</w:t>
            </w:r>
          </w:p>
        </w:tc>
        <w:tc>
          <w:tcPr>
            <w:tcW w:w="871" w:type="dxa"/>
          </w:tcPr>
          <w:p w:rsidRPr="00B7086F" w:rsidR="00D53CF7" w:rsidP="00D53CF7" w:rsidRDefault="00D53CF7" w14:paraId="17E96C1E" w14:textId="61745F78">
            <w:pPr>
              <w:jc w:val="center"/>
              <w:rPr>
                <w:rFonts w:asciiTheme="minorHAnsi" w:hAnsiTheme="minorHAnsi" w:cstheme="minorHAnsi"/>
              </w:rPr>
            </w:pPr>
            <w:r w:rsidRPr="00B7086F">
              <w:rPr>
                <w:rFonts w:asciiTheme="minorHAnsi" w:hAnsiTheme="minorHAnsi" w:cstheme="minorHAnsi"/>
              </w:rPr>
              <w:t>X</w:t>
            </w:r>
          </w:p>
        </w:tc>
        <w:tc>
          <w:tcPr>
            <w:tcW w:w="837" w:type="dxa"/>
          </w:tcPr>
          <w:p w:rsidRPr="00B7086F" w:rsidR="00D53CF7" w:rsidP="00D53CF7" w:rsidRDefault="00D53CF7" w14:paraId="2BC8560F" w14:textId="77777777">
            <w:pPr>
              <w:jc w:val="center"/>
              <w:rPr>
                <w:rFonts w:asciiTheme="minorHAnsi" w:hAnsiTheme="minorHAnsi" w:cstheme="minorHAnsi"/>
              </w:rPr>
            </w:pPr>
          </w:p>
        </w:tc>
      </w:tr>
      <w:tr w:rsidRPr="00B7086F" w:rsidR="009E3750" w:rsidTr="00226A1B" w14:paraId="65D8BB73" w14:textId="77777777">
        <w:tc>
          <w:tcPr>
            <w:tcW w:w="2605" w:type="dxa"/>
          </w:tcPr>
          <w:p w:rsidRPr="00B7086F" w:rsidR="00D53CF7" w:rsidP="00567C65" w:rsidRDefault="00D53CF7" w14:paraId="29AFBBDC" w14:textId="6151AD0A">
            <w:pPr>
              <w:rPr>
                <w:rFonts w:asciiTheme="minorHAnsi" w:hAnsiTheme="minorHAnsi" w:cstheme="minorHAnsi"/>
              </w:rPr>
            </w:pPr>
            <w:r w:rsidRPr="00B7086F">
              <w:rPr>
                <w:rFonts w:asciiTheme="minorHAnsi" w:hAnsiTheme="minorHAnsi" w:cstheme="minorHAnsi"/>
              </w:rPr>
              <w:t>Final Dissemination</w:t>
            </w:r>
          </w:p>
        </w:tc>
        <w:tc>
          <w:tcPr>
            <w:tcW w:w="810" w:type="dxa"/>
          </w:tcPr>
          <w:p w:rsidRPr="00B7086F" w:rsidR="00D53CF7" w:rsidP="00D53CF7" w:rsidRDefault="00D53CF7" w14:paraId="55C6AD81" w14:textId="77777777">
            <w:pPr>
              <w:jc w:val="center"/>
              <w:rPr>
                <w:rFonts w:asciiTheme="minorHAnsi" w:hAnsiTheme="minorHAnsi" w:cstheme="minorHAnsi"/>
              </w:rPr>
            </w:pPr>
          </w:p>
        </w:tc>
        <w:tc>
          <w:tcPr>
            <w:tcW w:w="876" w:type="dxa"/>
          </w:tcPr>
          <w:p w:rsidRPr="00B7086F" w:rsidR="00D53CF7" w:rsidP="00D53CF7" w:rsidRDefault="00D53CF7" w14:paraId="41FB0BC0" w14:textId="77777777">
            <w:pPr>
              <w:jc w:val="center"/>
              <w:rPr>
                <w:rFonts w:asciiTheme="minorHAnsi" w:hAnsiTheme="minorHAnsi" w:cstheme="minorHAnsi"/>
              </w:rPr>
            </w:pPr>
          </w:p>
        </w:tc>
        <w:tc>
          <w:tcPr>
            <w:tcW w:w="837" w:type="dxa"/>
          </w:tcPr>
          <w:p w:rsidRPr="00B7086F" w:rsidR="00D53CF7" w:rsidP="00D53CF7" w:rsidRDefault="00D53CF7" w14:paraId="56FE8F14" w14:textId="77777777">
            <w:pPr>
              <w:jc w:val="center"/>
              <w:rPr>
                <w:rFonts w:asciiTheme="minorHAnsi" w:hAnsiTheme="minorHAnsi" w:cstheme="minorHAnsi"/>
              </w:rPr>
            </w:pPr>
          </w:p>
        </w:tc>
        <w:tc>
          <w:tcPr>
            <w:tcW w:w="874" w:type="dxa"/>
          </w:tcPr>
          <w:p w:rsidRPr="00B7086F" w:rsidR="00D53CF7" w:rsidP="00D53CF7" w:rsidRDefault="00D53CF7" w14:paraId="7EC3D34B" w14:textId="77777777">
            <w:pPr>
              <w:jc w:val="center"/>
              <w:rPr>
                <w:rFonts w:asciiTheme="minorHAnsi" w:hAnsiTheme="minorHAnsi" w:cstheme="minorHAnsi"/>
              </w:rPr>
            </w:pPr>
          </w:p>
        </w:tc>
        <w:tc>
          <w:tcPr>
            <w:tcW w:w="837" w:type="dxa"/>
          </w:tcPr>
          <w:p w:rsidRPr="00B7086F" w:rsidR="00D53CF7" w:rsidP="00D53CF7" w:rsidRDefault="00D53CF7" w14:paraId="398DED11" w14:textId="77777777">
            <w:pPr>
              <w:jc w:val="center"/>
              <w:rPr>
                <w:rFonts w:asciiTheme="minorHAnsi" w:hAnsiTheme="minorHAnsi" w:cstheme="minorHAnsi"/>
              </w:rPr>
            </w:pPr>
          </w:p>
        </w:tc>
        <w:tc>
          <w:tcPr>
            <w:tcW w:w="898" w:type="dxa"/>
          </w:tcPr>
          <w:p w:rsidRPr="00B7086F" w:rsidR="00D53CF7" w:rsidP="00D53CF7" w:rsidRDefault="00D53CF7" w14:paraId="14CC72BB" w14:textId="77777777">
            <w:pPr>
              <w:jc w:val="center"/>
              <w:rPr>
                <w:rFonts w:asciiTheme="minorHAnsi" w:hAnsiTheme="minorHAnsi" w:cstheme="minorHAnsi"/>
              </w:rPr>
            </w:pPr>
          </w:p>
        </w:tc>
        <w:tc>
          <w:tcPr>
            <w:tcW w:w="871" w:type="dxa"/>
          </w:tcPr>
          <w:p w:rsidRPr="00B7086F" w:rsidR="00D53CF7" w:rsidP="00D53CF7" w:rsidRDefault="00D53CF7" w14:paraId="025A2357" w14:textId="02182049">
            <w:pPr>
              <w:jc w:val="center"/>
              <w:rPr>
                <w:rFonts w:asciiTheme="minorHAnsi" w:hAnsiTheme="minorHAnsi" w:cstheme="minorHAnsi"/>
              </w:rPr>
            </w:pPr>
            <w:r w:rsidRPr="00B7086F">
              <w:rPr>
                <w:rFonts w:asciiTheme="minorHAnsi" w:hAnsiTheme="minorHAnsi" w:cstheme="minorHAnsi"/>
              </w:rPr>
              <w:t>X</w:t>
            </w:r>
          </w:p>
        </w:tc>
        <w:tc>
          <w:tcPr>
            <w:tcW w:w="837" w:type="dxa"/>
          </w:tcPr>
          <w:p w:rsidRPr="00B7086F" w:rsidR="00D53CF7" w:rsidP="00D53CF7" w:rsidRDefault="00D53CF7" w14:paraId="44CF756D" w14:textId="4AEB0F88">
            <w:pPr>
              <w:jc w:val="center"/>
              <w:rPr>
                <w:rFonts w:asciiTheme="minorHAnsi" w:hAnsiTheme="minorHAnsi" w:cstheme="minorHAnsi"/>
              </w:rPr>
            </w:pPr>
          </w:p>
        </w:tc>
      </w:tr>
      <w:tr w:rsidRPr="00B7086F" w:rsidR="009E3750" w:rsidTr="00226A1B" w14:paraId="5E2162EA" w14:textId="77777777">
        <w:tc>
          <w:tcPr>
            <w:tcW w:w="2605" w:type="dxa"/>
          </w:tcPr>
          <w:p w:rsidRPr="00B7086F" w:rsidR="00D53CF7" w:rsidP="00567C65" w:rsidRDefault="00D53CF7" w14:paraId="7A62F715" w14:textId="5217BE64">
            <w:pPr>
              <w:rPr>
                <w:rFonts w:asciiTheme="minorHAnsi" w:hAnsiTheme="minorHAnsi" w:cstheme="minorHAnsi"/>
              </w:rPr>
            </w:pPr>
            <w:r w:rsidRPr="00B7086F">
              <w:rPr>
                <w:rFonts w:asciiTheme="minorHAnsi" w:hAnsiTheme="minorHAnsi" w:cstheme="minorHAnsi"/>
              </w:rPr>
              <w:t>Archived Data</w:t>
            </w:r>
          </w:p>
        </w:tc>
        <w:tc>
          <w:tcPr>
            <w:tcW w:w="810" w:type="dxa"/>
          </w:tcPr>
          <w:p w:rsidRPr="00B7086F" w:rsidR="00D53CF7" w:rsidP="00D53CF7" w:rsidRDefault="00D53CF7" w14:paraId="41ADDEE2" w14:textId="77777777">
            <w:pPr>
              <w:jc w:val="center"/>
              <w:rPr>
                <w:rFonts w:asciiTheme="minorHAnsi" w:hAnsiTheme="minorHAnsi" w:cstheme="minorHAnsi"/>
              </w:rPr>
            </w:pPr>
          </w:p>
        </w:tc>
        <w:tc>
          <w:tcPr>
            <w:tcW w:w="876" w:type="dxa"/>
          </w:tcPr>
          <w:p w:rsidRPr="00B7086F" w:rsidR="00D53CF7" w:rsidP="00D53CF7" w:rsidRDefault="00D53CF7" w14:paraId="464C607D" w14:textId="77777777">
            <w:pPr>
              <w:jc w:val="center"/>
              <w:rPr>
                <w:rFonts w:asciiTheme="minorHAnsi" w:hAnsiTheme="minorHAnsi" w:cstheme="minorHAnsi"/>
              </w:rPr>
            </w:pPr>
          </w:p>
        </w:tc>
        <w:tc>
          <w:tcPr>
            <w:tcW w:w="837" w:type="dxa"/>
          </w:tcPr>
          <w:p w:rsidRPr="00B7086F" w:rsidR="00D53CF7" w:rsidP="00D53CF7" w:rsidRDefault="00D53CF7" w14:paraId="7B1E73D2" w14:textId="77777777">
            <w:pPr>
              <w:jc w:val="center"/>
              <w:rPr>
                <w:rFonts w:asciiTheme="minorHAnsi" w:hAnsiTheme="minorHAnsi" w:cstheme="minorHAnsi"/>
              </w:rPr>
            </w:pPr>
          </w:p>
        </w:tc>
        <w:tc>
          <w:tcPr>
            <w:tcW w:w="874" w:type="dxa"/>
          </w:tcPr>
          <w:p w:rsidRPr="00B7086F" w:rsidR="00D53CF7" w:rsidP="00D53CF7" w:rsidRDefault="00D53CF7" w14:paraId="5A4E4C61" w14:textId="77777777">
            <w:pPr>
              <w:jc w:val="center"/>
              <w:rPr>
                <w:rFonts w:asciiTheme="minorHAnsi" w:hAnsiTheme="minorHAnsi" w:cstheme="minorHAnsi"/>
              </w:rPr>
            </w:pPr>
          </w:p>
        </w:tc>
        <w:tc>
          <w:tcPr>
            <w:tcW w:w="837" w:type="dxa"/>
          </w:tcPr>
          <w:p w:rsidRPr="00B7086F" w:rsidR="00D53CF7" w:rsidP="00D53CF7" w:rsidRDefault="00D53CF7" w14:paraId="08D50048" w14:textId="77777777">
            <w:pPr>
              <w:jc w:val="center"/>
              <w:rPr>
                <w:rFonts w:asciiTheme="minorHAnsi" w:hAnsiTheme="minorHAnsi" w:cstheme="minorHAnsi"/>
              </w:rPr>
            </w:pPr>
          </w:p>
        </w:tc>
        <w:tc>
          <w:tcPr>
            <w:tcW w:w="898" w:type="dxa"/>
          </w:tcPr>
          <w:p w:rsidRPr="00B7086F" w:rsidR="00D53CF7" w:rsidP="00D53CF7" w:rsidRDefault="00D53CF7" w14:paraId="6E7871DE" w14:textId="77777777">
            <w:pPr>
              <w:jc w:val="center"/>
              <w:rPr>
                <w:rFonts w:asciiTheme="minorHAnsi" w:hAnsiTheme="minorHAnsi" w:cstheme="minorHAnsi"/>
              </w:rPr>
            </w:pPr>
          </w:p>
        </w:tc>
        <w:tc>
          <w:tcPr>
            <w:tcW w:w="871" w:type="dxa"/>
          </w:tcPr>
          <w:p w:rsidRPr="00B7086F" w:rsidR="00D53CF7" w:rsidP="00D53CF7" w:rsidRDefault="00D53CF7" w14:paraId="1DB535D4" w14:textId="77777777">
            <w:pPr>
              <w:jc w:val="center"/>
              <w:rPr>
                <w:rFonts w:asciiTheme="minorHAnsi" w:hAnsiTheme="minorHAnsi" w:cstheme="minorHAnsi"/>
              </w:rPr>
            </w:pPr>
          </w:p>
        </w:tc>
        <w:tc>
          <w:tcPr>
            <w:tcW w:w="837" w:type="dxa"/>
          </w:tcPr>
          <w:p w:rsidRPr="00B7086F" w:rsidR="00D53CF7" w:rsidP="00D53CF7" w:rsidRDefault="00D53CF7" w14:paraId="3F69EFCD" w14:textId="36BFC0D4">
            <w:pPr>
              <w:jc w:val="center"/>
              <w:rPr>
                <w:rFonts w:asciiTheme="minorHAnsi" w:hAnsiTheme="minorHAnsi" w:cstheme="minorHAnsi"/>
              </w:rPr>
            </w:pPr>
            <w:r w:rsidRPr="00B7086F">
              <w:rPr>
                <w:rFonts w:asciiTheme="minorHAnsi" w:hAnsiTheme="minorHAnsi" w:cstheme="minorHAnsi"/>
              </w:rPr>
              <w:t>X</w:t>
            </w:r>
          </w:p>
        </w:tc>
      </w:tr>
    </w:tbl>
    <w:p w:rsidRPr="009139B3" w:rsidR="001D1C73" w:rsidP="00A8415A" w:rsidRDefault="001D1C73" w14:paraId="48C4ACC5" w14:textId="77777777">
      <w:pPr>
        <w:spacing w:before="240"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A8415A" w:rsidRDefault="001D1C73" w14:paraId="3C24CF91" w14:textId="77777777">
      <w:pPr>
        <w:spacing w:after="120"/>
      </w:pPr>
      <w:r w:rsidRPr="009139B3">
        <w:t>No exceptions are necessary for this information collection.</w:t>
      </w:r>
    </w:p>
    <w:p w:rsidR="00A8415A" w:rsidRDefault="00A8415A" w14:paraId="6BB2E941" w14:textId="77777777">
      <w:pPr>
        <w:rPr>
          <w:b/>
        </w:rPr>
      </w:pPr>
      <w:r>
        <w:rPr>
          <w:b/>
        </w:rPr>
        <w:br w:type="page"/>
      </w:r>
    </w:p>
    <w:p w:rsidR="001D1C73" w:rsidP="001D1C73" w:rsidRDefault="001D1C73" w14:paraId="7BED44AA" w14:textId="04C098CF">
      <w:pPr>
        <w:spacing w:after="120" w:line="240" w:lineRule="auto"/>
        <w:rPr>
          <w:b/>
        </w:rPr>
      </w:pPr>
      <w:r w:rsidRPr="009139B3">
        <w:rPr>
          <w:b/>
        </w:rPr>
        <w:lastRenderedPageBreak/>
        <w:t>Attachments</w:t>
      </w:r>
    </w:p>
    <w:p w:rsidRPr="00E160D5" w:rsidR="00234C83" w:rsidP="00234C83" w:rsidRDefault="00234C83" w14:paraId="53F0120E" w14:textId="77777777">
      <w:pPr>
        <w:spacing w:after="60" w:line="259" w:lineRule="auto"/>
        <w:rPr>
          <w:rFonts w:eastAsiaTheme="minorEastAsia" w:cstheme="minorHAnsi"/>
          <w:i/>
          <w:iCs/>
        </w:rPr>
      </w:pPr>
      <w:r w:rsidRPr="00E160D5">
        <w:rPr>
          <w:rFonts w:eastAsiaTheme="minorEastAsia" w:cstheme="minorHAnsi"/>
          <w:i/>
          <w:iCs/>
        </w:rPr>
        <w:t>Instruments</w:t>
      </w:r>
    </w:p>
    <w:p w:rsidRPr="00CE0A84" w:rsidR="00234C83" w:rsidP="00234C83" w:rsidRDefault="00234C83" w14:paraId="3BF17E33" w14:textId="29E68E3F">
      <w:pPr>
        <w:spacing w:after="240" w:line="259" w:lineRule="auto"/>
        <w:contextualSpacing/>
        <w:rPr>
          <w:rFonts w:eastAsiaTheme="minorEastAsia" w:cstheme="minorHAnsi"/>
        </w:rPr>
      </w:pPr>
      <w:r w:rsidRPr="00CE0A84">
        <w:rPr>
          <w:rFonts w:eastAsiaTheme="minorEastAsia" w:cstheme="minorHAnsi"/>
        </w:rPr>
        <w:t>Instrument 1</w:t>
      </w:r>
      <w:r w:rsidR="00564B75">
        <w:rPr>
          <w:rFonts w:eastAsiaTheme="minorEastAsia" w:cstheme="minorHAnsi"/>
        </w:rPr>
        <w:t>:</w:t>
      </w:r>
      <w:r w:rsidRPr="00CE0A84">
        <w:rPr>
          <w:rFonts w:eastAsiaTheme="minorEastAsia" w:cstheme="minorHAnsi"/>
        </w:rPr>
        <w:t xml:space="preserve"> </w:t>
      </w:r>
      <w:r>
        <w:rPr>
          <w:rFonts w:eastAsiaTheme="minorEastAsia" w:cstheme="minorHAnsi"/>
        </w:rPr>
        <w:t>Initial Survey</w:t>
      </w:r>
    </w:p>
    <w:p w:rsidRPr="00CE0A84" w:rsidR="00234C83" w:rsidP="00234C83" w:rsidRDefault="00234C83" w14:paraId="3A833F92" w14:textId="0CEBD6D7">
      <w:pPr>
        <w:spacing w:after="240" w:line="259" w:lineRule="auto"/>
        <w:contextualSpacing/>
        <w:rPr>
          <w:rFonts w:eastAsiaTheme="minorEastAsia" w:cstheme="minorHAnsi"/>
        </w:rPr>
      </w:pPr>
      <w:r w:rsidRPr="00CE0A84">
        <w:rPr>
          <w:rFonts w:eastAsiaTheme="minorEastAsia" w:cstheme="minorHAnsi"/>
        </w:rPr>
        <w:t>Instrument 2</w:t>
      </w:r>
      <w:r w:rsidR="00564B75">
        <w:rPr>
          <w:rFonts w:eastAsiaTheme="minorEastAsia" w:cstheme="minorHAnsi"/>
        </w:rPr>
        <w:t>:</w:t>
      </w:r>
      <w:r w:rsidRPr="00CE0A84">
        <w:rPr>
          <w:rFonts w:eastAsiaTheme="minorEastAsia" w:cstheme="minorHAnsi"/>
        </w:rPr>
        <w:t xml:space="preserve"> </w:t>
      </w:r>
      <w:r>
        <w:rPr>
          <w:rFonts w:eastAsiaTheme="minorEastAsia" w:cstheme="minorHAnsi"/>
        </w:rPr>
        <w:t>Connected Data Survey</w:t>
      </w:r>
    </w:p>
    <w:p w:rsidR="00234C83" w:rsidP="00234C83" w:rsidRDefault="00234C83" w14:paraId="582AA419" w14:textId="4E9DA250">
      <w:pPr>
        <w:spacing w:after="240" w:line="259" w:lineRule="auto"/>
        <w:rPr>
          <w:rFonts w:eastAsiaTheme="minorEastAsia" w:cstheme="minorHAnsi"/>
        </w:rPr>
      </w:pPr>
      <w:r w:rsidRPr="00CE0A84">
        <w:rPr>
          <w:rFonts w:eastAsiaTheme="minorEastAsia" w:cstheme="minorHAnsi"/>
        </w:rPr>
        <w:t>Instrument 3</w:t>
      </w:r>
      <w:r w:rsidR="00564B75">
        <w:rPr>
          <w:rFonts w:eastAsiaTheme="minorEastAsia" w:cstheme="minorHAnsi"/>
        </w:rPr>
        <w:t>:</w:t>
      </w:r>
      <w:r w:rsidRPr="00CE0A84">
        <w:rPr>
          <w:rFonts w:eastAsiaTheme="minorEastAsia" w:cstheme="minorHAnsi"/>
        </w:rPr>
        <w:t xml:space="preserve"> </w:t>
      </w:r>
      <w:r>
        <w:rPr>
          <w:rFonts w:eastAsiaTheme="minorEastAsia" w:cstheme="minorHAnsi"/>
        </w:rPr>
        <w:t>Interview Guide</w:t>
      </w:r>
    </w:p>
    <w:p w:rsidRPr="00E160D5" w:rsidR="00234C83" w:rsidP="00234C83" w:rsidRDefault="00234C83" w14:paraId="768CF475" w14:textId="5C25632B">
      <w:pPr>
        <w:spacing w:after="60" w:line="259" w:lineRule="auto"/>
        <w:rPr>
          <w:rFonts w:eastAsiaTheme="minorEastAsia" w:cstheme="minorHAnsi"/>
          <w:i/>
          <w:iCs/>
        </w:rPr>
      </w:pPr>
      <w:r w:rsidRPr="00E160D5">
        <w:rPr>
          <w:rFonts w:eastAsiaTheme="minorEastAsia" w:cstheme="minorHAnsi"/>
          <w:i/>
          <w:iCs/>
        </w:rPr>
        <w:t>Appendices</w:t>
      </w:r>
    </w:p>
    <w:p w:rsidR="00234C83" w:rsidP="00234C83" w:rsidRDefault="00234C83" w14:paraId="188B19D4" w14:textId="1068B759">
      <w:pPr>
        <w:spacing w:after="240" w:line="259" w:lineRule="auto"/>
        <w:contextualSpacing/>
        <w:rPr>
          <w:rFonts w:eastAsiaTheme="minorEastAsia" w:cstheme="minorHAnsi"/>
        </w:rPr>
      </w:pPr>
      <w:r>
        <w:rPr>
          <w:rFonts w:eastAsiaTheme="minorEastAsia" w:cstheme="minorHAnsi"/>
        </w:rPr>
        <w:t>Appendix A</w:t>
      </w:r>
      <w:r w:rsidR="00564B75">
        <w:rPr>
          <w:rFonts w:eastAsiaTheme="minorEastAsia" w:cstheme="minorHAnsi"/>
        </w:rPr>
        <w:t>:</w:t>
      </w:r>
      <w:r>
        <w:rPr>
          <w:rFonts w:eastAsiaTheme="minorEastAsia" w:cstheme="minorHAnsi"/>
        </w:rPr>
        <w:t xml:space="preserve"> Outreach to State Child Welfare Directors</w:t>
      </w:r>
    </w:p>
    <w:p w:rsidR="00234C83" w:rsidP="00234C83" w:rsidRDefault="00234C83" w14:paraId="2B6A8E18" w14:textId="1C4E9478">
      <w:pPr>
        <w:spacing w:after="240" w:line="259" w:lineRule="auto"/>
        <w:contextualSpacing/>
        <w:rPr>
          <w:rFonts w:eastAsiaTheme="minorEastAsia" w:cstheme="minorHAnsi"/>
        </w:rPr>
      </w:pPr>
      <w:r>
        <w:rPr>
          <w:rFonts w:eastAsiaTheme="minorEastAsia" w:cstheme="minorHAnsi"/>
        </w:rPr>
        <w:t>Appendix B</w:t>
      </w:r>
      <w:r w:rsidR="00564B75">
        <w:rPr>
          <w:rFonts w:eastAsiaTheme="minorEastAsia" w:cstheme="minorHAnsi"/>
        </w:rPr>
        <w:t>:</w:t>
      </w:r>
      <w:r>
        <w:rPr>
          <w:rFonts w:eastAsiaTheme="minorEastAsia" w:cstheme="minorHAnsi"/>
        </w:rPr>
        <w:t xml:space="preserve"> Outreach to Respondents for the Connected Data Survey</w:t>
      </w:r>
    </w:p>
    <w:p w:rsidR="00234C83" w:rsidP="00234C83" w:rsidRDefault="00234C83" w14:paraId="31D9EB69" w14:textId="735ADAC8">
      <w:pPr>
        <w:spacing w:after="240" w:line="259" w:lineRule="auto"/>
        <w:contextualSpacing/>
        <w:rPr>
          <w:rFonts w:eastAsiaTheme="minorEastAsia" w:cstheme="minorHAnsi"/>
        </w:rPr>
      </w:pPr>
      <w:r>
        <w:rPr>
          <w:rFonts w:eastAsiaTheme="minorEastAsia" w:cstheme="minorHAnsi"/>
        </w:rPr>
        <w:t>Appendix C</w:t>
      </w:r>
      <w:r w:rsidR="00564B75">
        <w:rPr>
          <w:rFonts w:eastAsiaTheme="minorEastAsia" w:cstheme="minorHAnsi"/>
        </w:rPr>
        <w:t>:</w:t>
      </w:r>
      <w:r>
        <w:rPr>
          <w:rFonts w:eastAsiaTheme="minorEastAsia" w:cstheme="minorHAnsi"/>
        </w:rPr>
        <w:t xml:space="preserve"> Outreach to Child Welfare Directors, State Staff, and County Staff for Interviews</w:t>
      </w:r>
    </w:p>
    <w:p w:rsidR="00051797" w:rsidP="00234C83" w:rsidRDefault="00051797" w14:paraId="7F8832F2" w14:textId="4B848D31">
      <w:pPr>
        <w:spacing w:after="240" w:line="259" w:lineRule="auto"/>
        <w:contextualSpacing/>
        <w:rPr>
          <w:rFonts w:eastAsiaTheme="minorEastAsia" w:cstheme="minorHAnsi"/>
        </w:rPr>
      </w:pPr>
      <w:r>
        <w:rPr>
          <w:rFonts w:eastAsiaTheme="minorEastAsia" w:cstheme="minorHAnsi"/>
        </w:rPr>
        <w:t>Appendix D: Public Comment on Federal Register Notice</w:t>
      </w:r>
      <w:r w:rsidR="00B871E8">
        <w:rPr>
          <w:rFonts w:eastAsiaTheme="minorEastAsia" w:cstheme="minorHAnsi"/>
        </w:rPr>
        <w:t xml:space="preserve"> 2022-02928</w:t>
      </w:r>
    </w:p>
    <w:p w:rsidRPr="006B53F1" w:rsidR="001D1C73" w:rsidP="001D1C73" w:rsidRDefault="001D1C73" w14:paraId="58703A3F" w14:textId="77777777">
      <w:pPr>
        <w:spacing w:after="0"/>
      </w:pPr>
    </w:p>
    <w:p w:rsidR="00F353DB" w:rsidRDefault="00F353DB" w14:paraId="535518A9" w14:textId="77777777">
      <w:pPr>
        <w:rPr>
          <w:rFonts w:eastAsiaTheme="minorEastAsia" w:cstheme="minorHAnsi"/>
          <w:b/>
          <w:bCs/>
        </w:rPr>
      </w:pPr>
      <w:r>
        <w:rPr>
          <w:rFonts w:eastAsiaTheme="minorEastAsia" w:cstheme="minorHAnsi"/>
          <w:b/>
          <w:bCs/>
        </w:rPr>
        <w:br w:type="page"/>
      </w:r>
    </w:p>
    <w:p w:rsidRPr="00974C41" w:rsidR="00234C83" w:rsidP="00234C83" w:rsidRDefault="00234C83" w14:paraId="62E6D955" w14:textId="49BF84C3">
      <w:pPr>
        <w:spacing w:after="240" w:line="259" w:lineRule="auto"/>
        <w:jc w:val="center"/>
        <w:rPr>
          <w:rFonts w:eastAsiaTheme="minorEastAsia" w:cstheme="minorHAnsi"/>
          <w:b/>
          <w:bCs/>
        </w:rPr>
      </w:pPr>
      <w:r>
        <w:rPr>
          <w:rFonts w:eastAsiaTheme="minorEastAsia" w:cstheme="minorHAnsi"/>
          <w:b/>
          <w:bCs/>
        </w:rPr>
        <w:lastRenderedPageBreak/>
        <w:t>References</w:t>
      </w:r>
    </w:p>
    <w:p w:rsidR="003868BC" w:rsidP="00A8415A" w:rsidRDefault="003868BC" w14:paraId="04F42DB9" w14:textId="622B5FC4">
      <w:pPr>
        <w:spacing w:after="120"/>
      </w:pPr>
      <w:r w:rsidRPr="003868BC">
        <w:t xml:space="preserve">Child Welfare Information Gateway. “State vs. </w:t>
      </w:r>
      <w:r w:rsidR="00E70E37">
        <w:t>C</w:t>
      </w:r>
      <w:r w:rsidRPr="003868BC">
        <w:t xml:space="preserve">ounty </w:t>
      </w:r>
      <w:r w:rsidR="00E70E37">
        <w:t>A</w:t>
      </w:r>
      <w:r w:rsidRPr="003868BC">
        <w:t xml:space="preserve">dministration of </w:t>
      </w:r>
      <w:r w:rsidR="00E70E37">
        <w:t>C</w:t>
      </w:r>
      <w:r w:rsidRPr="003868BC">
        <w:t xml:space="preserve">hild </w:t>
      </w:r>
      <w:r w:rsidR="00E70E37">
        <w:t>W</w:t>
      </w:r>
      <w:r w:rsidRPr="003868BC">
        <w:t xml:space="preserve">elfare </w:t>
      </w:r>
      <w:r w:rsidR="00E70E37">
        <w:t>S</w:t>
      </w:r>
      <w:r w:rsidRPr="003868BC">
        <w:t xml:space="preserve">ervices.”  </w:t>
      </w:r>
      <w:r>
        <w:t xml:space="preserve">Washington, DC: </w:t>
      </w:r>
      <w:r w:rsidRPr="003868BC">
        <w:t>U.S. Department of Health and Human Services, Children's Bureau</w:t>
      </w:r>
      <w:r>
        <w:t>, 2018.</w:t>
      </w:r>
    </w:p>
    <w:p w:rsidR="00956A30" w:rsidP="00A8415A" w:rsidRDefault="00956A30" w14:paraId="45C2053F" w14:textId="137EDD15">
      <w:pPr>
        <w:spacing w:after="120"/>
      </w:pPr>
      <w:r>
        <w:t xml:space="preserve">Connelly, R., C.J. Playford, V. Gayle, and C. Dibben. “The Role of Administrative Data in the Big Data Revolution in Social Science Research.” Social Science Research, vol. 59, 2016, pp. 1–12. </w:t>
      </w:r>
    </w:p>
    <w:p w:rsidR="00956A30" w:rsidP="00A8415A" w:rsidRDefault="00956A30" w14:paraId="7E58CAD8" w14:textId="77777777">
      <w:pPr>
        <w:spacing w:after="120"/>
      </w:pPr>
      <w:r>
        <w:t xml:space="preserve">Currie, J., and C.S. </w:t>
      </w:r>
      <w:proofErr w:type="spellStart"/>
      <w:r>
        <w:t>Widom</w:t>
      </w:r>
      <w:proofErr w:type="spellEnd"/>
      <w:r>
        <w:t xml:space="preserve">. “Long-Term Consequences of Child Abuse and Neglect on Adult Economic Well-Being.” Child Maltreatment, vol. 15, no. 2, May 2010, pp. 111–120. </w:t>
      </w:r>
    </w:p>
    <w:p w:rsidR="00956A30" w:rsidP="00A8415A" w:rsidRDefault="00956A30" w14:paraId="2155C073" w14:textId="3F501595">
      <w:pPr>
        <w:spacing w:after="120"/>
      </w:pPr>
      <w:proofErr w:type="spellStart"/>
      <w:r>
        <w:t>Danese</w:t>
      </w:r>
      <w:proofErr w:type="spellEnd"/>
      <w:r>
        <w:t xml:space="preserve">, A., T.E. Moffitt, H. Harrington, B.J. Milne, G. </w:t>
      </w:r>
      <w:proofErr w:type="spellStart"/>
      <w:r>
        <w:t>Polanczyk</w:t>
      </w:r>
      <w:proofErr w:type="spellEnd"/>
      <w:r>
        <w:t xml:space="preserve">, C.M. </w:t>
      </w:r>
      <w:proofErr w:type="spellStart"/>
      <w:r>
        <w:t>Pariante</w:t>
      </w:r>
      <w:proofErr w:type="spellEnd"/>
      <w:r>
        <w:t>, R. Poulton, and A. Caspi. “Adverse Childhood Experiences and Adult Risk Factors for Age-Related Disease: Depression, Inflammation, and Clustering of Metabolic Risk Markers.” Archives of Pediatric Adolescent Medicine, vol. 163, no. 12, December 2009, pp. 1135–1143.</w:t>
      </w:r>
    </w:p>
    <w:p w:rsidR="00956A30" w:rsidP="00A8415A" w:rsidRDefault="00956A30" w14:paraId="20FE2662" w14:textId="674B2687">
      <w:pPr>
        <w:spacing w:after="120"/>
      </w:pPr>
      <w:r>
        <w:t>Jonson-Reid, M., P. Kohl, and B. Drake. “Child and Adult Outcomes of Chronic Child Maltreatment.” Pediatrics, vol. 129, no. 5, 2012, pp. 839–845.</w:t>
      </w:r>
    </w:p>
    <w:p w:rsidRPr="006B53F1" w:rsidR="00956A30" w:rsidP="00A8415A" w:rsidRDefault="00956A30" w14:paraId="4911ED86" w14:textId="5DCFCC28">
      <w:pPr>
        <w:spacing w:after="120"/>
      </w:pPr>
      <w:r>
        <w:t>U.S. Department of Health and Human Services, Children’s Bureau. “Child Maltreatment 2019.” Washington, DC: HHS, 2021. Available at https://www.acf.hhs.gov/cb/research-datatechnology/statistics-research/child-maltreatment.</w:t>
      </w:r>
    </w:p>
    <w:sectPr w:rsidRPr="006B53F1" w:rsidR="00956A30"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4DD4" w14:textId="77777777" w:rsidR="004A4C96" w:rsidRDefault="004A4C96" w:rsidP="0004063C">
      <w:pPr>
        <w:spacing w:after="0" w:line="240" w:lineRule="auto"/>
      </w:pPr>
      <w:r>
        <w:separator/>
      </w:r>
    </w:p>
  </w:endnote>
  <w:endnote w:type="continuationSeparator" w:id="0">
    <w:p w14:paraId="1F122745" w14:textId="77777777" w:rsidR="004A4C96" w:rsidRDefault="004A4C96"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625498"/>
      <w:docPartObj>
        <w:docPartGallery w:val="Page Numbers (Bottom of Page)"/>
        <w:docPartUnique/>
      </w:docPartObj>
    </w:sdtPr>
    <w:sdtEndPr>
      <w:rPr>
        <w:noProof/>
      </w:rPr>
    </w:sdtEndPr>
    <w:sdtContent>
      <w:p w14:paraId="2DE1EAA2" w14:textId="428F67CA" w:rsidR="00682071" w:rsidRDefault="00682071" w:rsidP="00682071">
        <w:pPr>
          <w:pStyle w:val="Footer"/>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3A0C" w14:textId="77777777" w:rsidR="004A4C96" w:rsidRDefault="004A4C96" w:rsidP="0004063C">
      <w:pPr>
        <w:spacing w:after="0" w:line="240" w:lineRule="auto"/>
      </w:pPr>
      <w:r>
        <w:separator/>
      </w:r>
    </w:p>
  </w:footnote>
  <w:footnote w:type="continuationSeparator" w:id="0">
    <w:p w14:paraId="5143A335" w14:textId="77777777" w:rsidR="004A4C96" w:rsidRDefault="004A4C96" w:rsidP="0004063C">
      <w:pPr>
        <w:spacing w:after="0" w:line="240" w:lineRule="auto"/>
      </w:pPr>
      <w:r>
        <w:continuationSeparator/>
      </w:r>
    </w:p>
  </w:footnote>
  <w:footnote w:id="1">
    <w:p w14:paraId="46198627" w14:textId="6C4061B7" w:rsidR="004C0134" w:rsidRDefault="004C0134">
      <w:pPr>
        <w:pStyle w:val="FootnoteText"/>
      </w:pPr>
      <w:r>
        <w:rPr>
          <w:rStyle w:val="FootnoteReference"/>
        </w:rPr>
        <w:footnoteRef/>
      </w:r>
      <w:r>
        <w:t xml:space="preserve"> F</w:t>
      </w:r>
      <w:r w:rsidRPr="00440A70">
        <w:t>or a full list of topics, see CAPTA Sec. 104. Research and Assistance Activities and Demonstrations</w:t>
      </w:r>
      <w:r>
        <w:t>.</w:t>
      </w:r>
    </w:p>
  </w:footnote>
  <w:footnote w:id="2">
    <w:p w14:paraId="440255E6" w14:textId="2FC31EC1" w:rsidR="004C0134" w:rsidRPr="000909D6" w:rsidRDefault="004C0134" w:rsidP="001D1C73">
      <w:pPr>
        <w:pStyle w:val="FootnoteText"/>
        <w:rPr>
          <w:rFonts w:cstheme="minorHAnsi"/>
        </w:rPr>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D22B" w14:textId="77777777" w:rsidR="00682071" w:rsidRPr="000D7D44" w:rsidRDefault="00682071"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363D6535" w14:textId="77777777" w:rsidR="00682071" w:rsidRPr="001D1C73" w:rsidRDefault="00682071"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01F5B"/>
    <w:multiLevelType w:val="hybridMultilevel"/>
    <w:tmpl w:val="4CA4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10E14"/>
    <w:multiLevelType w:val="hybridMultilevel"/>
    <w:tmpl w:val="5CDE057C"/>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B4DC046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CB64EA"/>
    <w:multiLevelType w:val="hybridMultilevel"/>
    <w:tmpl w:val="3E8C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6B62F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9526D"/>
    <w:multiLevelType w:val="hybridMultilevel"/>
    <w:tmpl w:val="C1EE5B04"/>
    <w:lvl w:ilvl="0" w:tplc="BD60A3B6">
      <w:numFmt w:val="bullet"/>
      <w:lvlText w:val="-"/>
      <w:lvlJc w:val="left"/>
      <w:pPr>
        <w:ind w:left="720" w:hanging="360"/>
      </w:pPr>
      <w:rPr>
        <w:rFonts w:ascii="Calibri" w:eastAsiaTheme="minorHAnsi"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15F65C6"/>
    <w:multiLevelType w:val="hybridMultilevel"/>
    <w:tmpl w:val="2D46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44942"/>
    <w:multiLevelType w:val="hybridMultilevel"/>
    <w:tmpl w:val="6CEE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D46D1"/>
    <w:multiLevelType w:val="hybridMultilevel"/>
    <w:tmpl w:val="63AA02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C63BB"/>
    <w:multiLevelType w:val="hybridMultilevel"/>
    <w:tmpl w:val="7AF20A78"/>
    <w:lvl w:ilvl="0" w:tplc="BD60A3B6">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C21D06"/>
    <w:multiLevelType w:val="hybridMultilevel"/>
    <w:tmpl w:val="5F12B2DE"/>
    <w:lvl w:ilvl="0" w:tplc="BD60A3B6">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55094"/>
    <w:multiLevelType w:val="hybridMultilevel"/>
    <w:tmpl w:val="71484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9"/>
  </w:num>
  <w:num w:numId="3">
    <w:abstractNumId w:val="6"/>
  </w:num>
  <w:num w:numId="4">
    <w:abstractNumId w:val="37"/>
  </w:num>
  <w:num w:numId="5">
    <w:abstractNumId w:val="22"/>
  </w:num>
  <w:num w:numId="6">
    <w:abstractNumId w:val="47"/>
  </w:num>
  <w:num w:numId="7">
    <w:abstractNumId w:val="5"/>
  </w:num>
  <w:num w:numId="8">
    <w:abstractNumId w:val="12"/>
  </w:num>
  <w:num w:numId="9">
    <w:abstractNumId w:val="21"/>
  </w:num>
  <w:num w:numId="10">
    <w:abstractNumId w:val="45"/>
  </w:num>
  <w:num w:numId="11">
    <w:abstractNumId w:val="49"/>
  </w:num>
  <w:num w:numId="12">
    <w:abstractNumId w:val="42"/>
  </w:num>
  <w:num w:numId="13">
    <w:abstractNumId w:val="35"/>
  </w:num>
  <w:num w:numId="14">
    <w:abstractNumId w:val="44"/>
  </w:num>
  <w:num w:numId="15">
    <w:abstractNumId w:val="24"/>
  </w:num>
  <w:num w:numId="16">
    <w:abstractNumId w:val="34"/>
  </w:num>
  <w:num w:numId="17">
    <w:abstractNumId w:val="20"/>
  </w:num>
  <w:num w:numId="18">
    <w:abstractNumId w:val="10"/>
  </w:num>
  <w:num w:numId="19">
    <w:abstractNumId w:val="9"/>
  </w:num>
  <w:num w:numId="20">
    <w:abstractNumId w:val="30"/>
  </w:num>
  <w:num w:numId="21">
    <w:abstractNumId w:val="0"/>
  </w:num>
  <w:num w:numId="22">
    <w:abstractNumId w:val="1"/>
  </w:num>
  <w:num w:numId="23">
    <w:abstractNumId w:val="25"/>
  </w:num>
  <w:num w:numId="24">
    <w:abstractNumId w:val="2"/>
  </w:num>
  <w:num w:numId="25">
    <w:abstractNumId w:val="15"/>
  </w:num>
  <w:num w:numId="26">
    <w:abstractNumId w:val="43"/>
  </w:num>
  <w:num w:numId="27">
    <w:abstractNumId w:val="17"/>
  </w:num>
  <w:num w:numId="28">
    <w:abstractNumId w:val="16"/>
  </w:num>
  <w:num w:numId="29">
    <w:abstractNumId w:val="3"/>
  </w:num>
  <w:num w:numId="30">
    <w:abstractNumId w:val="26"/>
  </w:num>
  <w:num w:numId="31">
    <w:abstractNumId w:val="38"/>
  </w:num>
  <w:num w:numId="32">
    <w:abstractNumId w:val="14"/>
  </w:num>
  <w:num w:numId="33">
    <w:abstractNumId w:val="23"/>
  </w:num>
  <w:num w:numId="34">
    <w:abstractNumId w:val="18"/>
  </w:num>
  <w:num w:numId="35">
    <w:abstractNumId w:val="39"/>
  </w:num>
  <w:num w:numId="36">
    <w:abstractNumId w:val="27"/>
  </w:num>
  <w:num w:numId="37">
    <w:abstractNumId w:val="8"/>
  </w:num>
  <w:num w:numId="38">
    <w:abstractNumId w:val="46"/>
  </w:num>
  <w:num w:numId="39">
    <w:abstractNumId w:val="40"/>
  </w:num>
  <w:num w:numId="40">
    <w:abstractNumId w:val="11"/>
  </w:num>
  <w:num w:numId="41">
    <w:abstractNumId w:val="28"/>
  </w:num>
  <w:num w:numId="42">
    <w:abstractNumId w:val="31"/>
  </w:num>
  <w:num w:numId="43">
    <w:abstractNumId w:val="48"/>
  </w:num>
  <w:num w:numId="44">
    <w:abstractNumId w:val="13"/>
  </w:num>
  <w:num w:numId="45">
    <w:abstractNumId w:val="32"/>
  </w:num>
  <w:num w:numId="46">
    <w:abstractNumId w:val="41"/>
  </w:num>
  <w:num w:numId="47">
    <w:abstractNumId w:val="36"/>
  </w:num>
  <w:num w:numId="48">
    <w:abstractNumId w:val="19"/>
  </w:num>
  <w:num w:numId="49">
    <w:abstractNumId w:val="4"/>
  </w:num>
  <w:num w:numId="50">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hideSpellingErrors/>
  <w:hideGrammaticalErrors/>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C8E"/>
    <w:rsid w:val="000063CA"/>
    <w:rsid w:val="0001255D"/>
    <w:rsid w:val="00017A46"/>
    <w:rsid w:val="00023117"/>
    <w:rsid w:val="00026D07"/>
    <w:rsid w:val="00027E79"/>
    <w:rsid w:val="00033BAF"/>
    <w:rsid w:val="00036438"/>
    <w:rsid w:val="00037ACA"/>
    <w:rsid w:val="0004063C"/>
    <w:rsid w:val="0004083D"/>
    <w:rsid w:val="00040BBB"/>
    <w:rsid w:val="0004247F"/>
    <w:rsid w:val="00042FD4"/>
    <w:rsid w:val="00045C64"/>
    <w:rsid w:val="00051797"/>
    <w:rsid w:val="0005471F"/>
    <w:rsid w:val="00062AFB"/>
    <w:rsid w:val="00063089"/>
    <w:rsid w:val="000655DD"/>
    <w:rsid w:val="00071B83"/>
    <w:rsid w:val="00071F79"/>
    <w:rsid w:val="0007251B"/>
    <w:rsid w:val="00072990"/>
    <w:rsid w:val="000733A5"/>
    <w:rsid w:val="00075B0A"/>
    <w:rsid w:val="00082C5B"/>
    <w:rsid w:val="00083227"/>
    <w:rsid w:val="00086CBE"/>
    <w:rsid w:val="00090812"/>
    <w:rsid w:val="000909D6"/>
    <w:rsid w:val="000921F0"/>
    <w:rsid w:val="00095792"/>
    <w:rsid w:val="000A012A"/>
    <w:rsid w:val="000B1417"/>
    <w:rsid w:val="000B28AF"/>
    <w:rsid w:val="000C2309"/>
    <w:rsid w:val="000C37F9"/>
    <w:rsid w:val="000C48FA"/>
    <w:rsid w:val="000D4E9A"/>
    <w:rsid w:val="000D5EBC"/>
    <w:rsid w:val="000D7D44"/>
    <w:rsid w:val="000E01ED"/>
    <w:rsid w:val="000E52FB"/>
    <w:rsid w:val="000E6AD3"/>
    <w:rsid w:val="000E7248"/>
    <w:rsid w:val="000F1D2F"/>
    <w:rsid w:val="000F1E4A"/>
    <w:rsid w:val="000F2C5B"/>
    <w:rsid w:val="000F61EB"/>
    <w:rsid w:val="001001BB"/>
    <w:rsid w:val="00100D34"/>
    <w:rsid w:val="00103EFD"/>
    <w:rsid w:val="00107D87"/>
    <w:rsid w:val="00110BE2"/>
    <w:rsid w:val="00111F8F"/>
    <w:rsid w:val="00112E38"/>
    <w:rsid w:val="00122435"/>
    <w:rsid w:val="00123576"/>
    <w:rsid w:val="00123B31"/>
    <w:rsid w:val="001253F4"/>
    <w:rsid w:val="00127701"/>
    <w:rsid w:val="0013757F"/>
    <w:rsid w:val="0014028D"/>
    <w:rsid w:val="00144DFA"/>
    <w:rsid w:val="0015067F"/>
    <w:rsid w:val="00155652"/>
    <w:rsid w:val="00157482"/>
    <w:rsid w:val="001606B3"/>
    <w:rsid w:val="00162AFC"/>
    <w:rsid w:val="00164E6B"/>
    <w:rsid w:val="0016507E"/>
    <w:rsid w:val="001707D8"/>
    <w:rsid w:val="00171AF3"/>
    <w:rsid w:val="00172064"/>
    <w:rsid w:val="001808BF"/>
    <w:rsid w:val="001A7595"/>
    <w:rsid w:val="001B0A76"/>
    <w:rsid w:val="001B1F92"/>
    <w:rsid w:val="001B5A2A"/>
    <w:rsid w:val="001D1C73"/>
    <w:rsid w:val="001D7139"/>
    <w:rsid w:val="001E2667"/>
    <w:rsid w:val="001F4966"/>
    <w:rsid w:val="001F57F5"/>
    <w:rsid w:val="0020401C"/>
    <w:rsid w:val="0020629A"/>
    <w:rsid w:val="00206E11"/>
    <w:rsid w:val="00206FE3"/>
    <w:rsid w:val="00207554"/>
    <w:rsid w:val="00211261"/>
    <w:rsid w:val="00211CC1"/>
    <w:rsid w:val="00222F7E"/>
    <w:rsid w:val="0022409F"/>
    <w:rsid w:val="00226A1B"/>
    <w:rsid w:val="00230448"/>
    <w:rsid w:val="00234C83"/>
    <w:rsid w:val="00235AEA"/>
    <w:rsid w:val="00236573"/>
    <w:rsid w:val="00240271"/>
    <w:rsid w:val="0024268E"/>
    <w:rsid w:val="00246F38"/>
    <w:rsid w:val="0025151B"/>
    <w:rsid w:val="002517BB"/>
    <w:rsid w:val="00256E24"/>
    <w:rsid w:val="002651F9"/>
    <w:rsid w:val="00265491"/>
    <w:rsid w:val="00265D34"/>
    <w:rsid w:val="00275844"/>
    <w:rsid w:val="00276CE2"/>
    <w:rsid w:val="0028577E"/>
    <w:rsid w:val="002869EA"/>
    <w:rsid w:val="00287AF1"/>
    <w:rsid w:val="00287BCF"/>
    <w:rsid w:val="00292868"/>
    <w:rsid w:val="0029398B"/>
    <w:rsid w:val="002A3943"/>
    <w:rsid w:val="002A41C6"/>
    <w:rsid w:val="002B1344"/>
    <w:rsid w:val="002B1BE9"/>
    <w:rsid w:val="002B785B"/>
    <w:rsid w:val="002C2ABF"/>
    <w:rsid w:val="002C3ECD"/>
    <w:rsid w:val="002C76D6"/>
    <w:rsid w:val="002D2711"/>
    <w:rsid w:val="002D3A28"/>
    <w:rsid w:val="002E6CCF"/>
    <w:rsid w:val="002E6F7E"/>
    <w:rsid w:val="002F1C8D"/>
    <w:rsid w:val="002F33D0"/>
    <w:rsid w:val="00300722"/>
    <w:rsid w:val="003016AB"/>
    <w:rsid w:val="0030316D"/>
    <w:rsid w:val="00314205"/>
    <w:rsid w:val="003156B7"/>
    <w:rsid w:val="00321B21"/>
    <w:rsid w:val="003234B0"/>
    <w:rsid w:val="00324C1F"/>
    <w:rsid w:val="003309DE"/>
    <w:rsid w:val="00335641"/>
    <w:rsid w:val="003401DC"/>
    <w:rsid w:val="00364045"/>
    <w:rsid w:val="003652E2"/>
    <w:rsid w:val="003661BE"/>
    <w:rsid w:val="00367A54"/>
    <w:rsid w:val="00371C7C"/>
    <w:rsid w:val="00373D2F"/>
    <w:rsid w:val="0037411F"/>
    <w:rsid w:val="00375E08"/>
    <w:rsid w:val="0038477E"/>
    <w:rsid w:val="003868BC"/>
    <w:rsid w:val="0039254B"/>
    <w:rsid w:val="003941AE"/>
    <w:rsid w:val="003A0251"/>
    <w:rsid w:val="003A3936"/>
    <w:rsid w:val="003A7774"/>
    <w:rsid w:val="003B029D"/>
    <w:rsid w:val="003B0DE7"/>
    <w:rsid w:val="003B37EB"/>
    <w:rsid w:val="003B75AA"/>
    <w:rsid w:val="003B79F0"/>
    <w:rsid w:val="003C0CC3"/>
    <w:rsid w:val="003C338A"/>
    <w:rsid w:val="003C3C7A"/>
    <w:rsid w:val="003C7358"/>
    <w:rsid w:val="003D5DAC"/>
    <w:rsid w:val="003E1032"/>
    <w:rsid w:val="003E46EA"/>
    <w:rsid w:val="003E61F6"/>
    <w:rsid w:val="003E7D59"/>
    <w:rsid w:val="003F0264"/>
    <w:rsid w:val="003F29A3"/>
    <w:rsid w:val="003F7422"/>
    <w:rsid w:val="004011DC"/>
    <w:rsid w:val="0040598F"/>
    <w:rsid w:val="00406715"/>
    <w:rsid w:val="00407537"/>
    <w:rsid w:val="00407659"/>
    <w:rsid w:val="00410F13"/>
    <w:rsid w:val="0041111A"/>
    <w:rsid w:val="004165BD"/>
    <w:rsid w:val="0042220D"/>
    <w:rsid w:val="00426A99"/>
    <w:rsid w:val="00426CBC"/>
    <w:rsid w:val="004327AA"/>
    <w:rsid w:val="00432F10"/>
    <w:rsid w:val="0043377A"/>
    <w:rsid w:val="004379B6"/>
    <w:rsid w:val="004408E8"/>
    <w:rsid w:val="00440A70"/>
    <w:rsid w:val="0044428E"/>
    <w:rsid w:val="00446465"/>
    <w:rsid w:val="00452207"/>
    <w:rsid w:val="0045769D"/>
    <w:rsid w:val="00457CB7"/>
    <w:rsid w:val="00460D54"/>
    <w:rsid w:val="00461D3E"/>
    <w:rsid w:val="00463DAD"/>
    <w:rsid w:val="00467CDE"/>
    <w:rsid w:val="004706CC"/>
    <w:rsid w:val="00471DBD"/>
    <w:rsid w:val="00471E95"/>
    <w:rsid w:val="00473207"/>
    <w:rsid w:val="0047765C"/>
    <w:rsid w:val="0048346C"/>
    <w:rsid w:val="00490963"/>
    <w:rsid w:val="004A2167"/>
    <w:rsid w:val="004A4C96"/>
    <w:rsid w:val="004A7E16"/>
    <w:rsid w:val="004B0CAE"/>
    <w:rsid w:val="004B441C"/>
    <w:rsid w:val="004B557B"/>
    <w:rsid w:val="004B75AC"/>
    <w:rsid w:val="004C0134"/>
    <w:rsid w:val="004C3644"/>
    <w:rsid w:val="004C63E5"/>
    <w:rsid w:val="004D12DD"/>
    <w:rsid w:val="004D1364"/>
    <w:rsid w:val="004D62B8"/>
    <w:rsid w:val="004D72CC"/>
    <w:rsid w:val="004E5778"/>
    <w:rsid w:val="004E7ED8"/>
    <w:rsid w:val="004F3876"/>
    <w:rsid w:val="0050376D"/>
    <w:rsid w:val="00507EED"/>
    <w:rsid w:val="00511E79"/>
    <w:rsid w:val="00511F1A"/>
    <w:rsid w:val="00512C25"/>
    <w:rsid w:val="005138C1"/>
    <w:rsid w:val="00516D4C"/>
    <w:rsid w:val="00524E08"/>
    <w:rsid w:val="005302CB"/>
    <w:rsid w:val="00532888"/>
    <w:rsid w:val="0053319F"/>
    <w:rsid w:val="005439C8"/>
    <w:rsid w:val="0054633E"/>
    <w:rsid w:val="005516C1"/>
    <w:rsid w:val="005525A9"/>
    <w:rsid w:val="0055434C"/>
    <w:rsid w:val="005552ED"/>
    <w:rsid w:val="00563D81"/>
    <w:rsid w:val="00563E1E"/>
    <w:rsid w:val="00564B75"/>
    <w:rsid w:val="00567C65"/>
    <w:rsid w:val="005750FE"/>
    <w:rsid w:val="00591283"/>
    <w:rsid w:val="005A3BF2"/>
    <w:rsid w:val="005A61CE"/>
    <w:rsid w:val="005A7E5A"/>
    <w:rsid w:val="005B1285"/>
    <w:rsid w:val="005B1410"/>
    <w:rsid w:val="005B23F8"/>
    <w:rsid w:val="005B3274"/>
    <w:rsid w:val="005B49F5"/>
    <w:rsid w:val="005B54DE"/>
    <w:rsid w:val="005C47A2"/>
    <w:rsid w:val="005D26D3"/>
    <w:rsid w:val="005D4A40"/>
    <w:rsid w:val="005E0393"/>
    <w:rsid w:val="005E493B"/>
    <w:rsid w:val="005E6290"/>
    <w:rsid w:val="005F1CB3"/>
    <w:rsid w:val="005F2951"/>
    <w:rsid w:val="005F7A5C"/>
    <w:rsid w:val="00604B7A"/>
    <w:rsid w:val="00612844"/>
    <w:rsid w:val="00613078"/>
    <w:rsid w:val="00616D5F"/>
    <w:rsid w:val="00624DDC"/>
    <w:rsid w:val="006253B6"/>
    <w:rsid w:val="006257ED"/>
    <w:rsid w:val="0062686E"/>
    <w:rsid w:val="00630B30"/>
    <w:rsid w:val="006339C7"/>
    <w:rsid w:val="00634FAF"/>
    <w:rsid w:val="00644187"/>
    <w:rsid w:val="006446BB"/>
    <w:rsid w:val="00651FF6"/>
    <w:rsid w:val="00652328"/>
    <w:rsid w:val="006530F9"/>
    <w:rsid w:val="00656DA7"/>
    <w:rsid w:val="00662B05"/>
    <w:rsid w:val="00664575"/>
    <w:rsid w:val="00675791"/>
    <w:rsid w:val="006802F3"/>
    <w:rsid w:val="00682071"/>
    <w:rsid w:val="0068303E"/>
    <w:rsid w:val="0068383E"/>
    <w:rsid w:val="00685CF4"/>
    <w:rsid w:val="00692CDC"/>
    <w:rsid w:val="006958FF"/>
    <w:rsid w:val="00696173"/>
    <w:rsid w:val="00696875"/>
    <w:rsid w:val="00697501"/>
    <w:rsid w:val="006A34DC"/>
    <w:rsid w:val="006A4D02"/>
    <w:rsid w:val="006A7B1C"/>
    <w:rsid w:val="006B12B5"/>
    <w:rsid w:val="006B1BF9"/>
    <w:rsid w:val="006B31DA"/>
    <w:rsid w:val="006B53F1"/>
    <w:rsid w:val="006B6037"/>
    <w:rsid w:val="006C0E56"/>
    <w:rsid w:val="006C5AA0"/>
    <w:rsid w:val="006D5074"/>
    <w:rsid w:val="006D6A25"/>
    <w:rsid w:val="006E4F82"/>
    <w:rsid w:val="006E7942"/>
    <w:rsid w:val="006F0477"/>
    <w:rsid w:val="00702509"/>
    <w:rsid w:val="00703319"/>
    <w:rsid w:val="007105F4"/>
    <w:rsid w:val="0071247B"/>
    <w:rsid w:val="00717688"/>
    <w:rsid w:val="00717BDC"/>
    <w:rsid w:val="00723A28"/>
    <w:rsid w:val="00736B62"/>
    <w:rsid w:val="00737732"/>
    <w:rsid w:val="00740D3D"/>
    <w:rsid w:val="007640CF"/>
    <w:rsid w:val="00764C85"/>
    <w:rsid w:val="00767ABA"/>
    <w:rsid w:val="0077024D"/>
    <w:rsid w:val="00774A62"/>
    <w:rsid w:val="007809F1"/>
    <w:rsid w:val="00785F21"/>
    <w:rsid w:val="00793E3E"/>
    <w:rsid w:val="00795719"/>
    <w:rsid w:val="007A29C5"/>
    <w:rsid w:val="007B0350"/>
    <w:rsid w:val="007B430F"/>
    <w:rsid w:val="007C0490"/>
    <w:rsid w:val="007C377C"/>
    <w:rsid w:val="007C7B4B"/>
    <w:rsid w:val="007D209A"/>
    <w:rsid w:val="007D57B3"/>
    <w:rsid w:val="007D7760"/>
    <w:rsid w:val="007E74BA"/>
    <w:rsid w:val="007F2BBC"/>
    <w:rsid w:val="007F506C"/>
    <w:rsid w:val="00802917"/>
    <w:rsid w:val="00802D44"/>
    <w:rsid w:val="00803177"/>
    <w:rsid w:val="00803272"/>
    <w:rsid w:val="00811A06"/>
    <w:rsid w:val="008220E0"/>
    <w:rsid w:val="00822117"/>
    <w:rsid w:val="00823428"/>
    <w:rsid w:val="00826931"/>
    <w:rsid w:val="00833AD1"/>
    <w:rsid w:val="008369BA"/>
    <w:rsid w:val="00837EBC"/>
    <w:rsid w:val="00840D32"/>
    <w:rsid w:val="00840FEA"/>
    <w:rsid w:val="008432A7"/>
    <w:rsid w:val="00843933"/>
    <w:rsid w:val="008445AA"/>
    <w:rsid w:val="00844B03"/>
    <w:rsid w:val="00854FC4"/>
    <w:rsid w:val="0086046E"/>
    <w:rsid w:val="00864C1F"/>
    <w:rsid w:val="008678D0"/>
    <w:rsid w:val="00870FA1"/>
    <w:rsid w:val="0087310F"/>
    <w:rsid w:val="00875220"/>
    <w:rsid w:val="0088286C"/>
    <w:rsid w:val="008831FC"/>
    <w:rsid w:val="00891CD9"/>
    <w:rsid w:val="008A056C"/>
    <w:rsid w:val="008A25E9"/>
    <w:rsid w:val="008A5DE4"/>
    <w:rsid w:val="008B741A"/>
    <w:rsid w:val="008C173B"/>
    <w:rsid w:val="008C4198"/>
    <w:rsid w:val="008D4047"/>
    <w:rsid w:val="008E0239"/>
    <w:rsid w:val="008E0597"/>
    <w:rsid w:val="008E113E"/>
    <w:rsid w:val="008E4718"/>
    <w:rsid w:val="008F2446"/>
    <w:rsid w:val="00901040"/>
    <w:rsid w:val="00903685"/>
    <w:rsid w:val="0090499D"/>
    <w:rsid w:val="00906B73"/>
    <w:rsid w:val="009139B3"/>
    <w:rsid w:val="00921BEE"/>
    <w:rsid w:val="00923F25"/>
    <w:rsid w:val="0093025A"/>
    <w:rsid w:val="00936892"/>
    <w:rsid w:val="00956A30"/>
    <w:rsid w:val="00963503"/>
    <w:rsid w:val="00965DBD"/>
    <w:rsid w:val="00971944"/>
    <w:rsid w:val="00971B15"/>
    <w:rsid w:val="00975B8C"/>
    <w:rsid w:val="009815C6"/>
    <w:rsid w:val="00983217"/>
    <w:rsid w:val="00983D52"/>
    <w:rsid w:val="009864CB"/>
    <w:rsid w:val="00990727"/>
    <w:rsid w:val="00996201"/>
    <w:rsid w:val="0099671D"/>
    <w:rsid w:val="009A0555"/>
    <w:rsid w:val="009A39E1"/>
    <w:rsid w:val="009A3AD8"/>
    <w:rsid w:val="009A6EE8"/>
    <w:rsid w:val="009A7867"/>
    <w:rsid w:val="009B0F58"/>
    <w:rsid w:val="009B14F9"/>
    <w:rsid w:val="009B2041"/>
    <w:rsid w:val="009C1463"/>
    <w:rsid w:val="009C1A15"/>
    <w:rsid w:val="009C3380"/>
    <w:rsid w:val="009D4F2C"/>
    <w:rsid w:val="009E3750"/>
    <w:rsid w:val="009E451E"/>
    <w:rsid w:val="009E7D26"/>
    <w:rsid w:val="009E7E38"/>
    <w:rsid w:val="009F07E4"/>
    <w:rsid w:val="009F265B"/>
    <w:rsid w:val="009F4405"/>
    <w:rsid w:val="009F482C"/>
    <w:rsid w:val="009F49E0"/>
    <w:rsid w:val="009F68DB"/>
    <w:rsid w:val="00A0097D"/>
    <w:rsid w:val="00A03E3F"/>
    <w:rsid w:val="00A04D4A"/>
    <w:rsid w:val="00A073D7"/>
    <w:rsid w:val="00A1108E"/>
    <w:rsid w:val="00A1301C"/>
    <w:rsid w:val="00A14BAD"/>
    <w:rsid w:val="00A25528"/>
    <w:rsid w:val="00A27CD0"/>
    <w:rsid w:val="00A34698"/>
    <w:rsid w:val="00A35C3C"/>
    <w:rsid w:val="00A362B6"/>
    <w:rsid w:val="00A4600C"/>
    <w:rsid w:val="00A54670"/>
    <w:rsid w:val="00A54727"/>
    <w:rsid w:val="00A56E50"/>
    <w:rsid w:val="00A61B5A"/>
    <w:rsid w:val="00A63F3D"/>
    <w:rsid w:val="00A654C8"/>
    <w:rsid w:val="00A67DFF"/>
    <w:rsid w:val="00A71475"/>
    <w:rsid w:val="00A714DC"/>
    <w:rsid w:val="00A7179C"/>
    <w:rsid w:val="00A71FE5"/>
    <w:rsid w:val="00A761CB"/>
    <w:rsid w:val="00A81500"/>
    <w:rsid w:val="00A8415A"/>
    <w:rsid w:val="00A85701"/>
    <w:rsid w:val="00A9277D"/>
    <w:rsid w:val="00A93035"/>
    <w:rsid w:val="00AA2251"/>
    <w:rsid w:val="00AA347C"/>
    <w:rsid w:val="00AB36C8"/>
    <w:rsid w:val="00AB78CB"/>
    <w:rsid w:val="00AC103F"/>
    <w:rsid w:val="00AC1A8B"/>
    <w:rsid w:val="00AD3261"/>
    <w:rsid w:val="00AD4355"/>
    <w:rsid w:val="00AE3D93"/>
    <w:rsid w:val="00AE3F5F"/>
    <w:rsid w:val="00AF3319"/>
    <w:rsid w:val="00AF4E0B"/>
    <w:rsid w:val="00B06CA6"/>
    <w:rsid w:val="00B11339"/>
    <w:rsid w:val="00B13DC4"/>
    <w:rsid w:val="00B15836"/>
    <w:rsid w:val="00B17B7C"/>
    <w:rsid w:val="00B23277"/>
    <w:rsid w:val="00B245AD"/>
    <w:rsid w:val="00B24F83"/>
    <w:rsid w:val="00B25DC8"/>
    <w:rsid w:val="00B355A2"/>
    <w:rsid w:val="00B370EE"/>
    <w:rsid w:val="00B4182B"/>
    <w:rsid w:val="00B51DA9"/>
    <w:rsid w:val="00B55E54"/>
    <w:rsid w:val="00B56589"/>
    <w:rsid w:val="00B57124"/>
    <w:rsid w:val="00B64D05"/>
    <w:rsid w:val="00B65DB4"/>
    <w:rsid w:val="00B702B6"/>
    <w:rsid w:val="00B702E0"/>
    <w:rsid w:val="00B70460"/>
    <w:rsid w:val="00B7086F"/>
    <w:rsid w:val="00B719F4"/>
    <w:rsid w:val="00B731D5"/>
    <w:rsid w:val="00B871E8"/>
    <w:rsid w:val="00B9441B"/>
    <w:rsid w:val="00BA3996"/>
    <w:rsid w:val="00BA3EB5"/>
    <w:rsid w:val="00BA5034"/>
    <w:rsid w:val="00BB4BF8"/>
    <w:rsid w:val="00BB69DE"/>
    <w:rsid w:val="00BC1F0B"/>
    <w:rsid w:val="00BC42A5"/>
    <w:rsid w:val="00BC64A5"/>
    <w:rsid w:val="00BD0828"/>
    <w:rsid w:val="00BD2950"/>
    <w:rsid w:val="00BD702B"/>
    <w:rsid w:val="00BD7B78"/>
    <w:rsid w:val="00BE2635"/>
    <w:rsid w:val="00BE492A"/>
    <w:rsid w:val="00BE773B"/>
    <w:rsid w:val="00BF430A"/>
    <w:rsid w:val="00C05352"/>
    <w:rsid w:val="00C06F6A"/>
    <w:rsid w:val="00C10C45"/>
    <w:rsid w:val="00C11DBC"/>
    <w:rsid w:val="00C13F1D"/>
    <w:rsid w:val="00C2485A"/>
    <w:rsid w:val="00C27AE3"/>
    <w:rsid w:val="00C32404"/>
    <w:rsid w:val="00C35EB1"/>
    <w:rsid w:val="00C36A2A"/>
    <w:rsid w:val="00C55B01"/>
    <w:rsid w:val="00C60A9A"/>
    <w:rsid w:val="00C619C5"/>
    <w:rsid w:val="00C62A96"/>
    <w:rsid w:val="00C65B42"/>
    <w:rsid w:val="00C67074"/>
    <w:rsid w:val="00C73360"/>
    <w:rsid w:val="00C86CB2"/>
    <w:rsid w:val="00C872D2"/>
    <w:rsid w:val="00C91C71"/>
    <w:rsid w:val="00C95126"/>
    <w:rsid w:val="00C960A2"/>
    <w:rsid w:val="00CA72A5"/>
    <w:rsid w:val="00CB4832"/>
    <w:rsid w:val="00CB4ABE"/>
    <w:rsid w:val="00CC07BF"/>
    <w:rsid w:val="00CC2B50"/>
    <w:rsid w:val="00CC4651"/>
    <w:rsid w:val="00CD2E08"/>
    <w:rsid w:val="00CD3C39"/>
    <w:rsid w:val="00CD5261"/>
    <w:rsid w:val="00CE018E"/>
    <w:rsid w:val="00CE0589"/>
    <w:rsid w:val="00CE6C45"/>
    <w:rsid w:val="00CE7A4A"/>
    <w:rsid w:val="00CF2E10"/>
    <w:rsid w:val="00CF3B98"/>
    <w:rsid w:val="00D01A50"/>
    <w:rsid w:val="00D03C38"/>
    <w:rsid w:val="00D12ACC"/>
    <w:rsid w:val="00D1343F"/>
    <w:rsid w:val="00D13AA8"/>
    <w:rsid w:val="00D1684E"/>
    <w:rsid w:val="00D2354F"/>
    <w:rsid w:val="00D239B5"/>
    <w:rsid w:val="00D32B72"/>
    <w:rsid w:val="00D40021"/>
    <w:rsid w:val="00D4033C"/>
    <w:rsid w:val="00D45504"/>
    <w:rsid w:val="00D5346A"/>
    <w:rsid w:val="00D53CF7"/>
    <w:rsid w:val="00D54D7A"/>
    <w:rsid w:val="00D55767"/>
    <w:rsid w:val="00D57497"/>
    <w:rsid w:val="00D71BA0"/>
    <w:rsid w:val="00D749DF"/>
    <w:rsid w:val="00D7589E"/>
    <w:rsid w:val="00D82755"/>
    <w:rsid w:val="00D82E67"/>
    <w:rsid w:val="00D831AC"/>
    <w:rsid w:val="00D838ED"/>
    <w:rsid w:val="00D853D1"/>
    <w:rsid w:val="00D93BA0"/>
    <w:rsid w:val="00D97926"/>
    <w:rsid w:val="00DA3557"/>
    <w:rsid w:val="00DA4701"/>
    <w:rsid w:val="00DA5727"/>
    <w:rsid w:val="00DA5D60"/>
    <w:rsid w:val="00DA6451"/>
    <w:rsid w:val="00DB00C2"/>
    <w:rsid w:val="00DC1609"/>
    <w:rsid w:val="00DC4BA3"/>
    <w:rsid w:val="00DC65F2"/>
    <w:rsid w:val="00DC6D9C"/>
    <w:rsid w:val="00DC7876"/>
    <w:rsid w:val="00DC7DD5"/>
    <w:rsid w:val="00DD2991"/>
    <w:rsid w:val="00DE2508"/>
    <w:rsid w:val="00DE3ED7"/>
    <w:rsid w:val="00DF1291"/>
    <w:rsid w:val="00DF29EB"/>
    <w:rsid w:val="00E00132"/>
    <w:rsid w:val="00E02E48"/>
    <w:rsid w:val="00E07390"/>
    <w:rsid w:val="00E11217"/>
    <w:rsid w:val="00E1392C"/>
    <w:rsid w:val="00E13A45"/>
    <w:rsid w:val="00E16C14"/>
    <w:rsid w:val="00E22AC6"/>
    <w:rsid w:val="00E23556"/>
    <w:rsid w:val="00E23C59"/>
    <w:rsid w:val="00E24830"/>
    <w:rsid w:val="00E27848"/>
    <w:rsid w:val="00E318A6"/>
    <w:rsid w:val="00E32521"/>
    <w:rsid w:val="00E32606"/>
    <w:rsid w:val="00E41C62"/>
    <w:rsid w:val="00E41EE9"/>
    <w:rsid w:val="00E43E00"/>
    <w:rsid w:val="00E45891"/>
    <w:rsid w:val="00E461D4"/>
    <w:rsid w:val="00E475C9"/>
    <w:rsid w:val="00E510D6"/>
    <w:rsid w:val="00E554AC"/>
    <w:rsid w:val="00E62285"/>
    <w:rsid w:val="00E62819"/>
    <w:rsid w:val="00E65888"/>
    <w:rsid w:val="00E70E37"/>
    <w:rsid w:val="00E71E25"/>
    <w:rsid w:val="00E83981"/>
    <w:rsid w:val="00E873C9"/>
    <w:rsid w:val="00E9045F"/>
    <w:rsid w:val="00EA0D4F"/>
    <w:rsid w:val="00EA169A"/>
    <w:rsid w:val="00EA405B"/>
    <w:rsid w:val="00EA41F8"/>
    <w:rsid w:val="00EB4C26"/>
    <w:rsid w:val="00EB6134"/>
    <w:rsid w:val="00EB7291"/>
    <w:rsid w:val="00EB7932"/>
    <w:rsid w:val="00EC1A6C"/>
    <w:rsid w:val="00ED1AD7"/>
    <w:rsid w:val="00ED3920"/>
    <w:rsid w:val="00ED6D4B"/>
    <w:rsid w:val="00ED7509"/>
    <w:rsid w:val="00ED7E52"/>
    <w:rsid w:val="00EE16CE"/>
    <w:rsid w:val="00EE38AF"/>
    <w:rsid w:val="00EE48A3"/>
    <w:rsid w:val="00EF254B"/>
    <w:rsid w:val="00EF2A1A"/>
    <w:rsid w:val="00EF2FED"/>
    <w:rsid w:val="00EF4FF2"/>
    <w:rsid w:val="00F026A5"/>
    <w:rsid w:val="00F071DE"/>
    <w:rsid w:val="00F07316"/>
    <w:rsid w:val="00F1147C"/>
    <w:rsid w:val="00F2081D"/>
    <w:rsid w:val="00F24573"/>
    <w:rsid w:val="00F26EC3"/>
    <w:rsid w:val="00F353DB"/>
    <w:rsid w:val="00F35B57"/>
    <w:rsid w:val="00F37767"/>
    <w:rsid w:val="00F42246"/>
    <w:rsid w:val="00F45632"/>
    <w:rsid w:val="00F478C2"/>
    <w:rsid w:val="00F52DE6"/>
    <w:rsid w:val="00F5548C"/>
    <w:rsid w:val="00F57184"/>
    <w:rsid w:val="00F616CB"/>
    <w:rsid w:val="00F646D7"/>
    <w:rsid w:val="00F7365E"/>
    <w:rsid w:val="00F74630"/>
    <w:rsid w:val="00F804E1"/>
    <w:rsid w:val="00F873F5"/>
    <w:rsid w:val="00F90588"/>
    <w:rsid w:val="00F9122A"/>
    <w:rsid w:val="00F93D1B"/>
    <w:rsid w:val="00FA1007"/>
    <w:rsid w:val="00FA20F6"/>
    <w:rsid w:val="00FA6D2C"/>
    <w:rsid w:val="00FB2E8D"/>
    <w:rsid w:val="00FB5BF6"/>
    <w:rsid w:val="00FC11CC"/>
    <w:rsid w:val="00FC4143"/>
    <w:rsid w:val="00FC779A"/>
    <w:rsid w:val="00FC7FBA"/>
    <w:rsid w:val="00FD0F4E"/>
    <w:rsid w:val="00FF12AF"/>
    <w:rsid w:val="00FF5544"/>
    <w:rsid w:val="00FF5C51"/>
    <w:rsid w:val="014EBB1A"/>
    <w:rsid w:val="023E0417"/>
    <w:rsid w:val="0636B47A"/>
    <w:rsid w:val="0FFD3D73"/>
    <w:rsid w:val="10ED1065"/>
    <w:rsid w:val="11C7AC5C"/>
    <w:rsid w:val="11C7AF0F"/>
    <w:rsid w:val="12C8E38A"/>
    <w:rsid w:val="135F9159"/>
    <w:rsid w:val="14FC2A2B"/>
    <w:rsid w:val="17158F15"/>
    <w:rsid w:val="182CCBB5"/>
    <w:rsid w:val="19C96FF5"/>
    <w:rsid w:val="1A0EC648"/>
    <w:rsid w:val="1AAF7E88"/>
    <w:rsid w:val="1CFF1879"/>
    <w:rsid w:val="1F2F85CA"/>
    <w:rsid w:val="236FC3A0"/>
    <w:rsid w:val="2405F5E2"/>
    <w:rsid w:val="2561A401"/>
    <w:rsid w:val="28A8A15D"/>
    <w:rsid w:val="29C47324"/>
    <w:rsid w:val="2B3BC97A"/>
    <w:rsid w:val="2DA470CF"/>
    <w:rsid w:val="2FDF7B20"/>
    <w:rsid w:val="3298609B"/>
    <w:rsid w:val="34CC6880"/>
    <w:rsid w:val="3529DF11"/>
    <w:rsid w:val="35563454"/>
    <w:rsid w:val="383547F1"/>
    <w:rsid w:val="38BEF440"/>
    <w:rsid w:val="3924A7AD"/>
    <w:rsid w:val="39754F5A"/>
    <w:rsid w:val="39A510BA"/>
    <w:rsid w:val="3D4F0D19"/>
    <w:rsid w:val="3E01FCAC"/>
    <w:rsid w:val="4051C5F8"/>
    <w:rsid w:val="40E961DD"/>
    <w:rsid w:val="437BE98E"/>
    <w:rsid w:val="441947EA"/>
    <w:rsid w:val="47227C26"/>
    <w:rsid w:val="4951A8F2"/>
    <w:rsid w:val="49A03A4C"/>
    <w:rsid w:val="49C9B999"/>
    <w:rsid w:val="4EC87917"/>
    <w:rsid w:val="4F6517C7"/>
    <w:rsid w:val="50577839"/>
    <w:rsid w:val="519B2705"/>
    <w:rsid w:val="54C109C0"/>
    <w:rsid w:val="583BD67B"/>
    <w:rsid w:val="5932F3B9"/>
    <w:rsid w:val="59C01102"/>
    <w:rsid w:val="5A4C9FBA"/>
    <w:rsid w:val="5BAC5AC5"/>
    <w:rsid w:val="5DB11F69"/>
    <w:rsid w:val="5E8D9EFC"/>
    <w:rsid w:val="5E99D1ED"/>
    <w:rsid w:val="61FC9BF3"/>
    <w:rsid w:val="656C7BEC"/>
    <w:rsid w:val="67441312"/>
    <w:rsid w:val="67A2AF59"/>
    <w:rsid w:val="6B30C9CD"/>
    <w:rsid w:val="6C25D91B"/>
    <w:rsid w:val="6F007A4E"/>
    <w:rsid w:val="71DD3634"/>
    <w:rsid w:val="7337F6D0"/>
    <w:rsid w:val="740075BD"/>
    <w:rsid w:val="751934C6"/>
    <w:rsid w:val="78DB3CFF"/>
    <w:rsid w:val="7AF9BFE0"/>
    <w:rsid w:val="7C717732"/>
    <w:rsid w:val="7F359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8831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Heading2Char">
    <w:name w:val="Heading 2 Char"/>
    <w:basedOn w:val="DefaultParagraphFont"/>
    <w:link w:val="Heading2"/>
    <w:uiPriority w:val="9"/>
    <w:semiHidden/>
    <w:rsid w:val="008831F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unhideWhenUsed/>
    <w:rsid w:val="00B06CA6"/>
    <w:rPr>
      <w:color w:val="605E5C"/>
      <w:shd w:val="clear" w:color="auto" w:fill="E1DFDD"/>
    </w:rPr>
  </w:style>
  <w:style w:type="paragraph" w:customStyle="1" w:styleId="NormalSS">
    <w:name w:val="NormalSS"/>
    <w:basedOn w:val="Normal"/>
    <w:link w:val="NormalSSChar"/>
    <w:qFormat/>
    <w:rsid w:val="00C35EB1"/>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C35EB1"/>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6D5074"/>
    <w:rPr>
      <w:color w:val="800080" w:themeColor="followedHyperlink"/>
      <w:u w:val="single"/>
    </w:rPr>
  </w:style>
  <w:style w:type="character" w:styleId="Mention">
    <w:name w:val="Mention"/>
    <w:basedOn w:val="DefaultParagraphFont"/>
    <w:uiPriority w:val="99"/>
    <w:unhideWhenUsed/>
    <w:rsid w:val="003F7422"/>
    <w:rPr>
      <w:color w:val="2B579A"/>
      <w:shd w:val="clear" w:color="auto" w:fill="E1DFDD"/>
    </w:rPr>
  </w:style>
  <w:style w:type="paragraph" w:customStyle="1" w:styleId="commentcontentpara">
    <w:name w:val="commentcontentpara"/>
    <w:basedOn w:val="Normal"/>
    <w:rsid w:val="00E235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61205">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00324847">
      <w:bodyDiv w:val="1"/>
      <w:marLeft w:val="0"/>
      <w:marRight w:val="0"/>
      <w:marTop w:val="0"/>
      <w:marBottom w:val="0"/>
      <w:divBdr>
        <w:top w:val="none" w:sz="0" w:space="0" w:color="auto"/>
        <w:left w:val="none" w:sz="0" w:space="0" w:color="auto"/>
        <w:bottom w:val="none" w:sz="0" w:space="0" w:color="auto"/>
        <w:right w:val="none" w:sz="0" w:space="0" w:color="auto"/>
      </w:divBdr>
    </w:div>
    <w:div w:id="425927402">
      <w:bodyDiv w:val="1"/>
      <w:marLeft w:val="0"/>
      <w:marRight w:val="0"/>
      <w:marTop w:val="0"/>
      <w:marBottom w:val="0"/>
      <w:divBdr>
        <w:top w:val="none" w:sz="0" w:space="0" w:color="auto"/>
        <w:left w:val="none" w:sz="0" w:space="0" w:color="auto"/>
        <w:bottom w:val="none" w:sz="0" w:space="0" w:color="auto"/>
        <w:right w:val="none" w:sz="0" w:space="0" w:color="auto"/>
      </w:divBdr>
    </w:div>
    <w:div w:id="522061588">
      <w:bodyDiv w:val="1"/>
      <w:marLeft w:val="0"/>
      <w:marRight w:val="0"/>
      <w:marTop w:val="0"/>
      <w:marBottom w:val="0"/>
      <w:divBdr>
        <w:top w:val="none" w:sz="0" w:space="0" w:color="auto"/>
        <w:left w:val="none" w:sz="0" w:space="0" w:color="auto"/>
        <w:bottom w:val="none" w:sz="0" w:space="0" w:color="auto"/>
        <w:right w:val="none" w:sz="0" w:space="0" w:color="auto"/>
      </w:divBdr>
    </w:div>
    <w:div w:id="53380840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1865084">
      <w:bodyDiv w:val="1"/>
      <w:marLeft w:val="0"/>
      <w:marRight w:val="0"/>
      <w:marTop w:val="0"/>
      <w:marBottom w:val="0"/>
      <w:divBdr>
        <w:top w:val="none" w:sz="0" w:space="0" w:color="auto"/>
        <w:left w:val="none" w:sz="0" w:space="0" w:color="auto"/>
        <w:bottom w:val="none" w:sz="0" w:space="0" w:color="auto"/>
        <w:right w:val="none" w:sz="0" w:space="0" w:color="auto"/>
      </w:divBdr>
    </w:div>
    <w:div w:id="619184396">
      <w:bodyDiv w:val="1"/>
      <w:marLeft w:val="0"/>
      <w:marRight w:val="0"/>
      <w:marTop w:val="0"/>
      <w:marBottom w:val="0"/>
      <w:divBdr>
        <w:top w:val="none" w:sz="0" w:space="0" w:color="auto"/>
        <w:left w:val="none" w:sz="0" w:space="0" w:color="auto"/>
        <w:bottom w:val="none" w:sz="0" w:space="0" w:color="auto"/>
        <w:right w:val="none" w:sz="0" w:space="0" w:color="auto"/>
      </w:divBdr>
    </w:div>
    <w:div w:id="67063924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3457297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75027404">
      <w:bodyDiv w:val="1"/>
      <w:marLeft w:val="0"/>
      <w:marRight w:val="0"/>
      <w:marTop w:val="0"/>
      <w:marBottom w:val="0"/>
      <w:divBdr>
        <w:top w:val="none" w:sz="0" w:space="0" w:color="auto"/>
        <w:left w:val="none" w:sz="0" w:space="0" w:color="auto"/>
        <w:bottom w:val="none" w:sz="0" w:space="0" w:color="auto"/>
        <w:right w:val="none" w:sz="0" w:space="0" w:color="auto"/>
      </w:divBdr>
    </w:div>
    <w:div w:id="1654526405">
      <w:bodyDiv w:val="1"/>
      <w:marLeft w:val="0"/>
      <w:marRight w:val="0"/>
      <w:marTop w:val="0"/>
      <w:marBottom w:val="0"/>
      <w:divBdr>
        <w:top w:val="none" w:sz="0" w:space="0" w:color="auto"/>
        <w:left w:val="none" w:sz="0" w:space="0" w:color="auto"/>
        <w:bottom w:val="none" w:sz="0" w:space="0" w:color="auto"/>
        <w:right w:val="none" w:sz="0" w:space="0" w:color="auto"/>
      </w:divBdr>
    </w:div>
    <w:div w:id="1788306805">
      <w:bodyDiv w:val="1"/>
      <w:marLeft w:val="0"/>
      <w:marRight w:val="0"/>
      <w:marTop w:val="0"/>
      <w:marBottom w:val="0"/>
      <w:divBdr>
        <w:top w:val="none" w:sz="0" w:space="0" w:color="auto"/>
        <w:left w:val="none" w:sz="0" w:space="0" w:color="auto"/>
        <w:bottom w:val="none" w:sz="0" w:space="0" w:color="auto"/>
        <w:right w:val="none" w:sz="0" w:space="0" w:color="auto"/>
      </w:divBdr>
      <w:divsChild>
        <w:div w:id="1722830085">
          <w:marLeft w:val="0"/>
          <w:marRight w:val="0"/>
          <w:marTop w:val="0"/>
          <w:marBottom w:val="0"/>
          <w:divBdr>
            <w:top w:val="none" w:sz="0" w:space="0" w:color="auto"/>
            <w:left w:val="none" w:sz="0" w:space="0" w:color="auto"/>
            <w:bottom w:val="none" w:sz="0" w:space="0" w:color="auto"/>
            <w:right w:val="none" w:sz="0" w:space="0" w:color="auto"/>
          </w:divBdr>
        </w:div>
      </w:divsChild>
    </w:div>
    <w:div w:id="1936674098">
      <w:bodyDiv w:val="1"/>
      <w:marLeft w:val="0"/>
      <w:marRight w:val="0"/>
      <w:marTop w:val="0"/>
      <w:marBottom w:val="0"/>
      <w:divBdr>
        <w:top w:val="none" w:sz="0" w:space="0" w:color="auto"/>
        <w:left w:val="none" w:sz="0" w:space="0" w:color="auto"/>
        <w:bottom w:val="none" w:sz="0" w:space="0" w:color="auto"/>
        <w:right w:val="none" w:sz="0" w:space="0" w:color="auto"/>
      </w:divBdr>
    </w:div>
    <w:div w:id="211936884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stru.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F0514C07A8894FBDD3B4BC21666460" ma:contentTypeVersion="4" ma:contentTypeDescription="Create a new document." ma:contentTypeScope="" ma:versionID="4f02c8a1ccd634a9f7822b8301890fc1">
  <xsd:schema xmlns:xsd="http://www.w3.org/2001/XMLSchema" xmlns:xs="http://www.w3.org/2001/XMLSchema" xmlns:p="http://schemas.microsoft.com/office/2006/metadata/properties" xmlns:ns2="4136e920-e157-482c-a29e-b86e95cc38ec" targetNamespace="http://schemas.microsoft.com/office/2006/metadata/properties" ma:root="true" ma:fieldsID="4bb5c90ca786d23bdaacc3fcabe4a573" ns2:_="">
    <xsd:import namespace="4136e920-e157-482c-a29e-b86e95cc3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920-e157-482c-a29e-b86e95cc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3.xml><?xml version="1.0" encoding="utf-8"?>
<ds:datastoreItem xmlns:ds="http://schemas.openxmlformats.org/officeDocument/2006/customXml" ds:itemID="{7522E30F-BADA-4C31-A56A-A52F99803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920-e157-482c-a29e-b86e95cc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4453</Words>
  <Characters>25384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Strelevitz</dc:creator>
  <cp:lastModifiedBy>Mathematica</cp:lastModifiedBy>
  <cp:revision>3</cp:revision>
  <dcterms:created xsi:type="dcterms:W3CDTF">2022-04-20T13:35:00Z</dcterms:created>
  <dcterms:modified xsi:type="dcterms:W3CDTF">2022-04-20T13:35:00Z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0x0101000DF0514C07A8894FBDD3B4BC21666460</vt:lpwstr>
  </property>
</Properties>
</file>