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97668D" w:rsidRDefault="007E6736" w14:paraId="3A35AB11" w14:textId="204A9412">
      <w:pPr>
        <w:spacing w:after="0"/>
        <w:rPr>
          <w:rFonts w:eastAsia="Arial Unicode MS" w:cstheme="minorHAnsi"/>
          <w:noProof/>
        </w:rPr>
      </w:pPr>
      <w:r>
        <w:rPr>
          <w:rFonts w:cstheme="minorHAnsi"/>
          <w:b/>
        </w:rPr>
        <w:t xml:space="preserve"> </w:t>
      </w: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9139B3" w:rsidR="00660745" w:rsidP="00660745" w:rsidRDefault="00660745" w14:paraId="0901C4E7" w14:textId="77777777">
      <w:pPr>
        <w:pStyle w:val="ReportCover-Title"/>
        <w:jc w:val="center"/>
        <w:rPr>
          <w:rFonts w:ascii="Arial" w:hAnsi="Arial" w:cs="Arial"/>
          <w:color w:val="auto"/>
        </w:rPr>
      </w:pPr>
      <w:r>
        <w:rPr>
          <w:rFonts w:ascii="Arial" w:hAnsi="Arial" w:eastAsia="Arial Unicode MS" w:cs="Arial"/>
          <w:noProof/>
          <w:color w:val="auto"/>
        </w:rPr>
        <w:t>State Child Welfare Data Linkages Descriptive Study</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285F4F" w14:paraId="3F6C890C" w14:textId="6005136A">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P="00A42C71" w:rsidRDefault="00B57B99" w14:paraId="23C2EED4" w14:textId="5D73A7A1">
      <w:pPr>
        <w:pStyle w:val="ReportCover-Date"/>
        <w:spacing w:after="0"/>
        <w:jc w:val="center"/>
        <w:rPr>
          <w:rFonts w:asciiTheme="minorHAnsi" w:hAnsiTheme="minorHAnsi" w:cstheme="minorHAnsi"/>
          <w:color w:val="auto"/>
        </w:rPr>
      </w:pPr>
      <w:r>
        <w:rPr>
          <w:rFonts w:asciiTheme="minorHAnsi" w:hAnsiTheme="minorHAnsi" w:cstheme="minorHAnsi"/>
          <w:color w:val="auto"/>
        </w:rPr>
        <w:t>April</w:t>
      </w:r>
      <w:r w:rsidR="00B85605">
        <w:rPr>
          <w:rFonts w:asciiTheme="minorHAnsi" w:hAnsiTheme="minorHAnsi" w:cstheme="minorHAnsi"/>
          <w:color w:val="auto"/>
        </w:rPr>
        <w:t xml:space="preserve"> </w:t>
      </w:r>
      <w:r w:rsidR="00660745">
        <w:rPr>
          <w:rFonts w:asciiTheme="minorHAnsi" w:hAnsiTheme="minorHAnsi" w:cstheme="minorHAnsi"/>
          <w:color w:val="auto"/>
        </w:rPr>
        <w:t>202</w:t>
      </w:r>
      <w:r w:rsidR="007124AB">
        <w:rPr>
          <w:rFonts w:asciiTheme="minorHAnsi" w:hAnsiTheme="minorHAnsi" w:cstheme="minorHAnsi"/>
          <w:color w:val="auto"/>
        </w:rPr>
        <w:t>2</w:t>
      </w:r>
    </w:p>
    <w:p w:rsidRPr="001A59B6" w:rsidR="00660745" w:rsidP="00A42C71" w:rsidRDefault="00660745" w14:paraId="3BE936EC"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6E2AA5C6">
      <w:pPr>
        <w:spacing w:after="0" w:line="240" w:lineRule="auto"/>
        <w:jc w:val="center"/>
        <w:rPr>
          <w:rFonts w:cstheme="minorHAnsi"/>
        </w:rPr>
      </w:pPr>
      <w:r w:rsidRPr="001A59B6">
        <w:rPr>
          <w:rFonts w:cstheme="minorHAnsi"/>
        </w:rPr>
        <w:t>Project Officer:</w:t>
      </w:r>
    </w:p>
    <w:p w:rsidR="00473B14" w:rsidP="00A42C71" w:rsidRDefault="00CA70A6" w14:paraId="2382893D" w14:textId="77777777">
      <w:pPr>
        <w:spacing w:after="0" w:line="240" w:lineRule="auto"/>
        <w:jc w:val="center"/>
        <w:rPr>
          <w:rFonts w:cstheme="minorHAnsi"/>
        </w:rPr>
        <w:sectPr w:rsidR="00473B14" w:rsidSect="00C91C71">
          <w:pgSz w:w="12240" w:h="15840"/>
          <w:pgMar w:top="1440" w:right="1440" w:bottom="1440" w:left="1440" w:header="720" w:footer="720" w:gutter="0"/>
          <w:cols w:space="720"/>
          <w:docGrid w:linePitch="360"/>
        </w:sectPr>
      </w:pPr>
      <w:r>
        <w:rPr>
          <w:rFonts w:cstheme="minorHAnsi"/>
        </w:rPr>
        <w:t>Jenessa Malin</w:t>
      </w:r>
    </w:p>
    <w:p w:rsidRPr="001A59B6" w:rsidR="00A42C71" w:rsidP="00473B14" w:rsidRDefault="00A42C71" w14:paraId="45C49EBE" w14:textId="3D580A57">
      <w:pPr>
        <w:spacing w:after="48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D73E6F" w:rsidR="00D73E6F" w:rsidP="00473B14" w:rsidRDefault="72B5DF30" w14:paraId="7B2F2B57" w14:textId="752699C2">
      <w:pPr>
        <w:spacing w:after="120"/>
      </w:pPr>
      <w:r>
        <w:t>The State Child Welfare Data Linkages Descriptive Study (</w:t>
      </w:r>
      <w:bookmarkStart w:name="_Hlk83928778" w:id="0"/>
      <w:r w:rsidRPr="46E9EA01" w:rsidR="3949D628">
        <w:rPr>
          <w:rFonts w:eastAsia="Times New Roman"/>
        </w:rPr>
        <w:t>SCW</w:t>
      </w:r>
      <w:r w:rsidRPr="46E9EA01" w:rsidR="43FC6226">
        <w:rPr>
          <w:rFonts w:eastAsia="Times New Roman"/>
        </w:rPr>
        <w:t xml:space="preserve"> Descriptive Study</w:t>
      </w:r>
      <w:bookmarkEnd w:id="0"/>
      <w:r>
        <w:t>)</w:t>
      </w:r>
      <w:r w:rsidR="3F8A457B">
        <w:t>, conducted by Mathematica on behalf of the Administration for Children and Families (ACF) Office of Planning, Research, and Evaluation (OPRE),</w:t>
      </w:r>
      <w:r>
        <w:t xml:space="preserve"> </w:t>
      </w:r>
      <w:r w:rsidR="7D5D07E1">
        <w:t xml:space="preserve">will provide OPRE with information on the extent to which states connect their child maltreatment data to other data sets, whether by linking or integration; information on how any </w:t>
      </w:r>
      <w:r w:rsidR="0086161A">
        <w:t xml:space="preserve">connected </w:t>
      </w:r>
      <w:r w:rsidR="7D5D07E1">
        <w:t xml:space="preserve">data sets are created, managed, and used; and </w:t>
      </w:r>
      <w:r w:rsidR="7F329EDB">
        <w:t xml:space="preserve">supports or </w:t>
      </w:r>
      <w:r w:rsidR="7D5D07E1">
        <w:t>challenges to linking data</w:t>
      </w:r>
      <w:r w:rsidR="6BA81E57">
        <w:t xml:space="preserve">. </w:t>
      </w:r>
      <w:r w:rsidR="0E9E8CD1">
        <w:t>As described in Supporting Statement A, t</w:t>
      </w:r>
      <w:r w:rsidR="72399FBB">
        <w:t xml:space="preserve">he study will survey state child welfare directors and staff who engage with connected data efforts and will interview staff at a variety of levels who are involved with state and county connected data efforts. </w:t>
      </w:r>
      <w:r w:rsidR="424DB2EF">
        <w:t>Each of these data collection activities provides a different perspective</w:t>
      </w:r>
      <w:r w:rsidR="72399FBB">
        <w:t xml:space="preserve"> on the implementation and use of connected data in the child welfare context</w:t>
      </w:r>
      <w:r w:rsidR="424DB2EF">
        <w:t xml:space="preserve">. </w:t>
      </w:r>
      <w:r w:rsidR="0E9E8CD1">
        <w:t>The study will provide understanding o</w:t>
      </w:r>
      <w:r w:rsidR="463F8649">
        <w:t>f</w:t>
      </w:r>
      <w:r w:rsidR="0E9E8CD1">
        <w:t xml:space="preserve"> how admi</w:t>
      </w:r>
      <w:r w:rsidR="467A8EBD">
        <w:t>nistr</w:t>
      </w:r>
      <w:r w:rsidR="0E9E8CD1">
        <w:t>ative data is used to</w:t>
      </w:r>
      <w:r w:rsidR="72399FBB">
        <w:t xml:space="preserve"> understand child maltreatment incidence and related risk and protective factors.</w:t>
      </w:r>
    </w:p>
    <w:p w:rsidRPr="00D73E6F" w:rsidR="00A42C71" w:rsidP="00D73E6F" w:rsidRDefault="00A42C71" w14:paraId="4037E45E" w14:textId="5B9E9626">
      <w:pPr>
        <w:spacing w:after="60" w:line="240" w:lineRule="auto"/>
        <w:rPr>
          <w:rFonts w:cstheme="minorHAnsi"/>
        </w:rPr>
      </w:pPr>
      <w:r w:rsidRPr="001A59B6">
        <w:rPr>
          <w:rFonts w:cstheme="minorHAnsi"/>
          <w:i/>
        </w:rPr>
        <w:t xml:space="preserve">Generalizability of Results </w:t>
      </w:r>
    </w:p>
    <w:p w:rsidRPr="001A59B6" w:rsidR="00A42C71" w:rsidP="00473B14" w:rsidRDefault="008C2F26" w14:paraId="3B40B647" w14:textId="5D7C5319">
      <w:pPr>
        <w:autoSpaceDE w:val="0"/>
        <w:autoSpaceDN w:val="0"/>
        <w:adjustRightInd w:val="0"/>
        <w:spacing w:after="120" w:line="240" w:lineRule="atLeast"/>
        <w:rPr>
          <w:rFonts w:eastAsia="Times New Roman" w:cstheme="minorHAnsi"/>
          <w:color w:val="000000"/>
        </w:rPr>
      </w:pPr>
      <w:r w:rsidRPr="007733D5">
        <w:t xml:space="preserve">This study is intended to present </w:t>
      </w:r>
      <w:r w:rsidRPr="007733D5" w:rsidR="00CB1802">
        <w:t>internally</w:t>
      </w:r>
      <w:r w:rsidR="00CB1802">
        <w:t>-</w:t>
      </w:r>
      <w:r w:rsidRPr="007733D5" w:rsidR="00CB1802">
        <w:t>valid</w:t>
      </w:r>
      <w:r w:rsidRPr="007733D5">
        <w:t xml:space="preserve"> description</w:t>
      </w:r>
      <w:r w:rsidR="0026692E">
        <w:t>s</w:t>
      </w:r>
      <w:r w:rsidRPr="007733D5">
        <w:t xml:space="preserve"> of </w:t>
      </w:r>
      <w:r w:rsidR="005162A1">
        <w:t>the use of connected data in child welfare agencies</w:t>
      </w:r>
      <w:r w:rsidRPr="007733D5">
        <w:t xml:space="preserve">, not to promote statistical generalization to other </w:t>
      </w:r>
      <w:r w:rsidR="00CA1179">
        <w:t>agencies</w:t>
      </w:r>
      <w:r w:rsidRPr="007733D5">
        <w:t>.</w:t>
      </w:r>
    </w:p>
    <w:p w:rsidRPr="00CE54B5" w:rsidR="00CB1802" w:rsidP="00CE54B5" w:rsidRDefault="00A42C71" w14:paraId="0CE64D8E" w14:textId="70813502">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CB1802" w:rsidR="00CB1802" w:rsidP="00473B14" w:rsidRDefault="14EAA59A" w14:paraId="49047268" w14:textId="3F933C15">
      <w:pPr>
        <w:spacing w:after="120"/>
      </w:pPr>
      <w:r w:rsidRPr="46E9EA01">
        <w:t xml:space="preserve">The study is </w:t>
      </w:r>
      <w:r w:rsidR="003F7826">
        <w:t>descriptive in nature</w:t>
      </w:r>
      <w:r w:rsidRPr="46E9EA01">
        <w:t>. Both qualitative and quantitative data sources will serve to capture the experience of</w:t>
      </w:r>
      <w:r w:rsidRPr="46E9EA01" w:rsidR="3DA1232E">
        <w:t xml:space="preserve"> state child welfare agency staff with connected data efforts</w:t>
      </w:r>
      <w:r w:rsidRPr="46E9EA01">
        <w:t>:</w:t>
      </w:r>
    </w:p>
    <w:p w:rsidRPr="00CB1802" w:rsidR="00CB1802" w:rsidP="00CB1802" w:rsidRDefault="00CA1179" w14:paraId="4AA5E336" w14:textId="5586714E">
      <w:pPr>
        <w:pStyle w:val="ListParagraph"/>
        <w:numPr>
          <w:ilvl w:val="0"/>
          <w:numId w:val="32"/>
        </w:numPr>
        <w:spacing w:after="60"/>
        <w:rPr>
          <w:rFonts w:cstheme="minorHAnsi"/>
        </w:rPr>
      </w:pPr>
      <w:r>
        <w:rPr>
          <w:rFonts w:cstheme="minorHAnsi"/>
        </w:rPr>
        <w:t>Initial Survey</w:t>
      </w:r>
      <w:r w:rsidR="001211D3">
        <w:rPr>
          <w:rFonts w:cstheme="minorHAnsi"/>
        </w:rPr>
        <w:t xml:space="preserve"> of child welfare directors</w:t>
      </w:r>
      <w:r w:rsidRPr="00CB1802" w:rsidR="00CB1802">
        <w:rPr>
          <w:rFonts w:cstheme="minorHAnsi"/>
        </w:rPr>
        <w:t xml:space="preserve"> (Instrument 1)</w:t>
      </w:r>
    </w:p>
    <w:p w:rsidRPr="00CB1802" w:rsidR="00CB1802" w:rsidP="00CB1802" w:rsidRDefault="00CA1179" w14:paraId="590A69E1" w14:textId="2AB89E23">
      <w:pPr>
        <w:pStyle w:val="ListParagraph"/>
        <w:numPr>
          <w:ilvl w:val="0"/>
          <w:numId w:val="32"/>
        </w:numPr>
        <w:spacing w:after="60"/>
        <w:rPr>
          <w:rFonts w:cstheme="minorHAnsi"/>
        </w:rPr>
      </w:pPr>
      <w:r>
        <w:rPr>
          <w:rFonts w:cstheme="minorHAnsi"/>
        </w:rPr>
        <w:t>Connected Data Survey</w:t>
      </w:r>
      <w:r w:rsidR="001211D3">
        <w:rPr>
          <w:rFonts w:cstheme="minorHAnsi"/>
        </w:rPr>
        <w:t xml:space="preserve"> </w:t>
      </w:r>
      <w:r w:rsidRPr="00CB1802" w:rsidR="00CB1802">
        <w:rPr>
          <w:rFonts w:cstheme="minorHAnsi"/>
        </w:rPr>
        <w:t>(Instrument 2)</w:t>
      </w:r>
    </w:p>
    <w:p w:rsidRPr="00CB1802" w:rsidR="00CB1802" w:rsidP="00473B14" w:rsidRDefault="001211D3" w14:paraId="7F8CBFB7" w14:textId="49D56B30">
      <w:pPr>
        <w:pStyle w:val="ListParagraph"/>
        <w:numPr>
          <w:ilvl w:val="0"/>
          <w:numId w:val="32"/>
        </w:numPr>
        <w:spacing w:after="240"/>
        <w:rPr>
          <w:rFonts w:cstheme="minorHAnsi"/>
        </w:rPr>
      </w:pPr>
      <w:r w:rsidRPr="001211D3">
        <w:rPr>
          <w:rFonts w:cstheme="minorHAnsi"/>
        </w:rPr>
        <w:t>Interview</w:t>
      </w:r>
      <w:r w:rsidR="00CA1179">
        <w:rPr>
          <w:rFonts w:cstheme="minorHAnsi"/>
        </w:rPr>
        <w:t xml:space="preserve"> Guide for</w:t>
      </w:r>
      <w:r w:rsidRPr="001211D3">
        <w:rPr>
          <w:rFonts w:cstheme="minorHAnsi"/>
        </w:rPr>
        <w:t xml:space="preserve"> individuals responsible for connected data efforts </w:t>
      </w:r>
      <w:r w:rsidRPr="00CB1802" w:rsidR="00CB1802">
        <w:rPr>
          <w:rFonts w:cstheme="minorHAnsi"/>
        </w:rPr>
        <w:t>(Instrument 3)</w:t>
      </w:r>
    </w:p>
    <w:p w:rsidRPr="00CB1802" w:rsidR="00CB1802" w:rsidP="00473B14" w:rsidRDefault="00CB1802" w14:paraId="0815A1BE" w14:textId="2BB596CC">
      <w:pPr>
        <w:spacing w:after="120"/>
        <w:rPr>
          <w:rFonts w:cstheme="minorHAnsi"/>
        </w:rPr>
      </w:pPr>
      <w:r w:rsidRPr="00CB1802">
        <w:rPr>
          <w:rFonts w:cstheme="minorHAnsi"/>
        </w:rPr>
        <w:t xml:space="preserve">This study design and the methods used will allow us to answer the research questions (see section A2) and will provide insight into the overarching study objective, </w:t>
      </w:r>
      <w:r w:rsidR="00727F18">
        <w:rPr>
          <w:rFonts w:cstheme="minorHAnsi"/>
        </w:rPr>
        <w:t>demonstrating how connected data efforts are implemented and used by state child welfare agencies</w:t>
      </w:r>
      <w:r w:rsidR="008B0DC5">
        <w:rPr>
          <w:rFonts w:cstheme="minorHAnsi"/>
        </w:rPr>
        <w:t>.</w:t>
      </w:r>
      <w:r w:rsidR="00FC3DB9">
        <w:rPr>
          <w:rFonts w:cstheme="minorHAnsi"/>
        </w:rPr>
        <w:t xml:space="preserve"> </w:t>
      </w:r>
      <w:r w:rsidR="00360885">
        <w:t>Information from the SCW</w:t>
      </w:r>
      <w:r w:rsidRPr="00644187" w:rsidR="00360885">
        <w:t xml:space="preserve"> Descriptive Study </w:t>
      </w:r>
      <w:r w:rsidR="00360885">
        <w:t>may be disseminated through briefs, reports, and other publicly available products. We will develop products that are useful to a variety of audiences, including child maltreatment researchers as well as state and federal agency staff. Survey data may be archived, as appropriate.</w:t>
      </w:r>
    </w:p>
    <w:p w:rsidR="0097668D" w:rsidP="00473B14" w:rsidRDefault="14EAA59A" w14:paraId="0F876286" w14:textId="58C24F8C">
      <w:pPr>
        <w:pStyle w:val="NormalWeb"/>
        <w:spacing w:before="0" w:beforeAutospacing="0" w:after="120" w:afterAutospacing="0" w:line="276" w:lineRule="auto"/>
        <w:rPr>
          <w:rFonts w:asciiTheme="minorHAnsi" w:hAnsiTheme="minorHAnsi" w:cstheme="minorBidi"/>
          <w:sz w:val="22"/>
          <w:szCs w:val="22"/>
        </w:rPr>
      </w:pPr>
      <w:r w:rsidRPr="46E9EA01">
        <w:rPr>
          <w:rFonts w:asciiTheme="minorHAnsi" w:hAnsiTheme="minorHAnsi" w:cstheme="minorBidi"/>
          <w:color w:val="000000" w:themeColor="text1"/>
          <w:sz w:val="22"/>
          <w:szCs w:val="22"/>
        </w:rPr>
        <w:t xml:space="preserve">This </w:t>
      </w:r>
      <w:r w:rsidRPr="46E9EA01" w:rsidR="6A62F38B">
        <w:rPr>
          <w:rFonts w:asciiTheme="minorHAnsi" w:hAnsiTheme="minorHAnsi" w:cstheme="minorBidi"/>
          <w:color w:val="000000" w:themeColor="text1"/>
          <w:sz w:val="22"/>
          <w:szCs w:val="22"/>
        </w:rPr>
        <w:t>study</w:t>
      </w:r>
      <w:r w:rsidR="00304FE9">
        <w:rPr>
          <w:rFonts w:asciiTheme="minorHAnsi" w:hAnsiTheme="minorHAnsi" w:cstheme="minorBidi"/>
          <w:color w:val="000000" w:themeColor="text1"/>
          <w:sz w:val="22"/>
          <w:szCs w:val="22"/>
        </w:rPr>
        <w:t xml:space="preserve"> </w:t>
      </w:r>
      <w:r w:rsidRPr="46E9EA01">
        <w:rPr>
          <w:rFonts w:asciiTheme="minorHAnsi" w:hAnsiTheme="minorHAnsi" w:cstheme="minorBidi"/>
          <w:color w:val="000000" w:themeColor="text1"/>
          <w:sz w:val="22"/>
          <w:szCs w:val="22"/>
        </w:rPr>
        <w:t>does not assess impact and should not be used to assess participants’ outcomes</w:t>
      </w:r>
      <w:r w:rsidRPr="46E9EA01" w:rsidR="3DA1232E">
        <w:rPr>
          <w:rFonts w:asciiTheme="minorHAnsi" w:hAnsiTheme="minorHAnsi" w:cstheme="minorBidi"/>
          <w:color w:val="000000" w:themeColor="text1"/>
          <w:sz w:val="22"/>
          <w:szCs w:val="22"/>
        </w:rPr>
        <w:t>.</w:t>
      </w:r>
      <w:r w:rsidRPr="46E9EA01" w:rsidR="467A8EBD">
        <w:rPr>
          <w:rFonts w:asciiTheme="minorHAnsi" w:hAnsiTheme="minorHAnsi" w:cstheme="minorBidi"/>
          <w:color w:val="000000" w:themeColor="text1"/>
          <w:sz w:val="22"/>
          <w:szCs w:val="22"/>
        </w:rPr>
        <w:t xml:space="preserve"> Written products associated with the study will include key limitations.</w:t>
      </w:r>
      <w:r w:rsidRPr="46E9EA01" w:rsidR="3DA1232E">
        <w:rPr>
          <w:rFonts w:asciiTheme="minorHAnsi" w:hAnsiTheme="minorHAnsi" w:cstheme="minorBidi"/>
          <w:color w:val="000000" w:themeColor="text1"/>
          <w:sz w:val="22"/>
          <w:szCs w:val="22"/>
        </w:rPr>
        <w:t xml:space="preserve"> </w:t>
      </w:r>
      <w:r w:rsidRPr="46E9EA01" w:rsidR="24A933D2">
        <w:rPr>
          <w:rFonts w:asciiTheme="minorHAnsi" w:hAnsiTheme="minorHAnsi" w:cstheme="minorBid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r w:rsidRPr="46E9EA01" w:rsidR="5282A187">
        <w:rPr>
          <w:rFonts w:asciiTheme="minorHAnsi" w:hAnsiTheme="minorHAnsi" w:cstheme="minorBidi"/>
          <w:sz w:val="22"/>
          <w:szCs w:val="22"/>
        </w:rPr>
        <w:t xml:space="preserve"> </w:t>
      </w:r>
    </w:p>
    <w:p w:rsidRPr="001A59B6" w:rsidR="00A42C71" w:rsidP="00473B14" w:rsidRDefault="00A42C71" w14:paraId="0A71D7FD" w14:textId="681F3028">
      <w:pPr>
        <w:pStyle w:val="ListParagraph"/>
        <w:keepNext/>
        <w:keepLines/>
        <w:spacing w:after="120"/>
        <w:ind w:left="0"/>
        <w:rPr>
          <w:rFonts w:eastAsia="Times New Roman" w:cstheme="minorHAnsi"/>
          <w:color w:val="000000"/>
        </w:rPr>
      </w:pPr>
      <w:r w:rsidRPr="001A59B6">
        <w:rPr>
          <w:rFonts w:cstheme="minorHAnsi"/>
          <w:b/>
        </w:rPr>
        <w:lastRenderedPageBreak/>
        <w:t>B2.</w:t>
      </w:r>
      <w:r w:rsidRPr="001A59B6">
        <w:rPr>
          <w:rFonts w:cstheme="minorHAnsi"/>
          <w:b/>
        </w:rPr>
        <w:tab/>
      </w:r>
      <w:r w:rsidRPr="001A59B6">
        <w:rPr>
          <w:rFonts w:eastAsia="Times New Roman" w:cstheme="minorHAnsi"/>
          <w:b/>
          <w:bCs/>
          <w:color w:val="000000"/>
        </w:rPr>
        <w:t>Methods and Design</w:t>
      </w:r>
    </w:p>
    <w:p w:rsidRPr="001A59B6" w:rsidR="00A42C71" w:rsidP="00473B14" w:rsidRDefault="00A42C71" w14:paraId="4C77B3BD" w14:textId="77777777">
      <w:pPr>
        <w:keepNext/>
        <w:keepLines/>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934EA5" w:rsidP="00473B14" w:rsidRDefault="1517BC0E" w14:paraId="776D69DF" w14:textId="6DF66839">
      <w:pPr>
        <w:keepNext/>
        <w:keepLines/>
        <w:autoSpaceDE w:val="0"/>
        <w:autoSpaceDN w:val="0"/>
        <w:adjustRightInd w:val="0"/>
        <w:spacing w:after="120"/>
      </w:pPr>
      <w:r w:rsidRPr="46E9EA01">
        <w:rPr>
          <w:rFonts w:eastAsia="Times New Roman"/>
          <w:color w:val="000000" w:themeColor="text1"/>
        </w:rPr>
        <w:t xml:space="preserve">All child welfare agencies </w:t>
      </w:r>
      <w:r w:rsidR="009F7456">
        <w:rPr>
          <w:rFonts w:eastAsia="Times New Roman"/>
          <w:color w:val="000000" w:themeColor="text1"/>
        </w:rPr>
        <w:t xml:space="preserve">from the 50 states, the District of Columbia, and Puerto Rico </w:t>
      </w:r>
      <w:r w:rsidRPr="46E9EA01">
        <w:rPr>
          <w:rFonts w:eastAsia="Times New Roman"/>
          <w:color w:val="000000" w:themeColor="text1"/>
        </w:rPr>
        <w:t xml:space="preserve">are eligible for inclusion in the study. Target respondents include the directors of state child welfare agencies and additional state and county agency staff with knowledge of and experience working with their agencies’ connected data efforts. </w:t>
      </w:r>
      <w:bookmarkStart w:name="_Hlk92688517" w:id="1"/>
      <w:r w:rsidRPr="46E9EA01">
        <w:rPr>
          <w:rFonts w:eastAsia="Times New Roman"/>
          <w:color w:val="000000" w:themeColor="text1"/>
        </w:rPr>
        <w:t xml:space="preserve">We </w:t>
      </w:r>
      <w:r w:rsidRPr="46E9EA01" w:rsidR="521FD597">
        <w:rPr>
          <w:rFonts w:eastAsia="Times New Roman"/>
          <w:color w:val="000000" w:themeColor="text1"/>
        </w:rPr>
        <w:t xml:space="preserve">will </w:t>
      </w:r>
      <w:r w:rsidRPr="46E9EA01" w:rsidR="2F1C88B7">
        <w:rPr>
          <w:rFonts w:eastAsia="Times New Roman"/>
          <w:color w:val="000000" w:themeColor="text1"/>
        </w:rPr>
        <w:t>invite 52</w:t>
      </w:r>
      <w:r w:rsidRPr="46E9EA01">
        <w:rPr>
          <w:rFonts w:eastAsia="Times New Roman"/>
          <w:color w:val="000000" w:themeColor="text1"/>
        </w:rPr>
        <w:t xml:space="preserve"> state </w:t>
      </w:r>
      <w:r w:rsidRPr="46E9EA01" w:rsidR="23C0C6C4">
        <w:rPr>
          <w:rFonts w:eastAsia="Times New Roman"/>
          <w:color w:val="000000" w:themeColor="text1"/>
        </w:rPr>
        <w:t xml:space="preserve">and territory </w:t>
      </w:r>
      <w:r w:rsidRPr="46E9EA01">
        <w:rPr>
          <w:rFonts w:eastAsia="Times New Roman"/>
          <w:color w:val="000000" w:themeColor="text1"/>
        </w:rPr>
        <w:t>child welfare agency directors</w:t>
      </w:r>
      <w:bookmarkEnd w:id="1"/>
      <w:r w:rsidRPr="46E9EA01">
        <w:rPr>
          <w:rFonts w:eastAsia="Times New Roman"/>
          <w:color w:val="000000" w:themeColor="text1"/>
        </w:rPr>
        <w:t xml:space="preserve"> </w:t>
      </w:r>
      <w:r w:rsidRPr="46E9EA01" w:rsidR="23C0C6C4">
        <w:rPr>
          <w:rFonts w:eastAsia="Times New Roman"/>
          <w:color w:val="000000" w:themeColor="text1"/>
        </w:rPr>
        <w:t xml:space="preserve">to </w:t>
      </w:r>
      <w:r w:rsidRPr="46E9EA01">
        <w:rPr>
          <w:rFonts w:eastAsia="Times New Roman"/>
          <w:color w:val="000000" w:themeColor="text1"/>
        </w:rPr>
        <w:t>complete the initial survey (Instrument 1)</w:t>
      </w:r>
      <w:r w:rsidRPr="46E9EA01" w:rsidR="23C0C6C4">
        <w:rPr>
          <w:rFonts w:eastAsia="Times New Roman"/>
          <w:color w:val="000000" w:themeColor="text1"/>
        </w:rPr>
        <w:t>,</w:t>
      </w:r>
      <w:r w:rsidR="00BB1C2B">
        <w:rPr>
          <w:rStyle w:val="FootnoteReference"/>
          <w:rFonts w:eastAsia="Times New Roman"/>
          <w:color w:val="000000" w:themeColor="text1"/>
        </w:rPr>
        <w:footnoteReference w:id="1"/>
      </w:r>
      <w:r w:rsidRPr="46E9EA01" w:rsidR="23C0C6C4">
        <w:rPr>
          <w:rFonts w:eastAsia="Times New Roman"/>
          <w:color w:val="000000" w:themeColor="text1"/>
        </w:rPr>
        <w:t xml:space="preserve"> and we estimate that 42 will complete</w:t>
      </w:r>
      <w:r w:rsidRPr="46E9EA01" w:rsidR="14552DB7">
        <w:rPr>
          <w:rFonts w:eastAsia="Times New Roman"/>
          <w:color w:val="000000" w:themeColor="text1"/>
        </w:rPr>
        <w:t xml:space="preserve"> the survey (81%)</w:t>
      </w:r>
      <w:r w:rsidRPr="46E9EA01">
        <w:rPr>
          <w:rFonts w:eastAsia="Times New Roman"/>
          <w:color w:val="000000" w:themeColor="text1"/>
        </w:rPr>
        <w:t>. The target respondents for the connected data survey (Instrument 2) are staff in child welfare agencies, identified by the directors, who work closely with a connected data set. Because the survey is tailored to a specific data sharing agreement, in some cases one individual will receive multiple surveys (if they are the contact person for multiple connected data sets)</w:t>
      </w:r>
      <w:r w:rsidRPr="46E9EA01" w:rsidR="49414058">
        <w:rPr>
          <w:rFonts w:eastAsia="Times New Roman"/>
          <w:color w:val="000000" w:themeColor="text1"/>
        </w:rPr>
        <w:t>.</w:t>
      </w:r>
      <w:r w:rsidR="00742411">
        <w:rPr>
          <w:rFonts w:eastAsia="Times New Roman"/>
          <w:color w:val="000000" w:themeColor="text1"/>
        </w:rPr>
        <w:t xml:space="preserve"> </w:t>
      </w:r>
      <w:r w:rsidRPr="0079517C" w:rsidR="0079517C">
        <w:rPr>
          <w:rFonts w:eastAsia="Times New Roman"/>
          <w:color w:val="000000" w:themeColor="text1"/>
        </w:rPr>
        <w:t xml:space="preserve">We will </w:t>
      </w:r>
      <w:r w:rsidR="00281A99">
        <w:rPr>
          <w:rFonts w:eastAsia="Times New Roman"/>
          <w:color w:val="000000" w:themeColor="text1"/>
        </w:rPr>
        <w:t xml:space="preserve">send </w:t>
      </w:r>
      <w:r w:rsidR="00DB1A79">
        <w:rPr>
          <w:rFonts w:eastAsia="Times New Roman"/>
          <w:color w:val="000000" w:themeColor="text1"/>
        </w:rPr>
        <w:t xml:space="preserve">the connected data survey (Instrument 2) </w:t>
      </w:r>
      <w:r w:rsidR="00281A99">
        <w:rPr>
          <w:rFonts w:eastAsia="Times New Roman"/>
          <w:color w:val="000000" w:themeColor="text1"/>
        </w:rPr>
        <w:t>to all 52 states</w:t>
      </w:r>
      <w:r w:rsidR="00DB1A79">
        <w:rPr>
          <w:rFonts w:eastAsia="Times New Roman"/>
          <w:color w:val="000000" w:themeColor="text1"/>
        </w:rPr>
        <w:t xml:space="preserve"> and territories</w:t>
      </w:r>
      <w:r w:rsidR="00281A99">
        <w:rPr>
          <w:rFonts w:eastAsia="Times New Roman"/>
          <w:color w:val="000000" w:themeColor="text1"/>
        </w:rPr>
        <w:t xml:space="preserve"> and each </w:t>
      </w:r>
      <w:r w:rsidR="00DB1A79">
        <w:rPr>
          <w:rFonts w:eastAsia="Times New Roman"/>
          <w:color w:val="000000" w:themeColor="text1"/>
        </w:rPr>
        <w:t xml:space="preserve">state or territory </w:t>
      </w:r>
      <w:r w:rsidR="00281A99">
        <w:rPr>
          <w:rFonts w:eastAsia="Times New Roman"/>
          <w:color w:val="000000" w:themeColor="text1"/>
        </w:rPr>
        <w:t>will receive up to 4 surveys, to account for multiple data sets. This accounts for up to</w:t>
      </w:r>
      <w:r w:rsidR="00DB1A79">
        <w:rPr>
          <w:rFonts w:eastAsia="Times New Roman"/>
          <w:color w:val="000000" w:themeColor="text1"/>
        </w:rPr>
        <w:t xml:space="preserve"> </w:t>
      </w:r>
      <w:r w:rsidRPr="0079517C" w:rsidR="0079517C">
        <w:rPr>
          <w:rFonts w:eastAsia="Times New Roman"/>
          <w:color w:val="000000" w:themeColor="text1"/>
        </w:rPr>
        <w:t xml:space="preserve">208 </w:t>
      </w:r>
      <w:r w:rsidR="00281A99">
        <w:rPr>
          <w:rFonts w:eastAsia="Times New Roman"/>
          <w:color w:val="000000" w:themeColor="text1"/>
        </w:rPr>
        <w:t>responses</w:t>
      </w:r>
      <w:r w:rsidRPr="0079517C" w:rsidR="0079517C">
        <w:rPr>
          <w:rFonts w:eastAsia="Times New Roman"/>
          <w:color w:val="000000" w:themeColor="text1"/>
        </w:rPr>
        <w:t xml:space="preserve"> for Instrument 2.</w:t>
      </w:r>
      <w:r w:rsidR="00620DA4">
        <w:rPr>
          <w:rStyle w:val="FootnoteReference"/>
          <w:rFonts w:eastAsia="Times New Roman"/>
          <w:color w:val="000000" w:themeColor="text1"/>
        </w:rPr>
        <w:footnoteReference w:id="2"/>
      </w:r>
      <w:r w:rsidR="00755E22">
        <w:rPr>
          <w:rFonts w:eastAsia="Times New Roman"/>
          <w:color w:val="000000" w:themeColor="text1"/>
        </w:rPr>
        <w:t xml:space="preserve"> </w:t>
      </w:r>
      <w:r w:rsidRPr="46E9EA01" w:rsidR="49414058">
        <w:rPr>
          <w:rFonts w:eastAsia="Times New Roman"/>
          <w:color w:val="000000" w:themeColor="text1"/>
        </w:rPr>
        <w:t xml:space="preserve">We </w:t>
      </w:r>
      <w:r w:rsidRPr="46E9EA01" w:rsidR="14552DB7">
        <w:rPr>
          <w:rFonts w:eastAsia="Times New Roman"/>
          <w:color w:val="000000" w:themeColor="text1"/>
        </w:rPr>
        <w:t>will invite</w:t>
      </w:r>
      <w:r w:rsidRPr="46E9EA01" w:rsidR="49414058">
        <w:rPr>
          <w:rFonts w:eastAsia="Times New Roman"/>
          <w:color w:val="000000" w:themeColor="text1"/>
        </w:rPr>
        <w:t xml:space="preserve"> staff from </w:t>
      </w:r>
      <w:r w:rsidR="00360885">
        <w:rPr>
          <w:rFonts w:eastAsia="Times New Roman"/>
          <w:color w:val="000000" w:themeColor="text1"/>
        </w:rPr>
        <w:t xml:space="preserve">all states with connected data sets, estimated to be </w:t>
      </w:r>
      <w:r w:rsidRPr="46E9EA01" w:rsidR="49414058">
        <w:rPr>
          <w:rFonts w:eastAsia="Times New Roman"/>
          <w:color w:val="000000" w:themeColor="text1"/>
        </w:rPr>
        <w:t xml:space="preserve">up to 42 states, covering up to 78 connected data sets, </w:t>
      </w:r>
      <w:r w:rsidRPr="46E9EA01" w:rsidR="14552DB7">
        <w:rPr>
          <w:rFonts w:eastAsia="Times New Roman"/>
          <w:color w:val="000000" w:themeColor="text1"/>
        </w:rPr>
        <w:t xml:space="preserve">to </w:t>
      </w:r>
      <w:r w:rsidRPr="46E9EA01" w:rsidR="49414058">
        <w:rPr>
          <w:rFonts w:eastAsia="Times New Roman"/>
          <w:color w:val="000000" w:themeColor="text1"/>
        </w:rPr>
        <w:t>complete Instrument 2</w:t>
      </w:r>
      <w:r w:rsidRPr="46E9EA01" w:rsidR="1E365758">
        <w:rPr>
          <w:rFonts w:eastAsia="Times New Roman"/>
          <w:color w:val="000000" w:themeColor="text1"/>
        </w:rPr>
        <w:t>, and we estimate that staff from 34 states, covering about 63 connected data sets, will complete the survey (81%)</w:t>
      </w:r>
      <w:r w:rsidRPr="46E9EA01" w:rsidR="49414058">
        <w:rPr>
          <w:rFonts w:eastAsia="Times New Roman"/>
          <w:color w:val="000000" w:themeColor="text1"/>
        </w:rPr>
        <w:t xml:space="preserve">. State child welfare agency directors, along with other state agency staff and some county agency staff, are eligible for the interviews (Instrument 3). The target respondents include up to 120 individuals – a director </w:t>
      </w:r>
      <w:r w:rsidR="00755E22">
        <w:rPr>
          <w:rFonts w:eastAsia="Times New Roman"/>
          <w:color w:val="000000" w:themeColor="text1"/>
        </w:rPr>
        <w:t xml:space="preserve">for each state and territory </w:t>
      </w:r>
      <w:r w:rsidRPr="46E9EA01" w:rsidR="49414058">
        <w:rPr>
          <w:rFonts w:eastAsia="Times New Roman"/>
          <w:color w:val="000000" w:themeColor="text1"/>
        </w:rPr>
        <w:t xml:space="preserve">and additional state agency staff in each state, along with up to 10 county staff </w:t>
      </w:r>
      <w:r w:rsidR="00755E22">
        <w:rPr>
          <w:rFonts w:eastAsia="Times New Roman"/>
          <w:color w:val="000000" w:themeColor="text1"/>
        </w:rPr>
        <w:t xml:space="preserve">and 8 county child welfare </w:t>
      </w:r>
      <w:proofErr w:type="spellStart"/>
      <w:r w:rsidR="00755E22">
        <w:rPr>
          <w:rFonts w:eastAsia="Times New Roman"/>
          <w:color w:val="000000" w:themeColor="text1"/>
        </w:rPr>
        <w:t>diretors</w:t>
      </w:r>
      <w:proofErr w:type="spellEnd"/>
      <w:r w:rsidR="00755E22">
        <w:rPr>
          <w:rFonts w:eastAsia="Times New Roman"/>
          <w:color w:val="000000" w:themeColor="text1"/>
        </w:rPr>
        <w:t xml:space="preserve"> </w:t>
      </w:r>
      <w:r w:rsidRPr="46E9EA01" w:rsidR="49414058">
        <w:rPr>
          <w:rFonts w:eastAsia="Times New Roman"/>
          <w:color w:val="000000" w:themeColor="text1"/>
        </w:rPr>
        <w:t xml:space="preserve">involved in data sharing agreements with the state agencies. </w:t>
      </w:r>
      <w:r w:rsidRPr="46E9EA01" w:rsidR="32AF2B7B">
        <w:rPr>
          <w:rFonts w:eastAsia="Times New Roman"/>
          <w:color w:val="000000" w:themeColor="text1"/>
        </w:rPr>
        <w:t xml:space="preserve">We estimate that we will complete 96 interviews in </w:t>
      </w:r>
      <w:r w:rsidRPr="46E9EA01" w:rsidR="6D099AA3">
        <w:rPr>
          <w:rFonts w:eastAsia="Times New Roman"/>
          <w:color w:val="000000" w:themeColor="text1"/>
        </w:rPr>
        <w:t xml:space="preserve">42 states, for a response rate of 80%. </w:t>
      </w:r>
      <w:r>
        <w:t>We aim to obtain variation in staff experiences to understand how connected data is used within each state.</w:t>
      </w:r>
    </w:p>
    <w:p w:rsidRPr="001A59B6" w:rsidR="00A42C71" w:rsidP="00A42C71" w:rsidRDefault="00A42C71" w14:paraId="242D83A5" w14:textId="4B412AC3">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 xml:space="preserve">Sampling </w:t>
      </w:r>
    </w:p>
    <w:p w:rsidR="00CC6436" w:rsidP="00473B14" w:rsidRDefault="00E87A77" w14:paraId="281A27B5" w14:textId="43897745">
      <w:pPr>
        <w:pStyle w:val="ListParagraph"/>
        <w:spacing w:after="120" w:line="240" w:lineRule="auto"/>
        <w:ind w:left="0"/>
        <w:contextualSpacing w:val="0"/>
        <w:rPr>
          <w:rFonts w:cstheme="minorHAnsi"/>
        </w:rPr>
      </w:pPr>
      <w:r>
        <w:rPr>
          <w:rFonts w:cstheme="minorHAnsi"/>
        </w:rPr>
        <w:t>Respondent recruitment</w:t>
      </w:r>
      <w:r w:rsidR="00CC1B01">
        <w:rPr>
          <w:rFonts w:cstheme="minorHAnsi"/>
        </w:rPr>
        <w:t xml:space="preserve"> for </w:t>
      </w:r>
      <w:r w:rsidR="00FB198A">
        <w:rPr>
          <w:rFonts w:cstheme="minorHAnsi"/>
        </w:rPr>
        <w:t>the initial survey (</w:t>
      </w:r>
      <w:r w:rsidR="00CC1B01">
        <w:rPr>
          <w:rFonts w:cstheme="minorHAnsi"/>
        </w:rPr>
        <w:t>Instrument 1</w:t>
      </w:r>
      <w:r w:rsidR="00FB198A">
        <w:rPr>
          <w:rFonts w:cstheme="minorHAnsi"/>
        </w:rPr>
        <w:t>)</w:t>
      </w:r>
      <w:r w:rsidR="00CC1B01">
        <w:rPr>
          <w:rFonts w:cstheme="minorHAnsi"/>
        </w:rPr>
        <w:t xml:space="preserve"> will be based </w:t>
      </w:r>
      <w:r w:rsidR="00360A70">
        <w:rPr>
          <w:rFonts w:cstheme="minorHAnsi"/>
        </w:rPr>
        <w:t>on</w:t>
      </w:r>
      <w:r w:rsidR="00CC1B01">
        <w:rPr>
          <w:rFonts w:cstheme="minorHAnsi"/>
        </w:rPr>
        <w:t xml:space="preserve"> the list </w:t>
      </w:r>
      <w:r w:rsidR="00360A70">
        <w:rPr>
          <w:rFonts w:cstheme="minorHAnsi"/>
        </w:rPr>
        <w:t xml:space="preserve">of state child welfare agencies and their directors </w:t>
      </w:r>
      <w:r w:rsidR="00CC1B01">
        <w:rPr>
          <w:rFonts w:cstheme="minorHAnsi"/>
        </w:rPr>
        <w:t xml:space="preserve">compiled by the Children’s Bureau on the Child Welfare Information Gateway </w:t>
      </w:r>
      <w:r w:rsidR="000D655A">
        <w:rPr>
          <w:rFonts w:cstheme="minorHAnsi"/>
        </w:rPr>
        <w:t>site</w:t>
      </w:r>
      <w:r w:rsidR="00CC1B01">
        <w:rPr>
          <w:rFonts w:cstheme="minorHAnsi"/>
        </w:rPr>
        <w:t xml:space="preserve">. </w:t>
      </w:r>
      <w:r w:rsidR="00360A70">
        <w:rPr>
          <w:rFonts w:cstheme="minorHAnsi"/>
        </w:rPr>
        <w:t xml:space="preserve">Because of expected variation in practices across states, we will contact respondents from each state rather than selecting a subsample of states from which to draw. </w:t>
      </w:r>
      <w:r w:rsidR="00CC6436">
        <w:rPr>
          <w:rFonts w:cstheme="minorHAnsi"/>
        </w:rPr>
        <w:t xml:space="preserve">We </w:t>
      </w:r>
      <w:r w:rsidR="00304FE9">
        <w:rPr>
          <w:rFonts w:cstheme="minorHAnsi"/>
        </w:rPr>
        <w:t>do not know</w:t>
      </w:r>
      <w:r w:rsidR="00CC6436">
        <w:rPr>
          <w:rFonts w:cstheme="minorHAnsi"/>
        </w:rPr>
        <w:t xml:space="preserve"> wh</w:t>
      </w:r>
      <w:r w:rsidR="0024486C">
        <w:rPr>
          <w:rFonts w:cstheme="minorHAnsi"/>
        </w:rPr>
        <w:t>ich</w:t>
      </w:r>
      <w:r w:rsidR="00CC6436">
        <w:rPr>
          <w:rFonts w:cstheme="minorHAnsi"/>
        </w:rPr>
        <w:t xml:space="preserve"> characteristics may be associated with wh</w:t>
      </w:r>
      <w:r w:rsidR="0024486C">
        <w:rPr>
          <w:rFonts w:cstheme="minorHAnsi"/>
        </w:rPr>
        <w:t>ich</w:t>
      </w:r>
      <w:r w:rsidR="00CC6436">
        <w:rPr>
          <w:rFonts w:cstheme="minorHAnsi"/>
        </w:rPr>
        <w:t xml:space="preserve"> behaviors</w:t>
      </w:r>
      <w:r w:rsidR="0024486C">
        <w:rPr>
          <w:rFonts w:cstheme="minorHAnsi"/>
        </w:rPr>
        <w:t>,</w:t>
      </w:r>
      <w:r w:rsidR="00CC6436">
        <w:rPr>
          <w:rFonts w:cstheme="minorHAnsi"/>
        </w:rPr>
        <w:t xml:space="preserve"> so we </w:t>
      </w:r>
      <w:proofErr w:type="spellStart"/>
      <w:r w:rsidR="003920C4">
        <w:rPr>
          <w:rFonts w:cstheme="minorHAnsi"/>
        </w:rPr>
        <w:t>can not</w:t>
      </w:r>
      <w:proofErr w:type="spellEnd"/>
      <w:r w:rsidR="00CC6436">
        <w:rPr>
          <w:rFonts w:cstheme="minorHAnsi"/>
        </w:rPr>
        <w:t xml:space="preserve"> be </w:t>
      </w:r>
      <w:r w:rsidR="00304FE9">
        <w:rPr>
          <w:rFonts w:cstheme="minorHAnsi"/>
        </w:rPr>
        <w:t>certain</w:t>
      </w:r>
      <w:r w:rsidR="00CC6436">
        <w:rPr>
          <w:rFonts w:cstheme="minorHAnsi"/>
        </w:rPr>
        <w:t xml:space="preserve"> that a sample would be representative. </w:t>
      </w:r>
      <w:r w:rsidR="0024486C">
        <w:rPr>
          <w:rFonts w:cstheme="minorHAnsi"/>
        </w:rPr>
        <w:t>In addition, t</w:t>
      </w:r>
      <w:r w:rsidR="00CC6436">
        <w:rPr>
          <w:rFonts w:cstheme="minorHAnsi"/>
        </w:rPr>
        <w:t xml:space="preserve">his is the first time that this information is being collected and we have a well-defined population to survey. </w:t>
      </w:r>
    </w:p>
    <w:p w:rsidRPr="001A59B6" w:rsidR="00A42C71" w:rsidP="00473B14" w:rsidRDefault="00E87A77" w14:paraId="49BCF056" w14:textId="3BC6009E">
      <w:pPr>
        <w:pStyle w:val="ListParagraph"/>
        <w:spacing w:after="120" w:line="240" w:lineRule="auto"/>
        <w:ind w:left="0"/>
        <w:contextualSpacing w:val="0"/>
        <w:rPr>
          <w:rFonts w:cstheme="minorHAnsi"/>
        </w:rPr>
      </w:pPr>
      <w:r>
        <w:rPr>
          <w:rFonts w:cstheme="minorHAnsi"/>
        </w:rPr>
        <w:t xml:space="preserve">The study </w:t>
      </w:r>
      <w:r w:rsidR="00FB198A">
        <w:rPr>
          <w:rFonts w:cstheme="minorHAnsi"/>
        </w:rPr>
        <w:t>will engage</w:t>
      </w:r>
      <w:r>
        <w:rPr>
          <w:rFonts w:cstheme="minorHAnsi"/>
        </w:rPr>
        <w:t xml:space="preserve"> in snowball sampling </w:t>
      </w:r>
      <w:r w:rsidR="00C8129B">
        <w:rPr>
          <w:rFonts w:cstheme="minorHAnsi"/>
        </w:rPr>
        <w:t xml:space="preserve">from </w:t>
      </w:r>
      <w:r w:rsidR="00FB198A">
        <w:rPr>
          <w:rFonts w:cstheme="minorHAnsi"/>
        </w:rPr>
        <w:t xml:space="preserve">the </w:t>
      </w:r>
      <w:r w:rsidR="00C8129B">
        <w:rPr>
          <w:rFonts w:cstheme="minorHAnsi"/>
        </w:rPr>
        <w:t>Instrument 1</w:t>
      </w:r>
      <w:r w:rsidR="00FB198A">
        <w:rPr>
          <w:rFonts w:cstheme="minorHAnsi"/>
        </w:rPr>
        <w:t xml:space="preserve"> sample</w:t>
      </w:r>
      <w:r>
        <w:rPr>
          <w:rFonts w:cstheme="minorHAnsi"/>
        </w:rPr>
        <w:t xml:space="preserve">. </w:t>
      </w:r>
      <w:r w:rsidR="00F92994">
        <w:rPr>
          <w:rFonts w:cstheme="minorHAnsi"/>
        </w:rPr>
        <w:t>Respondents for the connected data survey (</w:t>
      </w:r>
      <w:r w:rsidR="00A45C57">
        <w:rPr>
          <w:rFonts w:cstheme="minorHAnsi"/>
        </w:rPr>
        <w:t>Instrument 2</w:t>
      </w:r>
      <w:r w:rsidR="00F92994">
        <w:rPr>
          <w:rFonts w:cstheme="minorHAnsi"/>
        </w:rPr>
        <w:t>) will be individuals the Instrument 1 respondents</w:t>
      </w:r>
      <w:r w:rsidR="00A45C57">
        <w:rPr>
          <w:rFonts w:cstheme="minorHAnsi"/>
        </w:rPr>
        <w:t xml:space="preserve"> </w:t>
      </w:r>
      <w:r w:rsidR="00F92994">
        <w:rPr>
          <w:rFonts w:cstheme="minorHAnsi"/>
        </w:rPr>
        <w:t xml:space="preserve">identified as working directly with connected data efforts and for whom contact information was provided. </w:t>
      </w:r>
      <w:r w:rsidR="00CC1B01">
        <w:rPr>
          <w:rFonts w:cstheme="minorHAnsi"/>
        </w:rPr>
        <w:t xml:space="preserve">The sample for </w:t>
      </w:r>
      <w:r w:rsidR="00F92994">
        <w:rPr>
          <w:rFonts w:cstheme="minorHAnsi"/>
        </w:rPr>
        <w:t>the interviews (</w:t>
      </w:r>
      <w:r w:rsidR="00CC1B01">
        <w:rPr>
          <w:rFonts w:cstheme="minorHAnsi"/>
        </w:rPr>
        <w:t>Instrument 3</w:t>
      </w:r>
      <w:r w:rsidR="00F92994">
        <w:rPr>
          <w:rFonts w:cstheme="minorHAnsi"/>
        </w:rPr>
        <w:t>) will be</w:t>
      </w:r>
      <w:r w:rsidR="00CC1B01">
        <w:rPr>
          <w:rFonts w:cstheme="minorHAnsi"/>
        </w:rPr>
        <w:t xml:space="preserve"> comp</w:t>
      </w:r>
      <w:r w:rsidR="00F92994">
        <w:rPr>
          <w:rFonts w:cstheme="minorHAnsi"/>
        </w:rPr>
        <w:t>ris</w:t>
      </w:r>
      <w:r w:rsidR="00CC1B01">
        <w:rPr>
          <w:rFonts w:cstheme="minorHAnsi"/>
        </w:rPr>
        <w:t xml:space="preserve">ed of </w:t>
      </w:r>
      <w:r w:rsidR="002B7F1A">
        <w:rPr>
          <w:rFonts w:cstheme="minorHAnsi"/>
        </w:rPr>
        <w:t xml:space="preserve">the samples from Instruments 1 and 2, as well as any additional contacts </w:t>
      </w:r>
      <w:r w:rsidR="000D655A">
        <w:rPr>
          <w:rFonts w:cstheme="minorHAnsi"/>
        </w:rPr>
        <w:t>identified</w:t>
      </w:r>
      <w:r w:rsidR="002B7F1A">
        <w:rPr>
          <w:rFonts w:cstheme="minorHAnsi"/>
        </w:rPr>
        <w:t xml:space="preserve"> </w:t>
      </w:r>
      <w:r w:rsidR="00F92994">
        <w:rPr>
          <w:rFonts w:cstheme="minorHAnsi"/>
        </w:rPr>
        <w:t xml:space="preserve">as working on the connected data efforts of focus </w:t>
      </w:r>
      <w:r w:rsidR="002B7F1A">
        <w:rPr>
          <w:rFonts w:cstheme="minorHAnsi"/>
        </w:rPr>
        <w:t xml:space="preserve">during those </w:t>
      </w:r>
      <w:r w:rsidR="00F92994">
        <w:rPr>
          <w:rFonts w:cstheme="minorHAnsi"/>
        </w:rPr>
        <w:t>earlier surveys</w:t>
      </w:r>
      <w:r w:rsidR="002B7F1A">
        <w:rPr>
          <w:rFonts w:cstheme="minorHAnsi"/>
        </w:rPr>
        <w:t>.</w:t>
      </w:r>
      <w:r w:rsidR="00EE391A">
        <w:rPr>
          <w:rFonts w:cstheme="minorHAnsi"/>
        </w:rPr>
        <w:t xml:space="preserve"> We will invite the child welfare director and one respondent to Instrument 2 for an interview</w:t>
      </w:r>
      <w:r w:rsidR="00052260">
        <w:rPr>
          <w:rFonts w:cstheme="minorHAnsi"/>
        </w:rPr>
        <w:t>, which may be conducted jointly or separately, and up to two county staff if the state indicates that a county is involved in connected data sets separately from the state</w:t>
      </w:r>
      <w:r w:rsidR="00EE391A">
        <w:rPr>
          <w:rFonts w:cstheme="minorHAnsi"/>
        </w:rPr>
        <w:t>.</w:t>
      </w:r>
      <w:r w:rsidR="00052260">
        <w:rPr>
          <w:rFonts w:cstheme="minorHAnsi"/>
        </w:rPr>
        <w:t xml:space="preserve"> These interviews will provide </w:t>
      </w:r>
      <w:r w:rsidR="00052260">
        <w:rPr>
          <w:rFonts w:cstheme="minorHAnsi"/>
        </w:rPr>
        <w:lastRenderedPageBreak/>
        <w:t>insight from the perspectives of the state agency and its technical staff, and possibly the county agency and its technical staff.</w:t>
      </w: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09F8AF43">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8E51D4" w:rsidP="00473B14" w:rsidRDefault="008E51D4" w14:paraId="43CD56C4" w14:textId="52A07F0F">
      <w:pPr>
        <w:spacing w:after="120"/>
        <w:rPr>
          <w:rFonts w:cstheme="minorHAnsi"/>
          <w:b/>
        </w:rPr>
      </w:pPr>
      <w:r>
        <w:rPr>
          <w:rFonts w:cstheme="minorHAnsi"/>
        </w:rPr>
        <w:t>We developed the data collection instruments based on the essential data required to answer the priority research questions</w:t>
      </w:r>
      <w:r w:rsidR="00360A70">
        <w:rPr>
          <w:rFonts w:cstheme="minorHAnsi"/>
        </w:rPr>
        <w:t>,</w:t>
      </w:r>
      <w:r>
        <w:rPr>
          <w:rFonts w:cstheme="minorHAnsi"/>
        </w:rPr>
        <w:t xml:space="preserve"> as listed in section A2. We developed the surveys and interview guide based on </w:t>
      </w:r>
      <w:r w:rsidR="00360A70">
        <w:rPr>
          <w:rFonts w:cstheme="minorHAnsi"/>
        </w:rPr>
        <w:t xml:space="preserve">information learned during the design stage of the </w:t>
      </w:r>
      <w:r w:rsidR="008F661C">
        <w:rPr>
          <w:rFonts w:cstheme="minorHAnsi"/>
        </w:rPr>
        <w:t>SCW</w:t>
      </w:r>
      <w:r w:rsidR="00360A70">
        <w:rPr>
          <w:rFonts w:cstheme="minorHAnsi"/>
        </w:rPr>
        <w:t xml:space="preserve"> Descriptive Study</w:t>
      </w:r>
      <w:r w:rsidR="002F1821">
        <w:rPr>
          <w:rFonts w:cstheme="minorHAnsi"/>
        </w:rPr>
        <w:t>.</w:t>
      </w:r>
    </w:p>
    <w:p w:rsidR="008E51D4" w:rsidP="00473B14" w:rsidRDefault="3D9C4FF2" w14:paraId="3786849B" w14:textId="5B4DE33D">
      <w:pPr>
        <w:autoSpaceDE w:val="0"/>
        <w:autoSpaceDN w:val="0"/>
        <w:adjustRightInd w:val="0"/>
        <w:spacing w:after="120" w:line="240" w:lineRule="atLeast"/>
      </w:pPr>
      <w:r w:rsidRPr="46E9EA01">
        <w:t>The team closely examined all instruments</w:t>
      </w:r>
      <w:r w:rsidR="00CC6436">
        <w:t xml:space="preserve"> designed for this study</w:t>
      </w:r>
      <w:r w:rsidRPr="46E9EA01">
        <w:t xml:space="preserve"> to confirm that they were streamlined and did not collect duplicative data. The instruments have also been reviewed by technical experts. </w:t>
      </w:r>
      <w:r w:rsidRPr="46E9EA01" w:rsidR="1CCA2E1A">
        <w:t>Additionally, w</w:t>
      </w:r>
      <w:r w:rsidRPr="46E9EA01" w:rsidR="33759C15">
        <w:t>e conducted a pretest of all instruments in fall 202</w:t>
      </w:r>
      <w:r w:rsidRPr="46E9EA01" w:rsidR="1CCA2E1A">
        <w:t>1</w:t>
      </w:r>
      <w:r w:rsidRPr="46E9EA01" w:rsidR="045CCD3F">
        <w:t xml:space="preserve"> </w:t>
      </w:r>
      <w:r w:rsidR="00CC6436">
        <w:t xml:space="preserve">with </w:t>
      </w:r>
      <w:r w:rsidR="00EE391A">
        <w:t>seven</w:t>
      </w:r>
      <w:r w:rsidR="00E41A55">
        <w:t xml:space="preserve"> </w:t>
      </w:r>
      <w:r w:rsidR="00CC6436">
        <w:t xml:space="preserve">current and former child welfare </w:t>
      </w:r>
      <w:r w:rsidR="002F1821">
        <w:t xml:space="preserve">agency </w:t>
      </w:r>
      <w:r w:rsidR="00CC6436">
        <w:t xml:space="preserve">staff </w:t>
      </w:r>
      <w:r w:rsidR="0024486C">
        <w:t xml:space="preserve">familiar with their agency’s connected data </w:t>
      </w:r>
      <w:r w:rsidRPr="46E9EA01" w:rsidR="703342E8">
        <w:t>to collect information about their clarity, completeness, and burden</w:t>
      </w:r>
      <w:r w:rsidR="00CC6436">
        <w:t>.</w:t>
      </w:r>
      <w:r w:rsidRPr="46E9EA01" w:rsidR="703342E8">
        <w:t xml:space="preserve"> </w:t>
      </w:r>
      <w:r w:rsidR="00FA604F">
        <w:t>As part of the study background, t</w:t>
      </w:r>
      <w:r w:rsidR="003D3A07">
        <w:t xml:space="preserve">he </w:t>
      </w:r>
      <w:r w:rsidR="00FA604F">
        <w:t xml:space="preserve">pretest respondents were told that the first survey would be sent to state child welfare directors for them or their designees to complete; the second survey would be sent to staff with more technical knowledge of connected data efforts; and the interviews would be conducted with child welfare directors and technical staff. </w:t>
      </w:r>
      <w:r w:rsidR="00CC6436">
        <w:t>W</w:t>
      </w:r>
      <w:r w:rsidRPr="46E9EA01" w:rsidR="703342E8">
        <w:t>e</w:t>
      </w:r>
      <w:r w:rsidRPr="46E9EA01" w:rsidR="1CCA2E1A">
        <w:t xml:space="preserve"> </w:t>
      </w:r>
      <w:r w:rsidR="00FA604F">
        <w:t xml:space="preserve">estimated the survey burden </w:t>
      </w:r>
      <w:r w:rsidR="00DE6D67">
        <w:t xml:space="preserve">based on their average completion time </w:t>
      </w:r>
      <w:r w:rsidR="00FA604F">
        <w:t xml:space="preserve">and </w:t>
      </w:r>
      <w:proofErr w:type="gramStart"/>
      <w:r w:rsidRPr="46E9EA01" w:rsidR="1CCA2E1A">
        <w:t>made revisions to</w:t>
      </w:r>
      <w:proofErr w:type="gramEnd"/>
      <w:r w:rsidRPr="46E9EA01" w:rsidR="1CCA2E1A">
        <w:t xml:space="preserve"> the instruments </w:t>
      </w:r>
      <w:r w:rsidRPr="46E9EA01" w:rsidR="703342E8">
        <w:t xml:space="preserve">based on feedback from the pretest respondents. </w:t>
      </w:r>
    </w:p>
    <w:p w:rsidR="008E51D4" w:rsidP="00473B14" w:rsidRDefault="008E51D4" w14:paraId="344901B9" w14:textId="77777777">
      <w:pPr>
        <w:autoSpaceDE w:val="0"/>
        <w:autoSpaceDN w:val="0"/>
        <w:adjustRightInd w:val="0"/>
        <w:spacing w:after="120" w:line="240" w:lineRule="atLeast"/>
        <w:rPr>
          <w:rFonts w:cstheme="minorHAnsi"/>
        </w:rPr>
      </w:pPr>
      <w:r>
        <w:rPr>
          <w:rFonts w:cstheme="minorHAnsi"/>
        </w:rPr>
        <w:t>Table 1 presents a crosswalk between the data collection instruments and the study aims.</w:t>
      </w:r>
    </w:p>
    <w:p w:rsidR="008E51D4" w:rsidP="008E51D4" w:rsidRDefault="008E51D4" w14:paraId="2D993178" w14:textId="77777777">
      <w:pPr>
        <w:spacing w:after="120"/>
        <w:rPr>
          <w:rFonts w:cstheme="minorHAnsi"/>
          <w:b/>
          <w:szCs w:val="18"/>
        </w:rPr>
      </w:pPr>
      <w:r>
        <w:rPr>
          <w:rFonts w:cstheme="minorHAnsi"/>
          <w:b/>
          <w:szCs w:val="18"/>
        </w:rPr>
        <w:t>Table 1. Crosswalk between data collection instruments and study aims</w:t>
      </w:r>
    </w:p>
    <w:tbl>
      <w:tblPr>
        <w:tblW w:w="4981" w:type="pct"/>
        <w:tblLook w:val="04A0" w:firstRow="1" w:lastRow="0" w:firstColumn="1" w:lastColumn="0" w:noHBand="0" w:noVBand="1"/>
      </w:tblPr>
      <w:tblGrid>
        <w:gridCol w:w="3781"/>
        <w:gridCol w:w="1845"/>
        <w:gridCol w:w="1844"/>
        <w:gridCol w:w="1844"/>
      </w:tblGrid>
      <w:tr w:rsidR="008630C2" w:rsidTr="00B10E30" w14:paraId="54986EF7" w14:textId="77777777">
        <w:trPr>
          <w:trHeight w:val="21"/>
        </w:trPr>
        <w:tc>
          <w:tcPr>
            <w:tcW w:w="2029"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008630C2" w:rsidP="00B10E30" w:rsidRDefault="00491234" w14:paraId="690B8C40" w14:textId="29B96923">
            <w:pPr>
              <w:spacing w:before="40" w:after="40" w:line="240" w:lineRule="auto"/>
              <w:rPr>
                <w:rFonts w:cstheme="minorHAnsi"/>
                <w:b/>
                <w:bCs/>
                <w:color w:val="FFFFFF"/>
                <w:sz w:val="18"/>
                <w:szCs w:val="18"/>
              </w:rPr>
            </w:pPr>
            <w:r w:rsidRPr="00491234">
              <w:rPr>
                <w:rFonts w:cstheme="minorHAnsi"/>
                <w:b/>
                <w:bCs/>
                <w:sz w:val="18"/>
                <w:szCs w:val="18"/>
              </w:rPr>
              <w:t>Study Aims</w:t>
            </w:r>
          </w:p>
        </w:tc>
        <w:tc>
          <w:tcPr>
            <w:tcW w:w="990"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Pr="008630C2" w:rsidR="008630C2" w:rsidP="00B10E30" w:rsidRDefault="008630C2" w14:paraId="7B107446" w14:textId="6D418B23">
            <w:pPr>
              <w:spacing w:before="40" w:after="40" w:line="240" w:lineRule="auto"/>
              <w:jc w:val="center"/>
              <w:rPr>
                <w:rFonts w:cstheme="minorHAnsi"/>
                <w:b/>
                <w:bCs/>
                <w:sz w:val="18"/>
                <w:szCs w:val="18"/>
              </w:rPr>
            </w:pPr>
            <w:r w:rsidRPr="008630C2">
              <w:rPr>
                <w:rFonts w:cstheme="minorHAnsi"/>
                <w:b/>
                <w:bCs/>
                <w:sz w:val="18"/>
                <w:szCs w:val="18"/>
              </w:rPr>
              <w:t>Instrument 1:</w:t>
            </w:r>
            <w:r w:rsidR="00B10E30">
              <w:rPr>
                <w:rFonts w:cstheme="minorHAnsi"/>
                <w:b/>
                <w:bCs/>
                <w:sz w:val="18"/>
                <w:szCs w:val="18"/>
              </w:rPr>
              <w:br/>
            </w:r>
            <w:r w:rsidRPr="008630C2">
              <w:rPr>
                <w:rFonts w:cstheme="minorHAnsi"/>
                <w:b/>
                <w:bCs/>
                <w:sz w:val="18"/>
                <w:szCs w:val="18"/>
              </w:rPr>
              <w:t>Initial survey of state child welfare directors</w:t>
            </w:r>
          </w:p>
        </w:tc>
        <w:tc>
          <w:tcPr>
            <w:tcW w:w="990"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Pr="008630C2" w:rsidR="008630C2" w:rsidP="00B10E30" w:rsidRDefault="008630C2" w14:paraId="41499964" w14:textId="03CF7817">
            <w:pPr>
              <w:spacing w:before="40" w:after="40" w:line="240" w:lineRule="auto"/>
              <w:jc w:val="center"/>
              <w:rPr>
                <w:rFonts w:cstheme="minorHAnsi"/>
                <w:b/>
                <w:bCs/>
                <w:sz w:val="18"/>
                <w:szCs w:val="18"/>
              </w:rPr>
            </w:pPr>
            <w:r w:rsidRPr="008630C2">
              <w:rPr>
                <w:rFonts w:cstheme="minorHAnsi"/>
                <w:b/>
                <w:bCs/>
                <w:sz w:val="18"/>
                <w:szCs w:val="18"/>
              </w:rPr>
              <w:t>Instrument 2:</w:t>
            </w:r>
            <w:r w:rsidR="00B10E30">
              <w:rPr>
                <w:rFonts w:cstheme="minorHAnsi"/>
                <w:b/>
                <w:bCs/>
                <w:sz w:val="18"/>
                <w:szCs w:val="18"/>
              </w:rPr>
              <w:br/>
            </w:r>
            <w:r w:rsidRPr="008630C2">
              <w:rPr>
                <w:rFonts w:cstheme="minorHAnsi"/>
                <w:b/>
                <w:bCs/>
                <w:sz w:val="18"/>
                <w:szCs w:val="18"/>
              </w:rPr>
              <w:t>Survey of connected data efforts</w:t>
            </w:r>
          </w:p>
        </w:tc>
        <w:tc>
          <w:tcPr>
            <w:tcW w:w="990" w:type="pct"/>
            <w:tcBorders>
              <w:top w:val="nil"/>
              <w:left w:val="nil"/>
              <w:bottom w:val="single" w:color="000000" w:themeColor="text1" w:sz="4" w:space="0"/>
              <w:right w:val="single" w:color="FFFFFF" w:themeColor="background1" w:sz="8" w:space="0"/>
            </w:tcBorders>
            <w:shd w:val="clear" w:color="auto" w:fill="D9D9D9" w:themeFill="background1" w:themeFillShade="D9"/>
            <w:vAlign w:val="bottom"/>
            <w:hideMark/>
          </w:tcPr>
          <w:p w:rsidR="008630C2" w:rsidP="00B10E30" w:rsidRDefault="008630C2" w14:paraId="3F8E63D3" w14:textId="06059191">
            <w:pPr>
              <w:spacing w:before="40" w:after="40" w:line="240" w:lineRule="auto"/>
              <w:jc w:val="center"/>
              <w:rPr>
                <w:rFonts w:cstheme="minorHAnsi"/>
                <w:b/>
                <w:bCs/>
                <w:sz w:val="18"/>
                <w:szCs w:val="18"/>
              </w:rPr>
            </w:pPr>
            <w:r>
              <w:rPr>
                <w:rFonts w:cstheme="minorHAnsi"/>
                <w:b/>
                <w:bCs/>
                <w:sz w:val="18"/>
                <w:szCs w:val="18"/>
              </w:rPr>
              <w:t>Instrument 3:</w:t>
            </w:r>
            <w:r w:rsidR="00B10E30">
              <w:rPr>
                <w:rFonts w:cstheme="minorHAnsi"/>
                <w:b/>
                <w:bCs/>
                <w:sz w:val="18"/>
                <w:szCs w:val="18"/>
              </w:rPr>
              <w:br/>
            </w:r>
            <w:r w:rsidRPr="008630C2">
              <w:rPr>
                <w:rFonts w:cstheme="minorHAnsi"/>
                <w:b/>
                <w:bCs/>
                <w:sz w:val="18"/>
                <w:szCs w:val="18"/>
              </w:rPr>
              <w:t>Interviews with individuals responsible for connected data efforts</w:t>
            </w:r>
          </w:p>
        </w:tc>
      </w:tr>
      <w:tr w:rsidR="008630C2" w:rsidTr="00B10E30" w14:paraId="47C393F6" w14:textId="77777777">
        <w:trPr>
          <w:trHeight w:val="227"/>
        </w:trPr>
        <w:tc>
          <w:tcPr>
            <w:tcW w:w="202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8630C2" w:rsidP="008630C2" w:rsidRDefault="00491234" w14:paraId="76E5E759" w14:textId="693EBE2D">
            <w:pPr>
              <w:spacing w:before="40" w:after="40"/>
              <w:rPr>
                <w:rFonts w:cstheme="minorHAnsi"/>
                <w:color w:val="000000"/>
                <w:sz w:val="18"/>
                <w:szCs w:val="18"/>
              </w:rPr>
            </w:pPr>
            <w:r>
              <w:rPr>
                <w:rFonts w:cstheme="minorHAnsi"/>
                <w:color w:val="000000"/>
                <w:sz w:val="18"/>
                <w:szCs w:val="18"/>
              </w:rPr>
              <w:t>Which states link or share their child welfare data?</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6CE93791" w14:textId="77777777">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4A05A7CB" w14:textId="77777777">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5602E2CC" w14:textId="6B2FDEFA">
            <w:pPr>
              <w:spacing w:before="40" w:after="40"/>
              <w:jc w:val="center"/>
              <w:rPr>
                <w:rFonts w:cstheme="minorHAnsi"/>
                <w:color w:val="000000"/>
                <w:sz w:val="18"/>
                <w:szCs w:val="18"/>
              </w:rPr>
            </w:pPr>
          </w:p>
        </w:tc>
      </w:tr>
      <w:tr w:rsidR="008630C2" w:rsidTr="00B10E30" w14:paraId="049A4A7A" w14:textId="77777777">
        <w:trPr>
          <w:trHeight w:val="21"/>
        </w:trPr>
        <w:tc>
          <w:tcPr>
            <w:tcW w:w="202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8630C2" w:rsidP="008630C2" w:rsidRDefault="00491234" w14:paraId="351014C4" w14:textId="2AAD2D6F">
            <w:pPr>
              <w:spacing w:before="40" w:after="40"/>
              <w:rPr>
                <w:rFonts w:cstheme="minorHAnsi"/>
                <w:color w:val="000000"/>
                <w:sz w:val="18"/>
                <w:szCs w:val="18"/>
              </w:rPr>
            </w:pPr>
            <w:r>
              <w:rPr>
                <w:rFonts w:cstheme="minorHAnsi"/>
                <w:color w:val="000000"/>
                <w:sz w:val="18"/>
                <w:szCs w:val="18"/>
              </w:rPr>
              <w:t>How are</w:t>
            </w:r>
            <w:r w:rsidRPr="00491234">
              <w:rPr>
                <w:rFonts w:cstheme="minorHAnsi"/>
                <w:color w:val="000000"/>
                <w:sz w:val="18"/>
                <w:szCs w:val="18"/>
              </w:rPr>
              <w:t xml:space="preserve"> linked data sets created, managed, and used</w:t>
            </w:r>
            <w:r>
              <w:rPr>
                <w:rFonts w:cstheme="minorHAnsi"/>
                <w:color w:val="000000"/>
                <w:sz w:val="18"/>
                <w:szCs w:val="18"/>
              </w:rPr>
              <w:t>?</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491234" w14:paraId="44F97939" w14:textId="4ACB0FF4">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630C2" w:rsidP="008630C2" w:rsidRDefault="00491234" w14:paraId="31AC4744" w14:textId="6581AACC">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491234" w14:paraId="3936C116" w14:textId="32822E69">
            <w:pPr>
              <w:spacing w:before="40" w:after="40"/>
              <w:jc w:val="center"/>
              <w:rPr>
                <w:rFonts w:cstheme="minorHAnsi"/>
                <w:color w:val="000000"/>
                <w:sz w:val="18"/>
                <w:szCs w:val="18"/>
              </w:rPr>
            </w:pPr>
            <w:r>
              <w:rPr>
                <w:rFonts w:cstheme="minorHAnsi"/>
                <w:color w:val="000000"/>
                <w:sz w:val="18"/>
                <w:szCs w:val="18"/>
              </w:rPr>
              <w:t>X</w:t>
            </w:r>
          </w:p>
        </w:tc>
      </w:tr>
      <w:tr w:rsidR="008630C2" w:rsidTr="00B10E30" w14:paraId="43C4E8A7" w14:textId="77777777">
        <w:trPr>
          <w:trHeight w:val="21"/>
        </w:trPr>
        <w:tc>
          <w:tcPr>
            <w:tcW w:w="2029"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8630C2" w:rsidP="46E9EA01" w:rsidRDefault="7F329EDB" w14:paraId="2E27E9DC" w14:textId="4D4CAC05">
            <w:pPr>
              <w:spacing w:before="40" w:after="40"/>
              <w:rPr>
                <w:sz w:val="18"/>
                <w:szCs w:val="18"/>
              </w:rPr>
            </w:pPr>
            <w:r w:rsidRPr="46E9EA01">
              <w:rPr>
                <w:sz w:val="18"/>
                <w:szCs w:val="18"/>
              </w:rPr>
              <w:t>What are supports or challenges to linking data?</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8630C2" w14:paraId="4C4377F6" w14:textId="14603B2E">
            <w:pPr>
              <w:spacing w:before="40" w:after="40"/>
              <w:jc w:val="center"/>
              <w:rPr>
                <w:rFonts w:cstheme="minorHAnsi"/>
                <w:color w:val="000000"/>
                <w:sz w:val="18"/>
                <w:szCs w:val="18"/>
              </w:rPr>
            </w:pP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630C2" w:rsidP="008630C2" w:rsidRDefault="00491234" w14:paraId="535DE671" w14:textId="3A824447">
            <w:pPr>
              <w:spacing w:before="40" w:after="40"/>
              <w:jc w:val="center"/>
              <w:rPr>
                <w:rFonts w:cstheme="minorHAnsi"/>
                <w:color w:val="000000"/>
                <w:sz w:val="18"/>
                <w:szCs w:val="18"/>
              </w:rPr>
            </w:pPr>
            <w:r>
              <w:rPr>
                <w:rFonts w:cstheme="minorHAnsi"/>
                <w:color w:val="000000"/>
                <w:sz w:val="18"/>
                <w:szCs w:val="18"/>
              </w:rPr>
              <w:t>X</w:t>
            </w:r>
          </w:p>
        </w:tc>
        <w:tc>
          <w:tcPr>
            <w:tcW w:w="99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8630C2" w:rsidP="008630C2" w:rsidRDefault="00491234" w14:paraId="545E613B" w14:textId="473B4B16">
            <w:pPr>
              <w:spacing w:before="40" w:after="40"/>
              <w:jc w:val="center"/>
              <w:rPr>
                <w:rFonts w:cstheme="minorHAnsi"/>
                <w:color w:val="000000"/>
                <w:sz w:val="18"/>
                <w:szCs w:val="18"/>
              </w:rPr>
            </w:pPr>
            <w:r>
              <w:rPr>
                <w:rFonts w:cstheme="minorHAnsi"/>
                <w:color w:val="000000"/>
                <w:sz w:val="18"/>
                <w:szCs w:val="18"/>
              </w:rPr>
              <w:t>X</w:t>
            </w:r>
          </w:p>
        </w:tc>
      </w:tr>
    </w:tbl>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6B39F2" w:rsidRDefault="00886649" w14:paraId="1167930B" w14:textId="612F268F">
      <w:pPr>
        <w:autoSpaceDE w:val="0"/>
        <w:autoSpaceDN w:val="0"/>
        <w:adjustRightInd w:val="0"/>
        <w:spacing w:after="60" w:line="240" w:lineRule="atLeast"/>
        <w:rPr>
          <w:rFonts w:eastAsia="Times New Roman" w:cstheme="minorHAnsi"/>
          <w:i/>
          <w:iCs/>
          <w:color w:val="000000"/>
        </w:rPr>
      </w:pPr>
      <w:r>
        <w:rPr>
          <w:rFonts w:eastAsia="Times New Roman" w:cstheme="minorHAnsi"/>
          <w:i/>
          <w:iCs/>
          <w:color w:val="000000"/>
        </w:rPr>
        <w:t xml:space="preserve">Web-based </w:t>
      </w:r>
      <w:r w:rsidR="00BD7EB9">
        <w:rPr>
          <w:rFonts w:eastAsia="Times New Roman" w:cstheme="minorHAnsi"/>
          <w:i/>
          <w:iCs/>
          <w:color w:val="000000"/>
        </w:rPr>
        <w:t>s</w:t>
      </w:r>
      <w:r>
        <w:rPr>
          <w:rFonts w:eastAsia="Times New Roman" w:cstheme="minorHAnsi"/>
          <w:i/>
          <w:iCs/>
          <w:color w:val="000000"/>
        </w:rPr>
        <w:t>urveys</w:t>
      </w:r>
    </w:p>
    <w:p w:rsidR="00886649" w:rsidP="00473B14" w:rsidRDefault="00886649" w14:paraId="0FF7607A" w14:textId="6F30A956">
      <w:pPr>
        <w:autoSpaceDE w:val="0"/>
        <w:autoSpaceDN w:val="0"/>
        <w:adjustRightInd w:val="0"/>
        <w:spacing w:after="120"/>
        <w:rPr>
          <w:rFonts w:eastAsia="Times New Roman" w:cstheme="minorHAnsi"/>
          <w:color w:val="000000"/>
        </w:rPr>
      </w:pPr>
      <w:r>
        <w:rPr>
          <w:rFonts w:eastAsia="Times New Roman" w:cstheme="minorHAnsi"/>
          <w:color w:val="000000"/>
        </w:rPr>
        <w:t xml:space="preserve">Using the low-burden, web-based platform Confirmit, we will administer </w:t>
      </w:r>
      <w:r w:rsidR="00F724BE">
        <w:rPr>
          <w:rFonts w:eastAsia="Times New Roman" w:cstheme="minorHAnsi"/>
          <w:color w:val="000000"/>
        </w:rPr>
        <w:t xml:space="preserve">surveys to child welfare directors and </w:t>
      </w:r>
      <w:r w:rsidR="00CA7E09">
        <w:rPr>
          <w:rFonts w:eastAsia="Times New Roman" w:cstheme="minorHAnsi"/>
          <w:color w:val="000000"/>
        </w:rPr>
        <w:t xml:space="preserve">state and county agency </w:t>
      </w:r>
      <w:r w:rsidR="00F724BE">
        <w:rPr>
          <w:rFonts w:eastAsia="Times New Roman" w:cstheme="minorHAnsi"/>
          <w:color w:val="000000"/>
        </w:rPr>
        <w:t xml:space="preserve">staff </w:t>
      </w:r>
      <w:r w:rsidR="00CA7E09">
        <w:rPr>
          <w:rFonts w:eastAsia="Times New Roman" w:cstheme="minorHAnsi"/>
          <w:color w:val="000000"/>
        </w:rPr>
        <w:t>(</w:t>
      </w:r>
      <w:r w:rsidR="00F724BE">
        <w:rPr>
          <w:rFonts w:eastAsia="Times New Roman" w:cstheme="minorHAnsi"/>
          <w:color w:val="000000"/>
        </w:rPr>
        <w:t>Instruments 1 and 2</w:t>
      </w:r>
      <w:r w:rsidR="00CA7E09">
        <w:rPr>
          <w:rFonts w:eastAsia="Times New Roman" w:cstheme="minorHAnsi"/>
          <w:color w:val="000000"/>
        </w:rPr>
        <w:t>)</w:t>
      </w:r>
      <w:r w:rsidR="00F724BE">
        <w:rPr>
          <w:rFonts w:eastAsia="Times New Roman" w:cstheme="minorHAnsi"/>
          <w:color w:val="000000"/>
        </w:rPr>
        <w:t xml:space="preserve">. </w:t>
      </w:r>
      <w:r w:rsidR="0023066B">
        <w:rPr>
          <w:rFonts w:eastAsia="Times New Roman" w:cstheme="minorHAnsi"/>
          <w:color w:val="000000"/>
        </w:rPr>
        <w:t>Target respondents</w:t>
      </w:r>
      <w:r w:rsidR="00F724BE">
        <w:rPr>
          <w:rFonts w:eastAsia="Times New Roman" w:cstheme="minorHAnsi"/>
          <w:color w:val="000000"/>
        </w:rPr>
        <w:t xml:space="preserve"> will be contacted by </w:t>
      </w:r>
      <w:r w:rsidR="002F1821">
        <w:rPr>
          <w:rFonts w:eastAsia="Times New Roman" w:cstheme="minorHAnsi"/>
          <w:color w:val="000000"/>
        </w:rPr>
        <w:t>ACF</w:t>
      </w:r>
      <w:r w:rsidR="00F724BE">
        <w:rPr>
          <w:rFonts w:eastAsia="Times New Roman" w:cstheme="minorHAnsi"/>
          <w:color w:val="000000"/>
        </w:rPr>
        <w:t xml:space="preserve"> one week before emailing the survey</w:t>
      </w:r>
      <w:r w:rsidR="0023066B">
        <w:rPr>
          <w:rFonts w:eastAsia="Times New Roman" w:cstheme="minorHAnsi"/>
          <w:color w:val="000000"/>
        </w:rPr>
        <w:t xml:space="preserve">. </w:t>
      </w:r>
      <w:r w:rsidRPr="00CE273F" w:rsidR="00CA7E09">
        <w:t xml:space="preserve">Staff will </w:t>
      </w:r>
      <w:r w:rsidR="00D82C2F">
        <w:t xml:space="preserve">then </w:t>
      </w:r>
      <w:r w:rsidRPr="00CE273F" w:rsidR="00CA7E09">
        <w:t>be sent invitations to complete the survey, along with a secure web link, by email.</w:t>
      </w:r>
      <w:r w:rsidR="00CA7E09">
        <w:t xml:space="preserve"> We will also send a total of four email reminders over the six-week data collection period.</w:t>
      </w:r>
      <w:r w:rsidR="00F724BE">
        <w:rPr>
          <w:rFonts w:eastAsia="Times New Roman" w:cstheme="minorHAnsi"/>
          <w:color w:val="000000"/>
        </w:rPr>
        <w:t xml:space="preserve"> </w:t>
      </w:r>
      <w:r w:rsidR="00CA7E09">
        <w:rPr>
          <w:rFonts w:eastAsia="Times New Roman" w:cstheme="minorHAnsi"/>
          <w:color w:val="000000"/>
        </w:rPr>
        <w:t>These communications are included in Appendices A and B. The project team will monitor survey data for quality and completeness throughout the data collection period.</w:t>
      </w:r>
    </w:p>
    <w:p w:rsidRPr="00886649" w:rsidR="00886649" w:rsidP="006B39F2" w:rsidRDefault="00886649" w14:paraId="34123E03" w14:textId="2D9EF30C">
      <w:pPr>
        <w:autoSpaceDE w:val="0"/>
        <w:autoSpaceDN w:val="0"/>
        <w:adjustRightInd w:val="0"/>
        <w:spacing w:after="60" w:line="240" w:lineRule="atLeast"/>
        <w:rPr>
          <w:rFonts w:eastAsia="Times New Roman" w:cstheme="minorHAnsi"/>
          <w:i/>
          <w:iCs/>
          <w:color w:val="000000"/>
        </w:rPr>
      </w:pPr>
      <w:r>
        <w:rPr>
          <w:rFonts w:eastAsia="Times New Roman" w:cstheme="minorHAnsi"/>
          <w:i/>
          <w:iCs/>
          <w:color w:val="000000"/>
        </w:rPr>
        <w:t>Interviews</w:t>
      </w:r>
    </w:p>
    <w:p w:rsidR="008D2A94" w:rsidP="00473B14" w:rsidRDefault="00CA7E09" w14:paraId="43B4D1E6" w14:textId="34DB0954">
      <w:pPr>
        <w:autoSpaceDE w:val="0"/>
        <w:autoSpaceDN w:val="0"/>
        <w:adjustRightInd w:val="0"/>
        <w:spacing w:after="120"/>
        <w:rPr>
          <w:rFonts w:eastAsia="Times New Roman" w:cstheme="minorHAnsi"/>
          <w:color w:val="000000"/>
        </w:rPr>
      </w:pPr>
      <w:r>
        <w:rPr>
          <w:rFonts w:eastAsia="Times New Roman" w:cstheme="minorHAnsi"/>
          <w:color w:val="000000"/>
        </w:rPr>
        <w:t>We will conduct</w:t>
      </w:r>
      <w:r w:rsidR="008759F7">
        <w:rPr>
          <w:rFonts w:eastAsia="Times New Roman" w:cstheme="minorHAnsi"/>
          <w:color w:val="000000"/>
        </w:rPr>
        <w:t xml:space="preserve"> interviews virtually over a secure WebEx call. Target respondents will be contacted via email by </w:t>
      </w:r>
      <w:r w:rsidR="002F1821">
        <w:rPr>
          <w:rFonts w:eastAsia="Times New Roman" w:cstheme="minorHAnsi"/>
          <w:color w:val="000000"/>
        </w:rPr>
        <w:t>ACF</w:t>
      </w:r>
      <w:r w:rsidR="008759F7">
        <w:rPr>
          <w:rFonts w:eastAsia="Times New Roman" w:cstheme="minorHAnsi"/>
          <w:color w:val="000000"/>
        </w:rPr>
        <w:t xml:space="preserve"> on</w:t>
      </w:r>
      <w:r>
        <w:rPr>
          <w:rFonts w:eastAsia="Times New Roman" w:cstheme="minorHAnsi"/>
          <w:color w:val="000000"/>
        </w:rPr>
        <w:t>e</w:t>
      </w:r>
      <w:r w:rsidR="008759F7">
        <w:rPr>
          <w:rFonts w:eastAsia="Times New Roman" w:cstheme="minorHAnsi"/>
          <w:color w:val="000000"/>
        </w:rPr>
        <w:t xml:space="preserve"> week prior to Mathematica </w:t>
      </w:r>
      <w:r w:rsidR="00C710D3">
        <w:rPr>
          <w:rFonts w:eastAsia="Times New Roman" w:cstheme="minorHAnsi"/>
          <w:color w:val="000000"/>
        </w:rPr>
        <w:t xml:space="preserve">initiating contact to schedule the </w:t>
      </w:r>
      <w:r w:rsidR="008759F7">
        <w:rPr>
          <w:rFonts w:eastAsia="Times New Roman" w:cstheme="minorHAnsi"/>
          <w:color w:val="000000"/>
        </w:rPr>
        <w:t xml:space="preserve">interview. </w:t>
      </w:r>
      <w:r w:rsidR="00C710D3">
        <w:rPr>
          <w:rFonts w:eastAsia="Times New Roman" w:cstheme="minorHAnsi"/>
          <w:color w:val="000000"/>
        </w:rPr>
        <w:t xml:space="preserve">These </w:t>
      </w:r>
      <w:r w:rsidR="00C710D3">
        <w:rPr>
          <w:rFonts w:eastAsia="Times New Roman" w:cstheme="minorHAnsi"/>
          <w:color w:val="000000"/>
        </w:rPr>
        <w:lastRenderedPageBreak/>
        <w:t>communications are included in Appendix C.</w:t>
      </w:r>
      <w:r w:rsidR="008D2A94">
        <w:rPr>
          <w:rFonts w:eastAsia="Times New Roman" w:cstheme="minorHAnsi"/>
          <w:color w:val="000000"/>
        </w:rPr>
        <w:t xml:space="preserve"> </w:t>
      </w:r>
      <w:r>
        <w:rPr>
          <w:rFonts w:eastAsia="Times New Roman" w:cstheme="minorHAnsi"/>
          <w:color w:val="000000"/>
        </w:rPr>
        <w:t>We</w:t>
      </w:r>
      <w:r w:rsidR="008D2A94">
        <w:rPr>
          <w:rFonts w:eastAsia="Times New Roman" w:cstheme="minorHAnsi"/>
          <w:color w:val="000000"/>
        </w:rPr>
        <w:t xml:space="preserve"> will record </w:t>
      </w:r>
      <w:r>
        <w:rPr>
          <w:rFonts w:eastAsia="Times New Roman" w:cstheme="minorHAnsi"/>
          <w:color w:val="000000"/>
        </w:rPr>
        <w:t xml:space="preserve">the </w:t>
      </w:r>
      <w:r w:rsidR="008D2A94">
        <w:rPr>
          <w:rFonts w:eastAsia="Times New Roman" w:cstheme="minorHAnsi"/>
          <w:color w:val="000000"/>
        </w:rPr>
        <w:t xml:space="preserve">interviews, with the consent of the interviewee, and a second staff person will attend to take notes. Transcripts will be produced through WebEx, edited by the notetaker, and approved by the interviewer. </w:t>
      </w:r>
    </w:p>
    <w:p w:rsidR="00A42C71" w:rsidP="00473B14" w:rsidRDefault="008D2A94" w14:paraId="5F817256" w14:textId="7D9D5074">
      <w:pPr>
        <w:spacing w:after="120"/>
        <w:rPr>
          <w:rFonts w:cstheme="minorHAnsi"/>
        </w:rPr>
      </w:pPr>
      <w:r>
        <w:rPr>
          <w:rFonts w:eastAsia="Times New Roman" w:cstheme="minorHAnsi"/>
          <w:color w:val="000000"/>
        </w:rPr>
        <w:t xml:space="preserve">Interview guides will be used for every interview for consistency, but they will be altered slightly for each </w:t>
      </w:r>
      <w:r w:rsidR="002F1821">
        <w:rPr>
          <w:rFonts w:eastAsia="Times New Roman" w:cstheme="minorHAnsi"/>
          <w:color w:val="000000"/>
        </w:rPr>
        <w:t xml:space="preserve">respondent </w:t>
      </w:r>
      <w:r>
        <w:rPr>
          <w:rFonts w:eastAsia="Times New Roman" w:cstheme="minorHAnsi"/>
          <w:color w:val="000000"/>
        </w:rPr>
        <w:t xml:space="preserve">to account for differences and specifics collected during the surveys. </w:t>
      </w:r>
      <w:r>
        <w:rPr>
          <w:rFonts w:cstheme="minorHAnsi"/>
        </w:rPr>
        <w:t xml:space="preserve">The interview guides include a consent statement at the beginning. Project staff will read the consent statement to respondents before beginning </w:t>
      </w:r>
      <w:r w:rsidR="00CA7E09">
        <w:rPr>
          <w:rFonts w:cstheme="minorHAnsi"/>
        </w:rPr>
        <w:t xml:space="preserve">the </w:t>
      </w:r>
      <w:r>
        <w:rPr>
          <w:rFonts w:cstheme="minorHAnsi"/>
        </w:rPr>
        <w:t xml:space="preserve">interviews. The consent statement provides assurances that the information shared will be reported in a manner that will not identify individual respondents. </w:t>
      </w:r>
      <w:r w:rsidR="006A4319">
        <w:rPr>
          <w:rFonts w:cstheme="minorHAnsi"/>
        </w:rPr>
        <w:t>It will also inform respondents that their states</w:t>
      </w:r>
      <w:r w:rsidRPr="006530F9" w:rsidR="006A4319">
        <w:t xml:space="preserve"> </w:t>
      </w:r>
      <w:r w:rsidR="006A4319">
        <w:t xml:space="preserve">may be identified in public reports of study findings based on the collected data or in archived data. However, public reports and archived data will not identify respondents by name. </w:t>
      </w:r>
      <w:r>
        <w:rPr>
          <w:rFonts w:cstheme="minorHAnsi"/>
        </w:rPr>
        <w:t xml:space="preserve">Staff will ask participants to provide verbal consent after reading the consent statement. </w:t>
      </w: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1A59B6" w:rsidR="00A42C71" w:rsidP="00473B14" w:rsidRDefault="06391D88" w14:paraId="0A239E18" w14:textId="7ACFD0AA">
      <w:pPr>
        <w:autoSpaceDE w:val="0"/>
        <w:autoSpaceDN w:val="0"/>
        <w:adjustRightInd w:val="0"/>
        <w:spacing w:after="120"/>
        <w:rPr>
          <w:rFonts w:eastAsia="Times New Roman"/>
          <w:color w:val="000000"/>
        </w:rPr>
      </w:pPr>
      <w:r w:rsidRPr="46E9EA01">
        <w:rPr>
          <w:rFonts w:eastAsia="Times New Roman"/>
          <w:color w:val="000000" w:themeColor="text1"/>
        </w:rPr>
        <w:t xml:space="preserve">The surveys and interviews are not designed to produce statistically generalizable findings and participation is wholly at the respondent’s discretion. Response rates will </w:t>
      </w:r>
      <w:r w:rsidR="001E2F38">
        <w:rPr>
          <w:rFonts w:eastAsia="Times New Roman"/>
          <w:color w:val="000000" w:themeColor="text1"/>
        </w:rPr>
        <w:t>be calculated for the surveys</w:t>
      </w:r>
      <w:r w:rsidR="0024486C">
        <w:rPr>
          <w:rFonts w:eastAsia="Times New Roman"/>
          <w:color w:val="000000" w:themeColor="text1"/>
        </w:rPr>
        <w:t xml:space="preserve"> overall, but not for specific items</w:t>
      </w:r>
      <w:r w:rsidRPr="46E9EA01">
        <w:rPr>
          <w:rFonts w:eastAsia="Times New Roman"/>
          <w:color w:val="000000" w:themeColor="text1"/>
        </w:rPr>
        <w:t xml:space="preserve">. </w:t>
      </w:r>
    </w:p>
    <w:p w:rsidRPr="00FA59FE" w:rsidR="00A42C71" w:rsidP="00FA59FE" w:rsidRDefault="00A42C71" w14:paraId="531BE280" w14:textId="582C2A2C">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1A59B6" w:rsidR="00A42C71" w:rsidP="00473B14" w:rsidRDefault="00FA59FE" w14:paraId="6FCD2496" w14:textId="361280CB">
      <w:pPr>
        <w:autoSpaceDE w:val="0"/>
        <w:autoSpaceDN w:val="0"/>
        <w:adjustRightInd w:val="0"/>
        <w:spacing w:after="120"/>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1A59B6" w:rsidR="00A42C71" w:rsidP="00A42C71" w:rsidRDefault="00A42C71" w14:paraId="4E6826E7" w14:textId="77B88388">
      <w:pPr>
        <w:spacing w:after="120" w:line="240" w:lineRule="auto"/>
        <w:rPr>
          <w:rFonts w:eastAsia="Times New Roman" w:cstheme="minorHAnsi"/>
        </w:rPr>
      </w:pPr>
      <w:r w:rsidRPr="001A59B6">
        <w:rPr>
          <w:rFonts w:eastAsia="Times New Roman" w:cstheme="minorHAnsi"/>
          <w:b/>
          <w:bCs/>
        </w:rPr>
        <w:t>B6.</w:t>
      </w:r>
      <w:r w:rsidR="00B10E30">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Pr="001A59B6" w:rsidR="00A42C71" w:rsidP="00473B14" w:rsidRDefault="005C3DE8" w14:paraId="0CA94563" w14:textId="6175D033">
      <w:pPr>
        <w:spacing w:after="120"/>
        <w:rPr>
          <w:rFonts w:eastAsia="Times New Roman" w:cstheme="minorHAnsi"/>
        </w:rPr>
      </w:pPr>
      <w:r w:rsidRPr="005C3DE8">
        <w:rPr>
          <w:rFonts w:eastAsia="Times New Roman" w:cstheme="minorHAnsi"/>
        </w:rPr>
        <w:t>The data will not be used to generate population estimates, either for internal use or dissemination.</w:t>
      </w:r>
    </w:p>
    <w:p w:rsidRPr="001A59B6" w:rsidR="00A42C71" w:rsidP="00A42C71" w:rsidRDefault="00A42C71" w14:paraId="5A639760" w14:textId="4D772FF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00B10E30">
        <w:rPr>
          <w:rFonts w:eastAsia="Times New Roman" w:cstheme="minorHAnsi"/>
          <w:color w:val="000000"/>
        </w:rPr>
        <w:tab/>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5C3DE8" w:rsidP="00473B14" w:rsidRDefault="005C3DE8" w14:paraId="76F81AAF" w14:textId="1663025A">
      <w:pPr>
        <w:autoSpaceDE w:val="0"/>
        <w:autoSpaceDN w:val="0"/>
        <w:adjustRightInd w:val="0"/>
        <w:spacing w:after="120"/>
        <w:rPr>
          <w:rFonts w:eastAsia="Times New Roman" w:cstheme="minorHAnsi"/>
          <w:bCs/>
          <w:color w:val="000000"/>
        </w:rPr>
      </w:pPr>
      <w:r>
        <w:rPr>
          <w:rFonts w:cstheme="minorHAnsi"/>
          <w:szCs w:val="20"/>
        </w:rPr>
        <w:t xml:space="preserve">We will perform quality assurance checks for reliability on coded qualitative data. We will review quantitative data for completeness and accuracy of data entry and program edit checks into the </w:t>
      </w:r>
      <w:r w:rsidR="006C6877">
        <w:rPr>
          <w:rFonts w:cstheme="minorHAnsi"/>
          <w:szCs w:val="20"/>
        </w:rPr>
        <w:t>web-based</w:t>
      </w:r>
      <w:r w:rsidR="00DD4C0F">
        <w:rPr>
          <w:rFonts w:cstheme="minorHAnsi"/>
          <w:szCs w:val="20"/>
        </w:rPr>
        <w:t xml:space="preserve"> </w:t>
      </w:r>
      <w:r>
        <w:rPr>
          <w:rFonts w:cstheme="minorHAnsi"/>
          <w:szCs w:val="20"/>
        </w:rPr>
        <w:t>survey</w:t>
      </w:r>
      <w:r w:rsidR="00DD4C0F">
        <w:rPr>
          <w:rFonts w:cstheme="minorHAnsi"/>
          <w:szCs w:val="20"/>
        </w:rPr>
        <w:t>s</w:t>
      </w:r>
      <w:r>
        <w:rPr>
          <w:rFonts w:cstheme="minorHAnsi"/>
          <w:szCs w:val="20"/>
        </w:rPr>
        <w:t xml:space="preserve"> to minimize errors in entry.</w:t>
      </w:r>
    </w:p>
    <w:p w:rsidR="00A42C71" w:rsidP="00A42C71" w:rsidRDefault="00A42C71" w14:paraId="029DADD1" w14:textId="57DB690C">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5C3DE8" w:rsidP="00473B14" w:rsidRDefault="005C3DE8" w14:paraId="5468DEDD" w14:textId="49041CE5">
      <w:pPr>
        <w:autoSpaceDE w:val="0"/>
        <w:autoSpaceDN w:val="0"/>
        <w:adjustRightInd w:val="0"/>
        <w:spacing w:after="120"/>
        <w:rPr>
          <w:rFonts w:eastAsia="Times New Roman" w:cstheme="minorHAnsi"/>
          <w:bCs/>
          <w:iCs/>
          <w:color w:val="000000"/>
        </w:rPr>
      </w:pPr>
      <w:r w:rsidRPr="005C3DE8">
        <w:rPr>
          <w:rFonts w:eastAsia="Times New Roman" w:cstheme="minorHAnsi"/>
          <w:bCs/>
          <w:iCs/>
          <w:color w:val="000000"/>
        </w:rPr>
        <w:t>After data collection concludes, we will analyze according to the procedures described below for each type of data (qualitative or quantitative). Then, we will analyze each data source separately before combining the descriptive themes that emerge to identify any findings supported by multiple data sources.</w:t>
      </w:r>
    </w:p>
    <w:p w:rsidR="005C3DE8" w:rsidP="005C3DE8" w:rsidRDefault="005C3DE8" w14:paraId="7475C4BC" w14:textId="6DB23438">
      <w:pPr>
        <w:autoSpaceDE w:val="0"/>
        <w:autoSpaceDN w:val="0"/>
        <w:adjustRightInd w:val="0"/>
        <w:spacing w:after="60"/>
        <w:rPr>
          <w:rFonts w:eastAsia="Times New Roman" w:cstheme="minorHAnsi"/>
          <w:bCs/>
          <w:i/>
          <w:color w:val="000000"/>
        </w:rPr>
      </w:pPr>
      <w:r>
        <w:rPr>
          <w:rFonts w:eastAsia="Times New Roman" w:cstheme="minorHAnsi"/>
          <w:bCs/>
          <w:i/>
          <w:color w:val="000000"/>
        </w:rPr>
        <w:t>Quantitative Data</w:t>
      </w:r>
    </w:p>
    <w:p w:rsidR="005C3DE8" w:rsidP="00473B14" w:rsidRDefault="000D54C0" w14:paraId="346E98BF" w14:textId="314F249A">
      <w:pPr>
        <w:autoSpaceDE w:val="0"/>
        <w:autoSpaceDN w:val="0"/>
        <w:adjustRightInd w:val="0"/>
        <w:spacing w:after="120"/>
        <w:rPr>
          <w:rFonts w:eastAsia="Times New Roman" w:cstheme="minorHAnsi"/>
          <w:bCs/>
          <w:iCs/>
          <w:color w:val="000000"/>
        </w:rPr>
      </w:pPr>
      <w:r>
        <w:rPr>
          <w:rFonts w:eastAsia="Times New Roman" w:cstheme="minorHAnsi"/>
          <w:bCs/>
          <w:iCs/>
          <w:color w:val="000000"/>
        </w:rPr>
        <w:t xml:space="preserve">Quantitative data from Instruments 1 and 2 will be analyzed in the same manner. Data will be tabulated at the state level and presented in maps, tables, or figures as appropriate. Responses will be presented as counts or percentages, both overall by states and by administration. There are three administration types: state, county, and hybrid. Statistical significance cannot be tested on differences between state </w:t>
      </w:r>
      <w:r>
        <w:rPr>
          <w:rFonts w:eastAsia="Times New Roman" w:cstheme="minorHAnsi"/>
          <w:bCs/>
          <w:iCs/>
          <w:color w:val="000000"/>
        </w:rPr>
        <w:lastRenderedPageBreak/>
        <w:t xml:space="preserve">and county or hybrid administrations, due to the expected small sample sizes of county and hybrid administration types. </w:t>
      </w:r>
    </w:p>
    <w:p w:rsidR="005C3DE8" w:rsidP="005C3DE8" w:rsidRDefault="005C3DE8" w14:paraId="2340F2BF" w14:textId="31DCB2EC">
      <w:pPr>
        <w:autoSpaceDE w:val="0"/>
        <w:autoSpaceDN w:val="0"/>
        <w:adjustRightInd w:val="0"/>
        <w:spacing w:after="60"/>
        <w:rPr>
          <w:rFonts w:eastAsia="Times New Roman" w:cstheme="minorHAnsi"/>
          <w:bCs/>
          <w:i/>
          <w:color w:val="000000"/>
        </w:rPr>
      </w:pPr>
      <w:r>
        <w:rPr>
          <w:rFonts w:eastAsia="Times New Roman" w:cstheme="minorHAnsi"/>
          <w:bCs/>
          <w:i/>
          <w:color w:val="000000"/>
        </w:rPr>
        <w:t>Qualitative Data</w:t>
      </w:r>
    </w:p>
    <w:p w:rsidR="00A97419" w:rsidP="00B10E30" w:rsidRDefault="26C636A4" w14:paraId="0D43DCD6" w14:textId="086314C5">
      <w:pPr>
        <w:autoSpaceDE w:val="0"/>
        <w:autoSpaceDN w:val="0"/>
        <w:adjustRightInd w:val="0"/>
        <w:spacing w:after="120"/>
        <w:rPr>
          <w:rFonts w:eastAsia="Times New Roman"/>
          <w:color w:val="000000"/>
        </w:rPr>
      </w:pPr>
      <w:r w:rsidRPr="46E9EA01">
        <w:rPr>
          <w:rFonts w:eastAsia="Times New Roman"/>
          <w:color w:val="000000" w:themeColor="text1"/>
        </w:rPr>
        <w:t xml:space="preserve">Interviews will be recorded </w:t>
      </w:r>
      <w:r w:rsidRPr="46E9EA01" w:rsidR="19461943">
        <w:rPr>
          <w:rFonts w:eastAsia="Times New Roman"/>
          <w:color w:val="000000" w:themeColor="text1"/>
        </w:rPr>
        <w:t xml:space="preserve">with the consent of interviewees </w:t>
      </w:r>
      <w:r w:rsidRPr="46E9EA01" w:rsidR="6858755F">
        <w:rPr>
          <w:rFonts w:eastAsia="Times New Roman"/>
          <w:color w:val="000000" w:themeColor="text1"/>
        </w:rPr>
        <w:t>in preparation of coding</w:t>
      </w:r>
      <w:r w:rsidRPr="46E9EA01">
        <w:rPr>
          <w:rFonts w:eastAsia="Times New Roman"/>
          <w:color w:val="000000" w:themeColor="text1"/>
        </w:rPr>
        <w:t xml:space="preserve">. </w:t>
      </w:r>
    </w:p>
    <w:p w:rsidRPr="00F9552F" w:rsidR="00A42C71" w:rsidP="00B10E30" w:rsidRDefault="00A02B17" w14:paraId="0B8C1089" w14:textId="607A06F5">
      <w:pPr>
        <w:autoSpaceDE w:val="0"/>
        <w:autoSpaceDN w:val="0"/>
        <w:adjustRightInd w:val="0"/>
        <w:spacing w:after="120"/>
        <w:rPr>
          <w:rFonts w:eastAsia="Times New Roman" w:cstheme="minorHAnsi"/>
          <w:bCs/>
          <w:color w:val="000000"/>
        </w:rPr>
      </w:pPr>
      <w:r w:rsidRPr="00A97419">
        <w:rPr>
          <w:rFonts w:eastAsia="Times New Roman" w:cstheme="minorHAnsi"/>
          <w:bCs/>
          <w:color w:val="000000"/>
        </w:rPr>
        <w:t xml:space="preserve">We will use a combination of predetermined and emerging codes to capture constructs of interest as discussed in the interviews. </w:t>
      </w:r>
      <w:r w:rsidRPr="00A97419" w:rsidR="00F9552F">
        <w:rPr>
          <w:rFonts w:eastAsia="Times New Roman" w:cstheme="minorHAnsi"/>
          <w:bCs/>
          <w:color w:val="000000"/>
        </w:rPr>
        <w:t>Predetermined codes are developed prior to interview</w:t>
      </w:r>
      <w:r w:rsidR="00995048">
        <w:rPr>
          <w:rFonts w:eastAsia="Times New Roman" w:cstheme="minorHAnsi"/>
          <w:bCs/>
          <w:color w:val="000000"/>
        </w:rPr>
        <w:t xml:space="preserve"> coding</w:t>
      </w:r>
      <w:r w:rsidRPr="00A97419" w:rsidR="00F9552F">
        <w:rPr>
          <w:rFonts w:eastAsia="Times New Roman" w:cstheme="minorHAnsi"/>
          <w:bCs/>
          <w:color w:val="000000"/>
        </w:rPr>
        <w:t xml:space="preserve"> and revised as needed. </w:t>
      </w:r>
      <w:r w:rsidRPr="00F9552F">
        <w:rPr>
          <w:rFonts w:eastAsia="Times New Roman" w:cstheme="minorHAnsi"/>
          <w:bCs/>
          <w:color w:val="000000"/>
        </w:rPr>
        <w:t xml:space="preserve">We will code high-level themes to help document current state or county approaches to connected data and inform future efforts to strengthen the existence of and use of connected data. </w:t>
      </w:r>
    </w:p>
    <w:p w:rsidR="00995048" w:rsidP="00B10E30" w:rsidRDefault="00A97419" w14:paraId="2B927A96" w14:textId="26AFAE98">
      <w:pPr>
        <w:autoSpaceDE w:val="0"/>
        <w:autoSpaceDN w:val="0"/>
        <w:adjustRightInd w:val="0"/>
        <w:spacing w:after="120"/>
        <w:rPr>
          <w:rFonts w:eastAsia="Times New Roman" w:cstheme="minorHAnsi"/>
          <w:bCs/>
          <w:color w:val="000000"/>
        </w:rPr>
      </w:pPr>
      <w:r>
        <w:rPr>
          <w:rFonts w:eastAsia="Times New Roman" w:cstheme="minorHAnsi"/>
          <w:bCs/>
          <w:color w:val="000000"/>
        </w:rPr>
        <w:t>Mathematica will use the qualitative analysis software NVivo to manage and code transcripts. To ensure reliability across coders, c</w:t>
      </w:r>
      <w:r w:rsidRPr="00A97419" w:rsidR="002B1874">
        <w:rPr>
          <w:rFonts w:eastAsia="Times New Roman" w:cstheme="minorHAnsi"/>
          <w:bCs/>
          <w:color w:val="000000"/>
        </w:rPr>
        <w:t xml:space="preserve">oders will be trained </w:t>
      </w:r>
      <w:r>
        <w:rPr>
          <w:rFonts w:eastAsia="Times New Roman" w:cstheme="minorHAnsi"/>
          <w:bCs/>
          <w:color w:val="000000"/>
        </w:rPr>
        <w:t xml:space="preserve">in the predetermined codes and issued a codebook for reference. All team members will code an initial document and compare codes to identify and resolve discrepancies. As the coding proceeds, the team will </w:t>
      </w:r>
      <w:r w:rsidRPr="00A97419" w:rsidR="002B1874">
        <w:rPr>
          <w:rFonts w:eastAsia="Times New Roman" w:cstheme="minorHAnsi"/>
          <w:bCs/>
          <w:color w:val="000000"/>
        </w:rPr>
        <w:t xml:space="preserve">meet periodically to discuss and resolve any issues or differences. </w:t>
      </w:r>
    </w:p>
    <w:p w:rsidR="00995048" w:rsidP="00B10E30" w:rsidRDefault="00995048" w14:paraId="0236F49C" w14:textId="71CAB2B6">
      <w:pPr>
        <w:autoSpaceDE w:val="0"/>
        <w:autoSpaceDN w:val="0"/>
        <w:adjustRightInd w:val="0"/>
        <w:spacing w:after="120"/>
        <w:rPr>
          <w:rFonts w:eastAsia="Times New Roman" w:cstheme="minorHAnsi"/>
          <w:bCs/>
          <w:color w:val="000000"/>
        </w:rPr>
      </w:pPr>
      <w:r>
        <w:rPr>
          <w:rFonts w:eastAsia="Times New Roman" w:cstheme="minorHAnsi"/>
          <w:bCs/>
          <w:color w:val="000000"/>
        </w:rPr>
        <w:t xml:space="preserve">Following the coding process, we can search the codes to identify major themes and particular ideas. </w:t>
      </w:r>
      <w:r>
        <w:rPr>
          <w:rFonts w:cstheme="minorHAnsi"/>
        </w:rPr>
        <w:t xml:space="preserve">Using a program such as NVivo will also enable us to retrieve data on codes by the type of study participant, enabling comparisons across administration type. We will aggregate the themes, removing from analysis any that are only relevant to three of fewer states to protect anonymity. </w:t>
      </w:r>
    </w:p>
    <w:p w:rsidRPr="00A97419" w:rsidR="002B1874" w:rsidP="00B10E30" w:rsidRDefault="002B1874" w14:paraId="5DDAF160" w14:textId="6E0530F7">
      <w:pPr>
        <w:autoSpaceDE w:val="0"/>
        <w:autoSpaceDN w:val="0"/>
        <w:adjustRightInd w:val="0"/>
        <w:spacing w:after="120"/>
        <w:rPr>
          <w:rFonts w:eastAsia="Times New Roman" w:cstheme="minorHAnsi"/>
          <w:bCs/>
          <w:color w:val="000000"/>
        </w:rPr>
      </w:pPr>
      <w:r w:rsidRPr="00A97419">
        <w:rPr>
          <w:rFonts w:eastAsia="Times New Roman" w:cstheme="minorHAnsi"/>
          <w:bCs/>
          <w:color w:val="000000"/>
        </w:rPr>
        <w:t xml:space="preserve">Interviews provide context for quantitative findings from surveys. </w:t>
      </w:r>
      <w:r w:rsidR="00995048">
        <w:rPr>
          <w:rFonts w:eastAsia="Times New Roman" w:cstheme="minorHAnsi"/>
          <w:bCs/>
          <w:color w:val="000000"/>
        </w:rPr>
        <w:t xml:space="preserve">In the final reports, interview data will </w:t>
      </w:r>
      <w:r w:rsidR="00CA3184">
        <w:rPr>
          <w:rFonts w:eastAsia="Times New Roman" w:cstheme="minorHAnsi"/>
          <w:bCs/>
          <w:color w:val="000000"/>
        </w:rPr>
        <w:t xml:space="preserve">be used to </w:t>
      </w:r>
      <w:r w:rsidR="00995048">
        <w:rPr>
          <w:rFonts w:eastAsia="Times New Roman" w:cstheme="minorHAnsi"/>
          <w:bCs/>
          <w:color w:val="000000"/>
        </w:rPr>
        <w:t>p</w:t>
      </w:r>
      <w:r w:rsidRPr="00A97419">
        <w:rPr>
          <w:rFonts w:eastAsia="Times New Roman" w:cstheme="minorHAnsi"/>
          <w:bCs/>
          <w:color w:val="000000"/>
        </w:rPr>
        <w:t xml:space="preserve">resent themes and </w:t>
      </w:r>
      <w:r w:rsidR="00CA3184">
        <w:rPr>
          <w:rFonts w:eastAsia="Times New Roman" w:cstheme="minorHAnsi"/>
          <w:bCs/>
          <w:color w:val="000000"/>
        </w:rPr>
        <w:t>provide</w:t>
      </w:r>
      <w:r w:rsidRPr="00A97419">
        <w:rPr>
          <w:rFonts w:eastAsia="Times New Roman" w:cstheme="minorHAnsi"/>
          <w:bCs/>
          <w:color w:val="000000"/>
        </w:rPr>
        <w:t xml:space="preserve"> examples for descriptive aspect to counts and percentages. Every key finding will have one or more example statements from interviews. Examples will be drawn from a range of states. </w:t>
      </w:r>
    </w:p>
    <w:p w:rsidR="00A42C71" w:rsidP="00A42C71" w:rsidRDefault="00A42C71" w14:paraId="502BA51B" w14:textId="454A134A">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Use</w:t>
      </w:r>
    </w:p>
    <w:p w:rsidR="00E74244" w:rsidP="00B10E30" w:rsidRDefault="0048041D" w14:paraId="74E20F24" w14:textId="2A2A7C2A">
      <w:pPr>
        <w:autoSpaceDE w:val="0"/>
        <w:autoSpaceDN w:val="0"/>
        <w:adjustRightInd w:val="0"/>
        <w:spacing w:after="120"/>
        <w:rPr>
          <w:rFonts w:eastAsia="Times New Roman" w:cstheme="minorHAnsi"/>
          <w:bCs/>
          <w:iCs/>
          <w:color w:val="000000"/>
        </w:rPr>
      </w:pPr>
      <w:r>
        <w:rPr>
          <w:rFonts w:eastAsia="Times New Roman" w:cstheme="minorHAnsi"/>
          <w:bCs/>
          <w:iCs/>
          <w:color w:val="000000"/>
        </w:rPr>
        <w:t xml:space="preserve">The </w:t>
      </w:r>
      <w:r w:rsidR="008F661C">
        <w:rPr>
          <w:rFonts w:eastAsia="Times New Roman" w:cstheme="minorHAnsi"/>
          <w:bCs/>
          <w:iCs/>
          <w:color w:val="000000"/>
        </w:rPr>
        <w:t xml:space="preserve">SCW </w:t>
      </w:r>
      <w:r w:rsidR="00C710D3">
        <w:rPr>
          <w:rFonts w:eastAsia="Times New Roman" w:cstheme="minorHAnsi"/>
          <w:bCs/>
          <w:iCs/>
          <w:color w:val="000000"/>
        </w:rPr>
        <w:t>Descriptive Study</w:t>
      </w:r>
      <w:r>
        <w:rPr>
          <w:rFonts w:eastAsia="Times New Roman" w:cstheme="minorHAnsi"/>
          <w:bCs/>
          <w:iCs/>
          <w:color w:val="000000"/>
        </w:rPr>
        <w:t xml:space="preserve"> team will use the information collected to provide insight into the overarching research questions. The team will use data to develop a series of </w:t>
      </w:r>
      <w:r w:rsidR="00E74244">
        <w:rPr>
          <w:rFonts w:eastAsia="Times New Roman" w:cstheme="minorHAnsi"/>
          <w:bCs/>
          <w:iCs/>
          <w:color w:val="000000"/>
        </w:rPr>
        <w:t>publicly disseminated deliverables,</w:t>
      </w:r>
      <w:r w:rsidR="00407CEA">
        <w:rPr>
          <w:rFonts w:eastAsia="Times New Roman" w:cstheme="minorHAnsi"/>
          <w:bCs/>
          <w:iCs/>
          <w:color w:val="000000"/>
        </w:rPr>
        <w:t xml:space="preserve"> which may include briefs, reports, and other products for a variety of audiences</w:t>
      </w:r>
      <w:r w:rsidR="00E74244">
        <w:rPr>
          <w:rFonts w:eastAsia="Times New Roman" w:cstheme="minorHAnsi"/>
          <w:bCs/>
          <w:iCs/>
          <w:color w:val="000000"/>
        </w:rPr>
        <w:t xml:space="preserve">. The briefs </w:t>
      </w:r>
      <w:r w:rsidR="00BD7C4B">
        <w:rPr>
          <w:rFonts w:eastAsia="Times New Roman" w:cstheme="minorHAnsi"/>
          <w:bCs/>
          <w:iCs/>
          <w:color w:val="000000"/>
        </w:rPr>
        <w:t>may focus on findings from a single data collection activity or may be thematic based using data from multiple data collection activities</w:t>
      </w:r>
      <w:r w:rsidR="00E74244">
        <w:rPr>
          <w:rFonts w:eastAsia="Times New Roman" w:cstheme="minorHAnsi"/>
          <w:bCs/>
          <w:iCs/>
          <w:color w:val="000000"/>
        </w:rPr>
        <w:t xml:space="preserve">. The technical appendix will detail all data collection activities and include the instruments, research questions, and response rates.  </w:t>
      </w:r>
    </w:p>
    <w:p w:rsidR="005A45F6" w:rsidP="00B10E30" w:rsidRDefault="008805D0" w14:paraId="07E6D878" w14:textId="2E01D286">
      <w:pPr>
        <w:autoSpaceDE w:val="0"/>
        <w:autoSpaceDN w:val="0"/>
        <w:adjustRightInd w:val="0"/>
        <w:spacing w:after="120"/>
        <w:rPr>
          <w:rFonts w:eastAsia="Times New Roman" w:cstheme="minorHAnsi"/>
          <w:bCs/>
          <w:iCs/>
          <w:color w:val="000000"/>
        </w:rPr>
      </w:pPr>
      <w:r>
        <w:rPr>
          <w:rFonts w:cstheme="minorHAnsi"/>
        </w:rPr>
        <w:t xml:space="preserve">General limitations to the resulting study data will be included in materials and presentations. </w:t>
      </w:r>
      <w:r w:rsidRPr="009F4C09">
        <w:rPr>
          <w:rFonts w:cstheme="minorHAnsi"/>
        </w:rPr>
        <w:t xml:space="preserve">Written products will clearly state that this study </w:t>
      </w:r>
      <w:r>
        <w:rPr>
          <w:rFonts w:cstheme="minorHAnsi"/>
        </w:rPr>
        <w:t>aims</w:t>
      </w:r>
      <w:r w:rsidRPr="009F4C09">
        <w:rPr>
          <w:rFonts w:cstheme="minorHAnsi"/>
        </w:rPr>
        <w:t xml:space="preserve"> to present </w:t>
      </w:r>
      <w:r>
        <w:rPr>
          <w:rFonts w:cstheme="minorHAnsi"/>
        </w:rPr>
        <w:t>a high quality</w:t>
      </w:r>
      <w:r w:rsidRPr="009F4C09">
        <w:rPr>
          <w:rFonts w:cstheme="minorHAnsi"/>
        </w:rPr>
        <w:t xml:space="preserve"> description of </w:t>
      </w:r>
      <w:r>
        <w:rPr>
          <w:rFonts w:cstheme="minorHAnsi"/>
        </w:rPr>
        <w:t>connected data efforts</w:t>
      </w:r>
      <w:r w:rsidRPr="009F4C09">
        <w:rPr>
          <w:rFonts w:cstheme="minorHAnsi"/>
        </w:rPr>
        <w:t xml:space="preserve"> in participating child welfare agencies, not to promote statistical generalization to other </w:t>
      </w:r>
      <w:r>
        <w:rPr>
          <w:rFonts w:cstheme="minorHAnsi"/>
        </w:rPr>
        <w:t>agencies</w:t>
      </w:r>
      <w:r w:rsidRPr="009F4C09">
        <w:rPr>
          <w:rFonts w:cstheme="minorHAnsi"/>
        </w:rPr>
        <w:t>.</w:t>
      </w:r>
    </w:p>
    <w:p w:rsidRPr="005A45F6" w:rsidR="00A42C71" w:rsidP="00B10E30" w:rsidRDefault="00E74244" w14:paraId="3A679871" w14:textId="24484E9A">
      <w:pPr>
        <w:autoSpaceDE w:val="0"/>
        <w:autoSpaceDN w:val="0"/>
        <w:adjustRightInd w:val="0"/>
        <w:spacing w:after="120"/>
        <w:rPr>
          <w:rFonts w:eastAsia="Times New Roman" w:cstheme="minorHAnsi"/>
          <w:bCs/>
          <w:iCs/>
          <w:color w:val="000000"/>
        </w:rPr>
      </w:pPr>
      <w:r>
        <w:rPr>
          <w:rFonts w:eastAsia="Times New Roman" w:cstheme="minorHAnsi"/>
          <w:bCs/>
          <w:iCs/>
          <w:color w:val="000000"/>
        </w:rPr>
        <w:t>Survey data collected from this study will be archived</w:t>
      </w:r>
      <w:r w:rsidR="002F1821">
        <w:rPr>
          <w:rFonts w:eastAsia="Times New Roman" w:cstheme="minorHAnsi"/>
          <w:bCs/>
          <w:iCs/>
          <w:color w:val="000000"/>
        </w:rPr>
        <w:t xml:space="preserve"> as appropriate.</w:t>
      </w:r>
      <w:r w:rsidR="00281A99">
        <w:rPr>
          <w:rFonts w:eastAsia="Times New Roman" w:cstheme="minorHAnsi"/>
          <w:bCs/>
          <w:iCs/>
          <w:color w:val="000000"/>
        </w:rPr>
        <w:t xml:space="preserve"> </w:t>
      </w:r>
      <w:r w:rsidR="00C710D3">
        <w:rPr>
          <w:rFonts w:eastAsia="Times New Roman" w:cstheme="minorHAnsi"/>
          <w:bCs/>
          <w:iCs/>
          <w:color w:val="000000"/>
        </w:rPr>
        <w:t>We will</w:t>
      </w:r>
      <w:r w:rsidR="003C1833">
        <w:rPr>
          <w:rFonts w:eastAsia="Times New Roman" w:cstheme="minorHAnsi"/>
          <w:bCs/>
          <w:iCs/>
          <w:color w:val="000000"/>
        </w:rPr>
        <w:t xml:space="preserve"> identify the appropriate archive, develop a plan, and properly document all data for storage. </w:t>
      </w:r>
      <w:r w:rsidR="00C710D3">
        <w:rPr>
          <w:rFonts w:eastAsia="Times New Roman" w:cstheme="minorHAnsi"/>
          <w:bCs/>
          <w:iCs/>
          <w:color w:val="000000"/>
        </w:rPr>
        <w:t xml:space="preserve">We will </w:t>
      </w:r>
      <w:r w:rsidR="003C1833">
        <w:rPr>
          <w:rFonts w:eastAsia="Times New Roman" w:cstheme="minorHAnsi"/>
          <w:bCs/>
          <w:iCs/>
          <w:color w:val="000000"/>
        </w:rPr>
        <w:t xml:space="preserve">dispose of sensitive collected data that will not be archived. </w:t>
      </w:r>
    </w:p>
    <w:p w:rsidRPr="001A59B6" w:rsidR="00A42C71" w:rsidP="00A42C71" w:rsidRDefault="00A42C71" w14:paraId="1C0321C0" w14:textId="6173DCA7">
      <w:pPr>
        <w:spacing w:after="120" w:line="240" w:lineRule="auto"/>
        <w:rPr>
          <w:rFonts w:eastAsia="Times New Roman" w:cstheme="minorHAnsi"/>
        </w:rPr>
      </w:pPr>
      <w:r w:rsidRPr="001A59B6">
        <w:rPr>
          <w:rFonts w:eastAsia="Times New Roman" w:cstheme="minorHAnsi"/>
          <w:b/>
          <w:bCs/>
        </w:rPr>
        <w:t>B8.</w:t>
      </w:r>
      <w:r w:rsidR="00B10E30">
        <w:rPr>
          <w:rFonts w:eastAsia="Times New Roman" w:cstheme="minorHAnsi"/>
          <w:b/>
          <w:bCs/>
        </w:rPr>
        <w:tab/>
      </w:r>
      <w:r w:rsidRPr="001A59B6">
        <w:rPr>
          <w:rFonts w:eastAsia="Times New Roman" w:cstheme="minorHAnsi"/>
          <w:b/>
          <w:bCs/>
        </w:rPr>
        <w:t>Contact Persons</w:t>
      </w:r>
      <w:r w:rsidRPr="001A59B6">
        <w:rPr>
          <w:rFonts w:eastAsia="Times New Roman" w:cstheme="minorHAnsi"/>
        </w:rPr>
        <w:t xml:space="preserve">  </w:t>
      </w:r>
    </w:p>
    <w:p w:rsidR="00A02B17" w:rsidP="00A02B17" w:rsidRDefault="00A02B17" w14:paraId="59D89AB5" w14:textId="5AA6192F">
      <w:pPr>
        <w:spacing w:after="240"/>
      </w:pPr>
      <w:r>
        <w:rPr>
          <w:rFonts w:cstheme="minorHAnsi"/>
        </w:rPr>
        <w:t xml:space="preserve">Mathematica is conducting this project under contract number </w:t>
      </w:r>
      <w:r w:rsidRPr="0097668D" w:rsidR="0097668D">
        <w:rPr>
          <w:rFonts w:cstheme="minorHAnsi"/>
        </w:rPr>
        <w:t>47QRAA18D00BQ/75ACF121F80021</w:t>
      </w:r>
      <w:r>
        <w:rPr>
          <w:rFonts w:cstheme="minorHAnsi"/>
        </w:rPr>
        <w:t>. Mathematica developed the plans for this data collection</w:t>
      </w:r>
      <w:r w:rsidRPr="008805D0">
        <w:rPr>
          <w:rFonts w:cstheme="minorHAnsi"/>
        </w:rPr>
        <w:t xml:space="preserve">. </w:t>
      </w:r>
      <w:r w:rsidRPr="008805D0">
        <w:t xml:space="preserve">Experts in their respective fields from the ACF </w:t>
      </w:r>
      <w:r w:rsidRPr="008805D0">
        <w:lastRenderedPageBreak/>
        <w:t xml:space="preserve">Office of Planning, Research, and Evaluation and Mathematica </w:t>
      </w:r>
      <w:r>
        <w:t xml:space="preserve">helped developed the design, data collection plan, and instruments for which we request clearance. </w:t>
      </w:r>
    </w:p>
    <w:p w:rsidR="00A02B17" w:rsidP="00B10E30" w:rsidRDefault="00A02B17" w14:paraId="65B3EF0A" w14:textId="77777777">
      <w:pPr>
        <w:keepNext/>
        <w:keepLines/>
        <w:spacing w:after="120"/>
        <w:rPr>
          <w:rFonts w:cstheme="minorHAnsi"/>
        </w:rPr>
      </w:pPr>
      <w:r>
        <w:rPr>
          <w:rFonts w:cstheme="minorHAnsi"/>
        </w:rPr>
        <w:t>The following people can answer questions about this data collection effort:</w:t>
      </w:r>
    </w:p>
    <w:p w:rsidR="00A42C71" w:rsidP="00B10E30" w:rsidRDefault="00BD7C4B" w14:paraId="3F327361" w14:textId="25C72E4D">
      <w:pPr>
        <w:pStyle w:val="ListParagraph"/>
        <w:keepNext/>
        <w:keepLines/>
        <w:numPr>
          <w:ilvl w:val="0"/>
          <w:numId w:val="39"/>
        </w:numPr>
        <w:spacing w:after="0" w:line="240" w:lineRule="auto"/>
        <w:contextualSpacing w:val="0"/>
        <w:rPr>
          <w:rFonts w:cstheme="minorHAnsi"/>
          <w:bCs/>
        </w:rPr>
      </w:pPr>
      <w:r>
        <w:rPr>
          <w:rFonts w:cstheme="minorHAnsi"/>
          <w:bCs/>
        </w:rPr>
        <w:t>M. C. (</w:t>
      </w:r>
      <w:r w:rsidRPr="003C1833" w:rsidR="003C1833">
        <w:rPr>
          <w:rFonts w:cstheme="minorHAnsi"/>
          <w:bCs/>
        </w:rPr>
        <w:t>Cay</w:t>
      </w:r>
      <w:r>
        <w:rPr>
          <w:rFonts w:cstheme="minorHAnsi"/>
          <w:bCs/>
        </w:rPr>
        <w:t>)</w:t>
      </w:r>
      <w:r w:rsidRPr="003C1833" w:rsidR="003C1833">
        <w:rPr>
          <w:rFonts w:cstheme="minorHAnsi"/>
          <w:bCs/>
        </w:rPr>
        <w:t xml:space="preserve"> Bradley </w:t>
      </w:r>
      <w:r w:rsidR="003C1833">
        <w:rPr>
          <w:rFonts w:cstheme="minorHAnsi"/>
          <w:bCs/>
        </w:rPr>
        <w:t>(</w:t>
      </w:r>
      <w:r w:rsidRPr="009718ED" w:rsidR="009718ED">
        <w:rPr>
          <w:rFonts w:cstheme="minorHAnsi"/>
          <w:bCs/>
        </w:rPr>
        <w:t>cbradley@mathematica-mpr.com</w:t>
      </w:r>
      <w:r w:rsidR="003C1833">
        <w:rPr>
          <w:rFonts w:cstheme="minorHAnsi"/>
          <w:bCs/>
        </w:rPr>
        <w:t>)</w:t>
      </w:r>
    </w:p>
    <w:p w:rsidRPr="003C1833" w:rsidR="003C1833" w:rsidP="00B10E30" w:rsidRDefault="003C1833" w14:paraId="101D2EC7" w14:textId="3D8E43FC">
      <w:pPr>
        <w:pStyle w:val="ListParagraph"/>
        <w:numPr>
          <w:ilvl w:val="0"/>
          <w:numId w:val="39"/>
        </w:numPr>
        <w:spacing w:after="240" w:line="240" w:lineRule="auto"/>
        <w:contextualSpacing w:val="0"/>
        <w:rPr>
          <w:rFonts w:cstheme="minorHAnsi"/>
          <w:bCs/>
        </w:rPr>
      </w:pPr>
      <w:r>
        <w:rPr>
          <w:rFonts w:cstheme="minorHAnsi"/>
          <w:bCs/>
        </w:rPr>
        <w:t>Joanne Lee (</w:t>
      </w:r>
      <w:r w:rsidRPr="009718ED" w:rsidR="009718ED">
        <w:rPr>
          <w:rFonts w:cstheme="minorHAnsi"/>
          <w:bCs/>
        </w:rPr>
        <w:t>jlee@mathematica-mpr.com</w:t>
      </w:r>
      <w:r>
        <w:rPr>
          <w:rFonts w:cstheme="minorHAnsi"/>
          <w:bCs/>
        </w:rPr>
        <w:t>)</w:t>
      </w:r>
    </w:p>
    <w:p w:rsidRPr="008805D0" w:rsidR="008805D0" w:rsidP="00B10E30" w:rsidRDefault="008805D0" w14:paraId="7C0BD8B4" w14:textId="58ACFBF2">
      <w:pPr>
        <w:pStyle w:val="ListParagraph"/>
        <w:spacing w:after="120" w:line="240" w:lineRule="auto"/>
        <w:ind w:left="0"/>
        <w:contextualSpacing w:val="0"/>
        <w:rPr>
          <w:rFonts w:cstheme="minorHAnsi"/>
          <w:bCs/>
        </w:rPr>
      </w:pPr>
      <w:r>
        <w:rPr>
          <w:rFonts w:cstheme="minorHAnsi"/>
          <w:bCs/>
        </w:rPr>
        <w:t>Staff from Mathematica will be responsible for collecting, processing, and analyzing the information for the Office of Planning, Research, and Evaluation.</w:t>
      </w: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E160D5" w:rsidR="001734EA" w:rsidP="001734EA" w:rsidRDefault="001734EA" w14:paraId="79786233" w14:textId="77777777">
      <w:pPr>
        <w:spacing w:after="60" w:line="259" w:lineRule="auto"/>
        <w:rPr>
          <w:rFonts w:eastAsiaTheme="minorEastAsia" w:cstheme="minorHAnsi"/>
          <w:i/>
          <w:iCs/>
        </w:rPr>
      </w:pPr>
      <w:r w:rsidRPr="00E160D5">
        <w:rPr>
          <w:rFonts w:eastAsiaTheme="minorEastAsia" w:cstheme="minorHAnsi"/>
          <w:i/>
          <w:iCs/>
        </w:rPr>
        <w:t>Instruments</w:t>
      </w:r>
    </w:p>
    <w:p w:rsidRPr="00CE0A84" w:rsidR="001734EA" w:rsidP="001734EA" w:rsidRDefault="001734EA" w14:paraId="4C100824" w14:textId="0015EB99">
      <w:pPr>
        <w:spacing w:after="240" w:line="259" w:lineRule="auto"/>
        <w:contextualSpacing/>
        <w:rPr>
          <w:rFonts w:eastAsiaTheme="minorEastAsia" w:cstheme="minorHAnsi"/>
        </w:rPr>
      </w:pPr>
      <w:r w:rsidRPr="00CE0A84">
        <w:rPr>
          <w:rFonts w:eastAsiaTheme="minorEastAsia" w:cstheme="minorHAnsi"/>
        </w:rPr>
        <w:t>Instrument 1</w:t>
      </w:r>
      <w:r w:rsidR="00FD36BD">
        <w:rPr>
          <w:rFonts w:eastAsiaTheme="minorEastAsia" w:cstheme="minorHAnsi"/>
        </w:rPr>
        <w:t>:</w:t>
      </w:r>
      <w:r w:rsidRPr="00CE0A84">
        <w:rPr>
          <w:rFonts w:eastAsiaTheme="minorEastAsia" w:cstheme="minorHAnsi"/>
        </w:rPr>
        <w:t xml:space="preserve"> </w:t>
      </w:r>
      <w:r>
        <w:rPr>
          <w:rFonts w:eastAsiaTheme="minorEastAsia" w:cstheme="minorHAnsi"/>
        </w:rPr>
        <w:t>Initial Survey</w:t>
      </w:r>
    </w:p>
    <w:p w:rsidRPr="00CE0A84" w:rsidR="001734EA" w:rsidP="001734EA" w:rsidRDefault="001734EA" w14:paraId="1E1531B6" w14:textId="52CC7174">
      <w:pPr>
        <w:spacing w:after="240" w:line="259" w:lineRule="auto"/>
        <w:contextualSpacing/>
        <w:rPr>
          <w:rFonts w:eastAsiaTheme="minorEastAsia" w:cstheme="minorHAnsi"/>
        </w:rPr>
      </w:pPr>
      <w:r w:rsidRPr="00CE0A84">
        <w:rPr>
          <w:rFonts w:eastAsiaTheme="minorEastAsia" w:cstheme="minorHAnsi"/>
        </w:rPr>
        <w:t>Instrument 2</w:t>
      </w:r>
      <w:r w:rsidR="00FD36BD">
        <w:rPr>
          <w:rFonts w:eastAsiaTheme="minorEastAsia" w:cstheme="minorHAnsi"/>
        </w:rPr>
        <w:t>:</w:t>
      </w:r>
      <w:r w:rsidRPr="00CE0A84">
        <w:rPr>
          <w:rFonts w:eastAsiaTheme="minorEastAsia" w:cstheme="minorHAnsi"/>
        </w:rPr>
        <w:t xml:space="preserve"> </w:t>
      </w:r>
      <w:r>
        <w:rPr>
          <w:rFonts w:eastAsiaTheme="minorEastAsia" w:cstheme="minorHAnsi"/>
        </w:rPr>
        <w:t>Connected Data Survey</w:t>
      </w:r>
    </w:p>
    <w:p w:rsidR="001734EA" w:rsidP="001734EA" w:rsidRDefault="001734EA" w14:paraId="2E20C46C" w14:textId="3406C9AA">
      <w:pPr>
        <w:spacing w:after="240" w:line="259" w:lineRule="auto"/>
        <w:rPr>
          <w:rFonts w:eastAsiaTheme="minorEastAsia" w:cstheme="minorHAnsi"/>
        </w:rPr>
      </w:pPr>
      <w:r w:rsidRPr="00CE0A84">
        <w:rPr>
          <w:rFonts w:eastAsiaTheme="minorEastAsia" w:cstheme="minorHAnsi"/>
        </w:rPr>
        <w:t>Instrument 3</w:t>
      </w:r>
      <w:r w:rsidR="00FD36BD">
        <w:rPr>
          <w:rFonts w:eastAsiaTheme="minorEastAsia" w:cstheme="minorHAnsi"/>
        </w:rPr>
        <w:t>:</w:t>
      </w:r>
      <w:r w:rsidRPr="00CE0A84">
        <w:rPr>
          <w:rFonts w:eastAsiaTheme="minorEastAsia" w:cstheme="minorHAnsi"/>
        </w:rPr>
        <w:t xml:space="preserve"> </w:t>
      </w:r>
      <w:r>
        <w:rPr>
          <w:rFonts w:eastAsiaTheme="minorEastAsia" w:cstheme="minorHAnsi"/>
        </w:rPr>
        <w:t>Interview Guide</w:t>
      </w:r>
    </w:p>
    <w:p w:rsidRPr="00E160D5" w:rsidR="001734EA" w:rsidP="001734EA" w:rsidRDefault="001734EA" w14:paraId="659CB363" w14:textId="77777777">
      <w:pPr>
        <w:spacing w:after="60" w:line="259" w:lineRule="auto"/>
        <w:rPr>
          <w:rFonts w:eastAsiaTheme="minorEastAsia" w:cstheme="minorHAnsi"/>
          <w:i/>
          <w:iCs/>
        </w:rPr>
      </w:pPr>
      <w:r w:rsidRPr="00E160D5">
        <w:rPr>
          <w:rFonts w:eastAsiaTheme="minorEastAsia" w:cstheme="minorHAnsi"/>
          <w:i/>
          <w:iCs/>
        </w:rPr>
        <w:t>Appendices</w:t>
      </w:r>
    </w:p>
    <w:p w:rsidR="001734EA" w:rsidP="001734EA" w:rsidRDefault="001734EA" w14:paraId="479AC6B0" w14:textId="7B48B52E">
      <w:pPr>
        <w:spacing w:after="240" w:line="259" w:lineRule="auto"/>
        <w:contextualSpacing/>
        <w:rPr>
          <w:rFonts w:eastAsiaTheme="minorEastAsia" w:cstheme="minorHAnsi"/>
        </w:rPr>
      </w:pPr>
      <w:r>
        <w:rPr>
          <w:rFonts w:eastAsiaTheme="minorEastAsia" w:cstheme="minorHAnsi"/>
        </w:rPr>
        <w:t>Appendix A</w:t>
      </w:r>
      <w:r w:rsidR="00FD36BD">
        <w:rPr>
          <w:rFonts w:eastAsiaTheme="minorEastAsia" w:cstheme="minorHAnsi"/>
        </w:rPr>
        <w:t>:</w:t>
      </w:r>
      <w:r>
        <w:rPr>
          <w:rFonts w:eastAsiaTheme="minorEastAsia" w:cstheme="minorHAnsi"/>
        </w:rPr>
        <w:t xml:space="preserve"> Outreach to State Child Welfare Directors</w:t>
      </w:r>
    </w:p>
    <w:p w:rsidR="001734EA" w:rsidP="001734EA" w:rsidRDefault="001734EA" w14:paraId="17C53318" w14:textId="6B8581E8">
      <w:pPr>
        <w:spacing w:after="240" w:line="259" w:lineRule="auto"/>
        <w:contextualSpacing/>
        <w:rPr>
          <w:rFonts w:eastAsiaTheme="minorEastAsia" w:cstheme="minorHAnsi"/>
        </w:rPr>
      </w:pPr>
      <w:r>
        <w:rPr>
          <w:rFonts w:eastAsiaTheme="minorEastAsia" w:cstheme="minorHAnsi"/>
        </w:rPr>
        <w:t>Appendix B</w:t>
      </w:r>
      <w:r w:rsidR="00FD36BD">
        <w:rPr>
          <w:rFonts w:eastAsiaTheme="minorEastAsia" w:cstheme="minorHAnsi"/>
        </w:rPr>
        <w:t>:</w:t>
      </w:r>
      <w:r>
        <w:rPr>
          <w:rFonts w:eastAsiaTheme="minorEastAsia" w:cstheme="minorHAnsi"/>
        </w:rPr>
        <w:t xml:space="preserve"> Outreach to Respondents for the Connected Data Survey</w:t>
      </w:r>
    </w:p>
    <w:p w:rsidR="001734EA" w:rsidP="001734EA" w:rsidRDefault="001734EA" w14:paraId="0345DB71" w14:textId="184F5D07">
      <w:pPr>
        <w:spacing w:after="240" w:line="259" w:lineRule="auto"/>
        <w:contextualSpacing/>
        <w:rPr>
          <w:rFonts w:eastAsiaTheme="minorEastAsia" w:cstheme="minorHAnsi"/>
        </w:rPr>
      </w:pPr>
      <w:r>
        <w:rPr>
          <w:rFonts w:eastAsiaTheme="minorEastAsia" w:cstheme="minorHAnsi"/>
        </w:rPr>
        <w:t>Appendix C</w:t>
      </w:r>
      <w:r w:rsidR="00FD36BD">
        <w:rPr>
          <w:rFonts w:eastAsiaTheme="minorEastAsia" w:cstheme="minorHAnsi"/>
        </w:rPr>
        <w:t>:</w:t>
      </w:r>
      <w:r>
        <w:rPr>
          <w:rFonts w:eastAsiaTheme="minorEastAsia" w:cstheme="minorHAnsi"/>
        </w:rPr>
        <w:t xml:space="preserve"> Outreach to Child Welfare Directors, State Staff, and County Staff for Interviews</w:t>
      </w:r>
    </w:p>
    <w:p w:rsidR="002C7692" w:rsidP="001734EA" w:rsidRDefault="002C7692" w14:paraId="37B08725" w14:textId="4664FE73">
      <w:pPr>
        <w:spacing w:after="240" w:line="259" w:lineRule="auto"/>
        <w:contextualSpacing/>
        <w:rPr>
          <w:rFonts w:eastAsiaTheme="minorEastAsia" w:cstheme="minorHAnsi"/>
        </w:rPr>
      </w:pPr>
      <w:r>
        <w:rPr>
          <w:rFonts w:eastAsiaTheme="minorEastAsia" w:cstheme="minorHAnsi"/>
        </w:rPr>
        <w:t>Appendix D: Public Comment on Federal Register Notice 2022-02928</w:t>
      </w:r>
    </w:p>
    <w:p w:rsidRPr="006B53F1" w:rsidR="00083227" w:rsidP="001734EA" w:rsidRDefault="00083227" w14:paraId="1E574BF6" w14:textId="77777777"/>
    <w:sectPr w:rsidRPr="006B53F1" w:rsidR="00083227" w:rsidSect="00473B14">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DB41" w14:textId="77777777" w:rsidR="004C4272" w:rsidRDefault="004C4272" w:rsidP="0004063C">
      <w:pPr>
        <w:spacing w:after="0" w:line="240" w:lineRule="auto"/>
      </w:pPr>
      <w:r>
        <w:separator/>
      </w:r>
    </w:p>
  </w:endnote>
  <w:endnote w:type="continuationSeparator" w:id="0">
    <w:p w14:paraId="1EE2474E" w14:textId="77777777" w:rsidR="004C4272" w:rsidRDefault="004C427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747794"/>
      <w:docPartObj>
        <w:docPartGallery w:val="Page Numbers (Bottom of Page)"/>
        <w:docPartUnique/>
      </w:docPartObj>
    </w:sdtPr>
    <w:sdtEndPr>
      <w:rPr>
        <w:noProof/>
      </w:rPr>
    </w:sdtEndPr>
    <w:sdtContent>
      <w:p w14:paraId="39F9E84C" w14:textId="77777777" w:rsidR="00473B14" w:rsidRDefault="00473B14" w:rsidP="00473B14">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5C06" w14:textId="77777777" w:rsidR="004C4272" w:rsidRDefault="004C4272" w:rsidP="0004063C">
      <w:pPr>
        <w:spacing w:after="0" w:line="240" w:lineRule="auto"/>
      </w:pPr>
      <w:r>
        <w:separator/>
      </w:r>
    </w:p>
  </w:footnote>
  <w:footnote w:type="continuationSeparator" w:id="0">
    <w:p w14:paraId="5CF8661D" w14:textId="77777777" w:rsidR="004C4272" w:rsidRDefault="004C4272" w:rsidP="0004063C">
      <w:pPr>
        <w:spacing w:after="0" w:line="240" w:lineRule="auto"/>
      </w:pPr>
      <w:r>
        <w:continuationSeparator/>
      </w:r>
    </w:p>
  </w:footnote>
  <w:footnote w:id="1">
    <w:p w14:paraId="553FD12D" w14:textId="213F93B7" w:rsidR="00BB1C2B" w:rsidRDefault="00BB1C2B">
      <w:pPr>
        <w:pStyle w:val="FootnoteText"/>
      </w:pPr>
      <w:r>
        <w:rPr>
          <w:rStyle w:val="FootnoteReference"/>
        </w:rPr>
        <w:footnoteRef/>
      </w:r>
      <w:r>
        <w:t xml:space="preserve"> We will invite the child welfare agency directors from all 50 states, the District of Columbia, and Puerto Rico to complete the initial survey.</w:t>
      </w:r>
    </w:p>
  </w:footnote>
  <w:footnote w:id="2">
    <w:p w14:paraId="2138075A" w14:textId="5FF4B443" w:rsidR="00620DA4" w:rsidRDefault="00620DA4">
      <w:pPr>
        <w:pStyle w:val="FootnoteText"/>
      </w:pPr>
      <w:r>
        <w:rPr>
          <w:rStyle w:val="FootnoteReference"/>
        </w:rPr>
        <w:footnoteRef/>
      </w:r>
      <w:r>
        <w:t xml:space="preserve"> </w:t>
      </w:r>
      <w:r>
        <w:rPr>
          <w:rFonts w:eastAsia="Times New Roman"/>
          <w:color w:val="000000" w:themeColor="text1"/>
        </w:rPr>
        <w:t xml:space="preserve">Our estimates for burden hours in Supporting Statement A, Table 2, define respondent by survey administration and not </w:t>
      </w:r>
      <w:r w:rsidR="00A50705">
        <w:rPr>
          <w:rFonts w:eastAsia="Times New Roman"/>
          <w:color w:val="000000" w:themeColor="text1"/>
        </w:rPr>
        <w:t xml:space="preserve">necessarily </w:t>
      </w:r>
      <w:r>
        <w:rPr>
          <w:rFonts w:eastAsia="Times New Roman"/>
          <w:color w:val="000000" w:themeColor="text1"/>
        </w:rPr>
        <w:t>by the number of different people completing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AD57" w14:textId="77777777" w:rsidR="00473B14" w:rsidRPr="000D7D44" w:rsidRDefault="00473B14"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5590CE20" w14:textId="77777777" w:rsidR="00473B14" w:rsidRPr="00390F85" w:rsidRDefault="00473B14"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598C"/>
    <w:multiLevelType w:val="hybridMultilevel"/>
    <w:tmpl w:val="16A0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0136E"/>
    <w:multiLevelType w:val="hybridMultilevel"/>
    <w:tmpl w:val="2F7E7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E280C"/>
    <w:multiLevelType w:val="hybridMultilevel"/>
    <w:tmpl w:val="3DE6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C8028E"/>
    <w:multiLevelType w:val="hybridMultilevel"/>
    <w:tmpl w:val="3DEC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A4242EF"/>
    <w:multiLevelType w:val="hybridMultilevel"/>
    <w:tmpl w:val="30A8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E4CBA"/>
    <w:multiLevelType w:val="hybridMultilevel"/>
    <w:tmpl w:val="93C20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4F4F9D"/>
    <w:multiLevelType w:val="hybridMultilevel"/>
    <w:tmpl w:val="EB66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82276"/>
    <w:multiLevelType w:val="hybridMultilevel"/>
    <w:tmpl w:val="7EEE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67F4D"/>
    <w:multiLevelType w:val="hybridMultilevel"/>
    <w:tmpl w:val="1506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28"/>
  </w:num>
  <w:num w:numId="5">
    <w:abstractNumId w:val="16"/>
  </w:num>
  <w:num w:numId="6">
    <w:abstractNumId w:val="34"/>
  </w:num>
  <w:num w:numId="7">
    <w:abstractNumId w:val="4"/>
  </w:num>
  <w:num w:numId="8">
    <w:abstractNumId w:val="9"/>
  </w:num>
  <w:num w:numId="9">
    <w:abstractNumId w:val="14"/>
  </w:num>
  <w:num w:numId="10">
    <w:abstractNumId w:val="33"/>
  </w:num>
  <w:num w:numId="11">
    <w:abstractNumId w:val="38"/>
  </w:num>
  <w:num w:numId="12">
    <w:abstractNumId w:val="31"/>
  </w:num>
  <w:num w:numId="13">
    <w:abstractNumId w:val="27"/>
  </w:num>
  <w:num w:numId="14">
    <w:abstractNumId w:val="32"/>
  </w:num>
  <w:num w:numId="15">
    <w:abstractNumId w:val="18"/>
  </w:num>
  <w:num w:numId="16">
    <w:abstractNumId w:val="26"/>
  </w:num>
  <w:num w:numId="17">
    <w:abstractNumId w:val="12"/>
  </w:num>
  <w:num w:numId="18">
    <w:abstractNumId w:val="8"/>
  </w:num>
  <w:num w:numId="19">
    <w:abstractNumId w:val="7"/>
  </w:num>
  <w:num w:numId="20">
    <w:abstractNumId w:val="24"/>
  </w:num>
  <w:num w:numId="21">
    <w:abstractNumId w:val="0"/>
  </w:num>
  <w:num w:numId="22">
    <w:abstractNumId w:val="2"/>
  </w:num>
  <w:num w:numId="23">
    <w:abstractNumId w:val="19"/>
  </w:num>
  <w:num w:numId="24">
    <w:abstractNumId w:val="3"/>
  </w:num>
  <w:num w:numId="25">
    <w:abstractNumId w:val="10"/>
  </w:num>
  <w:num w:numId="26">
    <w:abstractNumId w:val="23"/>
  </w:num>
  <w:num w:numId="27">
    <w:abstractNumId w:val="36"/>
  </w:num>
  <w:num w:numId="28">
    <w:abstractNumId w:val="30"/>
  </w:num>
  <w:num w:numId="29">
    <w:abstractNumId w:val="20"/>
  </w:num>
  <w:num w:numId="30">
    <w:abstractNumId w:val="25"/>
  </w:num>
  <w:num w:numId="31">
    <w:abstractNumId w:val="11"/>
  </w:num>
  <w:num w:numId="32">
    <w:abstractNumId w:val="22"/>
  </w:num>
  <w:num w:numId="33">
    <w:abstractNumId w:val="15"/>
  </w:num>
  <w:num w:numId="34">
    <w:abstractNumId w:val="1"/>
  </w:num>
  <w:num w:numId="35">
    <w:abstractNumId w:val="13"/>
  </w:num>
  <w:num w:numId="36">
    <w:abstractNumId w:val="29"/>
  </w:num>
  <w:num w:numId="37">
    <w:abstractNumId w:val="37"/>
  </w:num>
  <w:num w:numId="38">
    <w:abstractNumId w:val="17"/>
  </w:num>
  <w:num w:numId="3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revisionView w:inkAnnotations="0"/>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84D"/>
    <w:rsid w:val="0001255D"/>
    <w:rsid w:val="00027E79"/>
    <w:rsid w:val="00035209"/>
    <w:rsid w:val="0004063C"/>
    <w:rsid w:val="0004247F"/>
    <w:rsid w:val="00052260"/>
    <w:rsid w:val="00054CC3"/>
    <w:rsid w:val="00062AFB"/>
    <w:rsid w:val="000655DD"/>
    <w:rsid w:val="00071F79"/>
    <w:rsid w:val="0007251B"/>
    <w:rsid w:val="000733A5"/>
    <w:rsid w:val="00082C5B"/>
    <w:rsid w:val="00083227"/>
    <w:rsid w:val="00086CBE"/>
    <w:rsid w:val="00090812"/>
    <w:rsid w:val="00090DA0"/>
    <w:rsid w:val="000921F0"/>
    <w:rsid w:val="00097560"/>
    <w:rsid w:val="000A012A"/>
    <w:rsid w:val="000B77EB"/>
    <w:rsid w:val="000D4E9A"/>
    <w:rsid w:val="000D54C0"/>
    <w:rsid w:val="000D655A"/>
    <w:rsid w:val="000D7D44"/>
    <w:rsid w:val="000F1E4A"/>
    <w:rsid w:val="00100D34"/>
    <w:rsid w:val="00103EFD"/>
    <w:rsid w:val="00107D87"/>
    <w:rsid w:val="001211D3"/>
    <w:rsid w:val="001253F4"/>
    <w:rsid w:val="001562D2"/>
    <w:rsid w:val="00157482"/>
    <w:rsid w:val="0016098F"/>
    <w:rsid w:val="001625A0"/>
    <w:rsid w:val="001707D8"/>
    <w:rsid w:val="001734EA"/>
    <w:rsid w:val="00193017"/>
    <w:rsid w:val="00196A24"/>
    <w:rsid w:val="001B0A76"/>
    <w:rsid w:val="001B3E89"/>
    <w:rsid w:val="001D79CE"/>
    <w:rsid w:val="001E2F38"/>
    <w:rsid w:val="001E6FA6"/>
    <w:rsid w:val="001F57F5"/>
    <w:rsid w:val="0020401C"/>
    <w:rsid w:val="0020629A"/>
    <w:rsid w:val="00206E11"/>
    <w:rsid w:val="00206FE3"/>
    <w:rsid w:val="00207554"/>
    <w:rsid w:val="00211261"/>
    <w:rsid w:val="0023066B"/>
    <w:rsid w:val="0024486C"/>
    <w:rsid w:val="002517BB"/>
    <w:rsid w:val="00256E24"/>
    <w:rsid w:val="00265491"/>
    <w:rsid w:val="0026692E"/>
    <w:rsid w:val="00276CE2"/>
    <w:rsid w:val="00281A99"/>
    <w:rsid w:val="00285F4F"/>
    <w:rsid w:val="00287AF1"/>
    <w:rsid w:val="00295E55"/>
    <w:rsid w:val="0029680F"/>
    <w:rsid w:val="002A41C6"/>
    <w:rsid w:val="002B1874"/>
    <w:rsid w:val="002B785B"/>
    <w:rsid w:val="002B7F1A"/>
    <w:rsid w:val="002C7692"/>
    <w:rsid w:val="002E55EB"/>
    <w:rsid w:val="002E6CCF"/>
    <w:rsid w:val="002F1821"/>
    <w:rsid w:val="002F33D0"/>
    <w:rsid w:val="002F5626"/>
    <w:rsid w:val="00300722"/>
    <w:rsid w:val="0030316D"/>
    <w:rsid w:val="00304FE9"/>
    <w:rsid w:val="00320DB1"/>
    <w:rsid w:val="00350A88"/>
    <w:rsid w:val="00360885"/>
    <w:rsid w:val="00360A70"/>
    <w:rsid w:val="00373D2F"/>
    <w:rsid w:val="0037541D"/>
    <w:rsid w:val="00390F85"/>
    <w:rsid w:val="003920C4"/>
    <w:rsid w:val="003A2477"/>
    <w:rsid w:val="003A7774"/>
    <w:rsid w:val="003C1833"/>
    <w:rsid w:val="003C7358"/>
    <w:rsid w:val="003D3A07"/>
    <w:rsid w:val="003E61F6"/>
    <w:rsid w:val="003F277D"/>
    <w:rsid w:val="003F7826"/>
    <w:rsid w:val="00407537"/>
    <w:rsid w:val="00407CEA"/>
    <w:rsid w:val="004165BD"/>
    <w:rsid w:val="004200E3"/>
    <w:rsid w:val="0042220D"/>
    <w:rsid w:val="0043377A"/>
    <w:rsid w:val="00437489"/>
    <w:rsid w:val="004379B6"/>
    <w:rsid w:val="0044428E"/>
    <w:rsid w:val="00446465"/>
    <w:rsid w:val="00455AD8"/>
    <w:rsid w:val="00460D54"/>
    <w:rsid w:val="00461D3E"/>
    <w:rsid w:val="004706CC"/>
    <w:rsid w:val="00473B14"/>
    <w:rsid w:val="0048041D"/>
    <w:rsid w:val="00480A20"/>
    <w:rsid w:val="00491234"/>
    <w:rsid w:val="004A32CD"/>
    <w:rsid w:val="004A7B4A"/>
    <w:rsid w:val="004B59FB"/>
    <w:rsid w:val="004B75AC"/>
    <w:rsid w:val="004C3644"/>
    <w:rsid w:val="004C4272"/>
    <w:rsid w:val="004D12DD"/>
    <w:rsid w:val="004E5778"/>
    <w:rsid w:val="004E7ED8"/>
    <w:rsid w:val="0050376D"/>
    <w:rsid w:val="00505C30"/>
    <w:rsid w:val="00512C25"/>
    <w:rsid w:val="005162A1"/>
    <w:rsid w:val="005302CB"/>
    <w:rsid w:val="00531BCA"/>
    <w:rsid w:val="00533FDB"/>
    <w:rsid w:val="005461B5"/>
    <w:rsid w:val="0055434C"/>
    <w:rsid w:val="0056277B"/>
    <w:rsid w:val="005630B8"/>
    <w:rsid w:val="00591283"/>
    <w:rsid w:val="005A45F6"/>
    <w:rsid w:val="005A61CE"/>
    <w:rsid w:val="005A79CA"/>
    <w:rsid w:val="005A7E5A"/>
    <w:rsid w:val="005B1285"/>
    <w:rsid w:val="005B1410"/>
    <w:rsid w:val="005B53F4"/>
    <w:rsid w:val="005C2B4D"/>
    <w:rsid w:val="005C3DE8"/>
    <w:rsid w:val="005D29EA"/>
    <w:rsid w:val="005D4A40"/>
    <w:rsid w:val="005E493B"/>
    <w:rsid w:val="005F2951"/>
    <w:rsid w:val="005F6075"/>
    <w:rsid w:val="00620DA4"/>
    <w:rsid w:val="00624DDC"/>
    <w:rsid w:val="006253B6"/>
    <w:rsid w:val="006257ED"/>
    <w:rsid w:val="0062686E"/>
    <w:rsid w:val="00630B30"/>
    <w:rsid w:val="00632B2A"/>
    <w:rsid w:val="006416D9"/>
    <w:rsid w:val="00651FF6"/>
    <w:rsid w:val="00660745"/>
    <w:rsid w:val="0068303E"/>
    <w:rsid w:val="0068383E"/>
    <w:rsid w:val="006931FE"/>
    <w:rsid w:val="006A4319"/>
    <w:rsid w:val="006A4D02"/>
    <w:rsid w:val="006B1BF9"/>
    <w:rsid w:val="006B31DA"/>
    <w:rsid w:val="006B39F2"/>
    <w:rsid w:val="006B53F1"/>
    <w:rsid w:val="006B6037"/>
    <w:rsid w:val="006B6E12"/>
    <w:rsid w:val="006C0E56"/>
    <w:rsid w:val="006C191F"/>
    <w:rsid w:val="006C4A2C"/>
    <w:rsid w:val="006C6877"/>
    <w:rsid w:val="006E4A42"/>
    <w:rsid w:val="006E4F82"/>
    <w:rsid w:val="007124AB"/>
    <w:rsid w:val="00716419"/>
    <w:rsid w:val="00717BDC"/>
    <w:rsid w:val="00723A28"/>
    <w:rsid w:val="00727F18"/>
    <w:rsid w:val="00736B62"/>
    <w:rsid w:val="00742411"/>
    <w:rsid w:val="00755E22"/>
    <w:rsid w:val="00764C85"/>
    <w:rsid w:val="007733D5"/>
    <w:rsid w:val="00793E3E"/>
    <w:rsid w:val="0079517C"/>
    <w:rsid w:val="007A29C5"/>
    <w:rsid w:val="007A52BC"/>
    <w:rsid w:val="007B51B4"/>
    <w:rsid w:val="007C708C"/>
    <w:rsid w:val="007C7B4B"/>
    <w:rsid w:val="007E6736"/>
    <w:rsid w:val="00811057"/>
    <w:rsid w:val="00815998"/>
    <w:rsid w:val="00823428"/>
    <w:rsid w:val="008369BA"/>
    <w:rsid w:val="00840D32"/>
    <w:rsid w:val="00843933"/>
    <w:rsid w:val="0084670F"/>
    <w:rsid w:val="008579CD"/>
    <w:rsid w:val="0086161A"/>
    <w:rsid w:val="008630C2"/>
    <w:rsid w:val="00864C1F"/>
    <w:rsid w:val="00870FA1"/>
    <w:rsid w:val="00875220"/>
    <w:rsid w:val="008759F7"/>
    <w:rsid w:val="008805D0"/>
    <w:rsid w:val="00886649"/>
    <w:rsid w:val="00891CD9"/>
    <w:rsid w:val="008A3173"/>
    <w:rsid w:val="008B0DC5"/>
    <w:rsid w:val="008B2ABC"/>
    <w:rsid w:val="008C2F26"/>
    <w:rsid w:val="008D2A94"/>
    <w:rsid w:val="008E0239"/>
    <w:rsid w:val="008E4718"/>
    <w:rsid w:val="008E51D4"/>
    <w:rsid w:val="008F2446"/>
    <w:rsid w:val="008F661C"/>
    <w:rsid w:val="00901040"/>
    <w:rsid w:val="00916A8B"/>
    <w:rsid w:val="00923F25"/>
    <w:rsid w:val="00934EA5"/>
    <w:rsid w:val="00963503"/>
    <w:rsid w:val="00965DBD"/>
    <w:rsid w:val="00970EFD"/>
    <w:rsid w:val="009718ED"/>
    <w:rsid w:val="00971944"/>
    <w:rsid w:val="0097668D"/>
    <w:rsid w:val="009815C6"/>
    <w:rsid w:val="009912A0"/>
    <w:rsid w:val="00991C3E"/>
    <w:rsid w:val="00995048"/>
    <w:rsid w:val="00996201"/>
    <w:rsid w:val="009A39E1"/>
    <w:rsid w:val="009A3AD8"/>
    <w:rsid w:val="009A6EE8"/>
    <w:rsid w:val="009B0F58"/>
    <w:rsid w:val="009C3380"/>
    <w:rsid w:val="009E0A7E"/>
    <w:rsid w:val="009E2935"/>
    <w:rsid w:val="009E74D6"/>
    <w:rsid w:val="009E7E38"/>
    <w:rsid w:val="009F265B"/>
    <w:rsid w:val="009F482C"/>
    <w:rsid w:val="009F68DB"/>
    <w:rsid w:val="009F7456"/>
    <w:rsid w:val="00A017B0"/>
    <w:rsid w:val="00A02B17"/>
    <w:rsid w:val="00A03E3F"/>
    <w:rsid w:val="00A1108E"/>
    <w:rsid w:val="00A1137A"/>
    <w:rsid w:val="00A14DF6"/>
    <w:rsid w:val="00A27CD0"/>
    <w:rsid w:val="00A362B6"/>
    <w:rsid w:val="00A42C71"/>
    <w:rsid w:val="00A45C57"/>
    <w:rsid w:val="00A50705"/>
    <w:rsid w:val="00A51779"/>
    <w:rsid w:val="00A67DFF"/>
    <w:rsid w:val="00A71475"/>
    <w:rsid w:val="00A714DC"/>
    <w:rsid w:val="00A7179C"/>
    <w:rsid w:val="00A761CB"/>
    <w:rsid w:val="00A76315"/>
    <w:rsid w:val="00A85701"/>
    <w:rsid w:val="00A9128B"/>
    <w:rsid w:val="00A97419"/>
    <w:rsid w:val="00AB03F9"/>
    <w:rsid w:val="00AB379D"/>
    <w:rsid w:val="00AD3261"/>
    <w:rsid w:val="00AD4355"/>
    <w:rsid w:val="00AE3F5F"/>
    <w:rsid w:val="00AF590E"/>
    <w:rsid w:val="00B10E30"/>
    <w:rsid w:val="00B13DC4"/>
    <w:rsid w:val="00B17B7C"/>
    <w:rsid w:val="00B23277"/>
    <w:rsid w:val="00B245AD"/>
    <w:rsid w:val="00B4182B"/>
    <w:rsid w:val="00B45826"/>
    <w:rsid w:val="00B55E54"/>
    <w:rsid w:val="00B56589"/>
    <w:rsid w:val="00B57B99"/>
    <w:rsid w:val="00B64D05"/>
    <w:rsid w:val="00B671A4"/>
    <w:rsid w:val="00B70460"/>
    <w:rsid w:val="00B72C64"/>
    <w:rsid w:val="00B805D7"/>
    <w:rsid w:val="00B85605"/>
    <w:rsid w:val="00B9441B"/>
    <w:rsid w:val="00B95ADD"/>
    <w:rsid w:val="00BA5034"/>
    <w:rsid w:val="00BB1C2B"/>
    <w:rsid w:val="00BB4BF8"/>
    <w:rsid w:val="00BD702B"/>
    <w:rsid w:val="00BD7B78"/>
    <w:rsid w:val="00BD7C4B"/>
    <w:rsid w:val="00BD7EB9"/>
    <w:rsid w:val="00BE45BC"/>
    <w:rsid w:val="00BE773B"/>
    <w:rsid w:val="00C05352"/>
    <w:rsid w:val="00C05679"/>
    <w:rsid w:val="00C32404"/>
    <w:rsid w:val="00C32C8A"/>
    <w:rsid w:val="00C343CE"/>
    <w:rsid w:val="00C46D52"/>
    <w:rsid w:val="00C710D3"/>
    <w:rsid w:val="00C73360"/>
    <w:rsid w:val="00C8129B"/>
    <w:rsid w:val="00C8176F"/>
    <w:rsid w:val="00C86CB2"/>
    <w:rsid w:val="00C91C71"/>
    <w:rsid w:val="00C95126"/>
    <w:rsid w:val="00CA1179"/>
    <w:rsid w:val="00CA3184"/>
    <w:rsid w:val="00CA70A6"/>
    <w:rsid w:val="00CA72A5"/>
    <w:rsid w:val="00CA7E09"/>
    <w:rsid w:val="00CB1802"/>
    <w:rsid w:val="00CC07BF"/>
    <w:rsid w:val="00CC1B01"/>
    <w:rsid w:val="00CC4651"/>
    <w:rsid w:val="00CC6120"/>
    <w:rsid w:val="00CC6436"/>
    <w:rsid w:val="00CE018E"/>
    <w:rsid w:val="00CE31CF"/>
    <w:rsid w:val="00CE54B5"/>
    <w:rsid w:val="00CE7A4A"/>
    <w:rsid w:val="00D04C57"/>
    <w:rsid w:val="00D1343F"/>
    <w:rsid w:val="00D13AA8"/>
    <w:rsid w:val="00D239B5"/>
    <w:rsid w:val="00D32B72"/>
    <w:rsid w:val="00D4033C"/>
    <w:rsid w:val="00D45504"/>
    <w:rsid w:val="00D5346A"/>
    <w:rsid w:val="00D55767"/>
    <w:rsid w:val="00D71BA0"/>
    <w:rsid w:val="00D73E6F"/>
    <w:rsid w:val="00D749DF"/>
    <w:rsid w:val="00D81DE6"/>
    <w:rsid w:val="00D82755"/>
    <w:rsid w:val="00D82C2F"/>
    <w:rsid w:val="00D82E67"/>
    <w:rsid w:val="00D831AC"/>
    <w:rsid w:val="00D87E56"/>
    <w:rsid w:val="00D95E35"/>
    <w:rsid w:val="00D97926"/>
    <w:rsid w:val="00DA3557"/>
    <w:rsid w:val="00DA4701"/>
    <w:rsid w:val="00DB0F22"/>
    <w:rsid w:val="00DB1A79"/>
    <w:rsid w:val="00DB5F45"/>
    <w:rsid w:val="00DC65F2"/>
    <w:rsid w:val="00DC7876"/>
    <w:rsid w:val="00DC7DD5"/>
    <w:rsid w:val="00DD4C0F"/>
    <w:rsid w:val="00DD5C3D"/>
    <w:rsid w:val="00DE3ED7"/>
    <w:rsid w:val="00DE6D67"/>
    <w:rsid w:val="00DF1291"/>
    <w:rsid w:val="00DF43A7"/>
    <w:rsid w:val="00E1392C"/>
    <w:rsid w:val="00E22AC6"/>
    <w:rsid w:val="00E24830"/>
    <w:rsid w:val="00E318A6"/>
    <w:rsid w:val="00E41A55"/>
    <w:rsid w:val="00E41C62"/>
    <w:rsid w:val="00E41EE9"/>
    <w:rsid w:val="00E461D4"/>
    <w:rsid w:val="00E62285"/>
    <w:rsid w:val="00E62819"/>
    <w:rsid w:val="00E71E25"/>
    <w:rsid w:val="00E74244"/>
    <w:rsid w:val="00E87A77"/>
    <w:rsid w:val="00E9045F"/>
    <w:rsid w:val="00E961C1"/>
    <w:rsid w:val="00EA0D4F"/>
    <w:rsid w:val="00EA405B"/>
    <w:rsid w:val="00EB4C26"/>
    <w:rsid w:val="00EB6134"/>
    <w:rsid w:val="00EC1A6C"/>
    <w:rsid w:val="00EC4A12"/>
    <w:rsid w:val="00EC63B2"/>
    <w:rsid w:val="00ED7509"/>
    <w:rsid w:val="00EE38AF"/>
    <w:rsid w:val="00EE391A"/>
    <w:rsid w:val="00EF254B"/>
    <w:rsid w:val="00EF4FF2"/>
    <w:rsid w:val="00F071DE"/>
    <w:rsid w:val="00F42246"/>
    <w:rsid w:val="00F724BE"/>
    <w:rsid w:val="00F74630"/>
    <w:rsid w:val="00F9122A"/>
    <w:rsid w:val="00F92994"/>
    <w:rsid w:val="00F9552F"/>
    <w:rsid w:val="00FA59FE"/>
    <w:rsid w:val="00FA604F"/>
    <w:rsid w:val="00FA6D2C"/>
    <w:rsid w:val="00FB198A"/>
    <w:rsid w:val="00FB5BF6"/>
    <w:rsid w:val="00FC3DB9"/>
    <w:rsid w:val="00FC779A"/>
    <w:rsid w:val="00FC7A3E"/>
    <w:rsid w:val="00FD36BD"/>
    <w:rsid w:val="00FF5C51"/>
    <w:rsid w:val="011F8E40"/>
    <w:rsid w:val="045CCD3F"/>
    <w:rsid w:val="06391D88"/>
    <w:rsid w:val="0E9E8CD1"/>
    <w:rsid w:val="14552DB7"/>
    <w:rsid w:val="14EAA59A"/>
    <w:rsid w:val="1517BC0E"/>
    <w:rsid w:val="19461943"/>
    <w:rsid w:val="1CCA2E1A"/>
    <w:rsid w:val="1E365758"/>
    <w:rsid w:val="20F41077"/>
    <w:rsid w:val="21D5F0BD"/>
    <w:rsid w:val="23C0C6C4"/>
    <w:rsid w:val="24A933D2"/>
    <w:rsid w:val="26C636A4"/>
    <w:rsid w:val="29A8F632"/>
    <w:rsid w:val="2F1C88B7"/>
    <w:rsid w:val="32AF2B7B"/>
    <w:rsid w:val="33759C15"/>
    <w:rsid w:val="3949D628"/>
    <w:rsid w:val="3D9C4FF2"/>
    <w:rsid w:val="3DA1232E"/>
    <w:rsid w:val="3F8A457B"/>
    <w:rsid w:val="3FD2683E"/>
    <w:rsid w:val="424DB2EF"/>
    <w:rsid w:val="43BFF841"/>
    <w:rsid w:val="43FC6226"/>
    <w:rsid w:val="463F8649"/>
    <w:rsid w:val="467A8EBD"/>
    <w:rsid w:val="46E9EA01"/>
    <w:rsid w:val="49414058"/>
    <w:rsid w:val="4C08DDD8"/>
    <w:rsid w:val="50C3BE16"/>
    <w:rsid w:val="521FD597"/>
    <w:rsid w:val="5282A187"/>
    <w:rsid w:val="6858755F"/>
    <w:rsid w:val="6A62F38B"/>
    <w:rsid w:val="6BA81E57"/>
    <w:rsid w:val="6D099AA3"/>
    <w:rsid w:val="703342E8"/>
    <w:rsid w:val="72399FBB"/>
    <w:rsid w:val="72B5DF30"/>
    <w:rsid w:val="7D5D07E1"/>
    <w:rsid w:val="7F329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505C30"/>
    <w:rPr>
      <w:color w:val="605E5C"/>
      <w:shd w:val="clear" w:color="auto" w:fill="E1DFDD"/>
    </w:rPr>
  </w:style>
  <w:style w:type="character" w:styleId="Mention">
    <w:name w:val="Mention"/>
    <w:basedOn w:val="DefaultParagraphFont"/>
    <w:uiPriority w:val="99"/>
    <w:unhideWhenUsed/>
    <w:rsid w:val="00505C30"/>
    <w:rPr>
      <w:color w:val="2B579A"/>
      <w:shd w:val="clear" w:color="auto" w:fill="E1DFDD"/>
    </w:rPr>
  </w:style>
  <w:style w:type="paragraph" w:styleId="PlainText">
    <w:name w:val="Plain Text"/>
    <w:basedOn w:val="Normal"/>
    <w:link w:val="PlainTextChar"/>
    <w:uiPriority w:val="99"/>
    <w:unhideWhenUsed/>
    <w:rsid w:val="008A317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A317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310">
      <w:bodyDiv w:val="1"/>
      <w:marLeft w:val="0"/>
      <w:marRight w:val="0"/>
      <w:marTop w:val="0"/>
      <w:marBottom w:val="0"/>
      <w:divBdr>
        <w:top w:val="none" w:sz="0" w:space="0" w:color="auto"/>
        <w:left w:val="none" w:sz="0" w:space="0" w:color="auto"/>
        <w:bottom w:val="none" w:sz="0" w:space="0" w:color="auto"/>
        <w:right w:val="none" w:sz="0" w:space="0" w:color="auto"/>
      </w:divBdr>
    </w:div>
    <w:div w:id="23856396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77048084">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8272953">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40841974">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062442978">
      <w:bodyDiv w:val="1"/>
      <w:marLeft w:val="0"/>
      <w:marRight w:val="0"/>
      <w:marTop w:val="0"/>
      <w:marBottom w:val="0"/>
      <w:divBdr>
        <w:top w:val="none" w:sz="0" w:space="0" w:color="auto"/>
        <w:left w:val="none" w:sz="0" w:space="0" w:color="auto"/>
        <w:bottom w:val="none" w:sz="0" w:space="0" w:color="auto"/>
        <w:right w:val="none" w:sz="0" w:space="0" w:color="auto"/>
      </w:divBdr>
    </w:div>
    <w:div w:id="207211733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437C01EC-6D36-4236-8B41-B381269B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3E1C3-D9D4-4DBD-B29F-5F62895BE581}">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4136e920-e157-482c-a29e-b86e95cc38e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Strelevitz</dc:creator>
  <cp:lastModifiedBy>Mathematica</cp:lastModifiedBy>
  <cp:revision>2</cp:revision>
  <dcterms:created xsi:type="dcterms:W3CDTF">2022-04-20T05:31:00Z</dcterms:created>
  <dcterms:modified xsi:type="dcterms:W3CDTF">2022-04-20T05:31:00Z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ies>
</file>