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F5" w:rsidP="0035191E" w:rsidRDefault="00354BFE" w14:paraId="0A4D5958" w14:textId="77777777">
      <w:pPr>
        <w:pStyle w:val="BodyText"/>
      </w:pPr>
      <w:r w:rsidRPr="00AD033B">
        <w:t>Supp</w:t>
      </w:r>
      <w:r w:rsidRPr="00AD033B" w:rsidR="00DE1FEE">
        <w:t>orting</w:t>
      </w:r>
      <w:r w:rsidRPr="00AD033B">
        <w:t xml:space="preserve"> Statement</w:t>
      </w:r>
    </w:p>
    <w:p w:rsidRPr="00AD033B" w:rsidR="00AD033B" w:rsidP="0035191E" w:rsidRDefault="00F309F5" w14:paraId="54694555" w14:textId="77777777">
      <w:pPr>
        <w:jc w:val="center"/>
      </w:pPr>
      <w:r w:rsidRPr="00AD033B">
        <w:rPr>
          <w:rFonts w:ascii="Times New Roman" w:hAnsi="Times New Roman"/>
          <w:sz w:val="24"/>
          <w:u w:val="single"/>
        </w:rPr>
        <w:t>OMB Control Number 1506-0043</w:t>
      </w:r>
    </w:p>
    <w:p w:rsidRPr="00AD033B" w:rsidR="00374CD1" w:rsidP="0035191E" w:rsidRDefault="00B95353" w14:paraId="6595A8D7" w14:textId="77777777">
      <w:pPr>
        <w:pStyle w:val="BodyText"/>
      </w:pPr>
      <w:r w:rsidRPr="00B95353">
        <w:t>Prohibition on Correspondent Accounts for Foreign Shell Banks; Records Concerning Owners of Foreign Banks and Agents for Service of Legal Process</w:t>
      </w:r>
    </w:p>
    <w:p w:rsidR="00374CD1" w:rsidP="009467D9" w:rsidRDefault="00374CD1" w14:paraId="397B2D94" w14:textId="77777777">
      <w:pPr>
        <w:tabs>
          <w:tab w:val="center" w:pos="4680"/>
        </w:tabs>
        <w:rPr>
          <w:rFonts w:ascii="Times New Roman" w:hAnsi="Times New Roman"/>
          <w:sz w:val="24"/>
        </w:rPr>
      </w:pPr>
      <w:r>
        <w:rPr>
          <w:rFonts w:ascii="Times New Roman" w:hAnsi="Times New Roman"/>
          <w:sz w:val="24"/>
        </w:rPr>
        <w:tab/>
      </w:r>
    </w:p>
    <w:p w:rsidR="00565F27" w:rsidP="009467D9" w:rsidRDefault="00374CD1" w14:paraId="459048B4" w14:textId="77777777">
      <w:pPr>
        <w:rPr>
          <w:rFonts w:ascii="Times New Roman" w:hAnsi="Times New Roman"/>
          <w:sz w:val="24"/>
        </w:rPr>
      </w:pPr>
      <w:r>
        <w:rPr>
          <w:rFonts w:ascii="Times New Roman" w:hAnsi="Times New Roman"/>
          <w:sz w:val="24"/>
        </w:rPr>
        <w:t xml:space="preserve">1.  </w:t>
      </w:r>
      <w:r w:rsidR="00E368FA">
        <w:rPr>
          <w:rFonts w:ascii="Times New Roman" w:hAnsi="Times New Roman"/>
          <w:sz w:val="24"/>
          <w:u w:val="single"/>
        </w:rPr>
        <w:t>Circumstances necessitating collection of information</w:t>
      </w:r>
      <w:r w:rsidR="008C19A7">
        <w:rPr>
          <w:rFonts w:ascii="Times New Roman" w:hAnsi="Times New Roman"/>
          <w:sz w:val="24"/>
          <w:u w:val="single"/>
        </w:rPr>
        <w:t>.</w:t>
      </w:r>
      <w:r w:rsidR="00E368FA">
        <w:rPr>
          <w:rFonts w:ascii="Times New Roman" w:hAnsi="Times New Roman"/>
          <w:sz w:val="24"/>
        </w:rPr>
        <w:t xml:space="preserve">  </w:t>
      </w:r>
    </w:p>
    <w:p w:rsidR="0035191E" w:rsidP="009467D9" w:rsidRDefault="0035191E" w14:paraId="4B41F53C" w14:textId="77777777">
      <w:pPr>
        <w:rPr>
          <w:rFonts w:ascii="Times New Roman" w:hAnsi="Times New Roman"/>
          <w:sz w:val="24"/>
        </w:rPr>
      </w:pPr>
    </w:p>
    <w:p w:rsidRPr="0035191E" w:rsidR="0035191E" w:rsidP="0035191E" w:rsidRDefault="0035191E" w14:paraId="3C69E274" w14:textId="77777777">
      <w:pPr>
        <w:autoSpaceDE/>
        <w:autoSpaceDN/>
        <w:adjustRightInd/>
        <w:spacing w:before="2"/>
        <w:ind w:firstLine="720"/>
        <w:rPr>
          <w:rFonts w:ascii="Times New Roman" w:hAnsi="Times New Roman"/>
          <w:sz w:val="24"/>
        </w:rPr>
      </w:pPr>
      <w:r w:rsidRPr="0035191E">
        <w:rPr>
          <w:rFonts w:ascii="Times New Roman" w:hAnsi="Times New Roman"/>
          <w:sz w:val="24"/>
        </w:rPr>
        <w:t>The legislative framework generally referred to as the Bank Secrecy Act (BSA) consists of the Currency and F</w:t>
      </w:r>
      <w:r w:rsidR="00DD6AB4">
        <w:rPr>
          <w:rFonts w:ascii="Times New Roman" w:hAnsi="Times New Roman"/>
          <w:sz w:val="24"/>
        </w:rPr>
        <w:t>oreign</w:t>
      </w:r>
      <w:r w:rsidRPr="0035191E">
        <w:rPr>
          <w:rFonts w:ascii="Times New Roman" w:hAnsi="Times New Roman"/>
          <w:sz w:val="24"/>
        </w:rPr>
        <w:t xml:space="preserve"> Transactions Reporting Act of 1970, as amended by the Uniting and Strengthening America by Providing Appropriate Tools Required to Intercept and Obstruct Terrorism Act of 2001 (USA PATRIOT Act), Public Law 107–56 (October 26, 2001), and other legislation, including most recently the Anti-Money Laundering Act of 2020 (AML Act).</w:t>
      </w:r>
      <w:r w:rsidRPr="0035191E">
        <w:rPr>
          <w:rFonts w:ascii="Times New Roman" w:hAnsi="Times New Roman" w:eastAsia="Calibri"/>
          <w:sz w:val="24"/>
          <w:vertAlign w:val="superscript"/>
        </w:rPr>
        <w:footnoteReference w:id="2"/>
      </w:r>
      <w:r w:rsidRPr="0035191E">
        <w:rPr>
          <w:rFonts w:ascii="Times New Roman" w:hAnsi="Times New Roman" w:eastAsia="Calibri"/>
          <w:sz w:val="24"/>
        </w:rPr>
        <w:t xml:space="preserve">  </w:t>
      </w:r>
      <w:r w:rsidRPr="0035191E">
        <w:rPr>
          <w:rFonts w:ascii="Times New Roman" w:hAnsi="Times New Roman"/>
          <w:sz w:val="24"/>
        </w:rPr>
        <w:t xml:space="preserve">The BSA is codified at 12 U.S.C. 1829b, 12 U.S.C. 1951–1960, 31 U.S.C. 5311–5314 and 5316–5336, and includes notes thereto, with implementing regulations at 31 CFR Chapter X.  </w:t>
      </w:r>
    </w:p>
    <w:p w:rsidRPr="0035191E" w:rsidR="0035191E" w:rsidP="0035191E" w:rsidRDefault="0035191E" w14:paraId="452145F2" w14:textId="77777777">
      <w:pPr>
        <w:autoSpaceDE/>
        <w:autoSpaceDN/>
        <w:adjustRightInd/>
        <w:spacing w:before="2"/>
        <w:ind w:firstLine="720"/>
        <w:rPr>
          <w:rFonts w:ascii="Times New Roman" w:hAnsi="Times New Roman"/>
          <w:sz w:val="24"/>
        </w:rPr>
      </w:pPr>
    </w:p>
    <w:p w:rsidR="00B95353" w:rsidP="00191E80" w:rsidRDefault="0035191E" w14:paraId="28852B88" w14:textId="77777777">
      <w:pPr>
        <w:ind w:firstLine="720"/>
        <w:rPr>
          <w:rFonts w:ascii="Times New Roman" w:hAnsi="Times New Roman" w:eastAsia="MS Mincho"/>
          <w:sz w:val="24"/>
        </w:rPr>
      </w:pPr>
      <w:r w:rsidRPr="0035191E">
        <w:rPr>
          <w:rFonts w:ascii="Times New Roman" w:hAnsi="Times New Roman"/>
          <w:sz w:val="24"/>
        </w:rPr>
        <w:t xml:space="preserve">The BSA authorizes the Secretary of the Treasury (the “Secretary”), </w:t>
      </w:r>
      <w:r w:rsidRPr="0013195E">
        <w:rPr>
          <w:rFonts w:ascii="Times New Roman" w:hAnsi="Times New Roman"/>
          <w:i/>
          <w:sz w:val="24"/>
        </w:rPr>
        <w:t>inter alia</w:t>
      </w:r>
      <w:r w:rsidRPr="0035191E">
        <w:rPr>
          <w:rFonts w:ascii="Times New Roman" w:hAnsi="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35191E">
        <w:rPr>
          <w:rFonts w:ascii="Times New Roman" w:hAnsi="Times New Roman"/>
          <w:sz w:val="24"/>
          <w:vertAlign w:val="superscript"/>
        </w:rPr>
        <w:footnoteReference w:id="3"/>
      </w:r>
      <w:r w:rsidRPr="0035191E">
        <w:rPr>
          <w:rFonts w:ascii="Times New Roman" w:hAnsi="Times New Roman"/>
          <w:sz w:val="24"/>
        </w:rPr>
        <w:t xml:space="preserve">  The authority of the Secretary to administer the BSA has been delegated to the Director of FinCEN.</w:t>
      </w:r>
      <w:r w:rsidRPr="0035191E">
        <w:rPr>
          <w:rFonts w:ascii="Times New Roman" w:hAnsi="Times New Roman"/>
          <w:sz w:val="24"/>
          <w:vertAlign w:val="superscript"/>
        </w:rPr>
        <w:footnoteReference w:id="4"/>
      </w:r>
      <w:r w:rsidRPr="0035191E">
        <w:rPr>
          <w:rFonts w:ascii="Times New Roman" w:hAnsi="Times New Roman"/>
          <w:sz w:val="24"/>
        </w:rPr>
        <w:t xml:space="preserve"> </w:t>
      </w:r>
    </w:p>
    <w:p w:rsidRPr="00B95353" w:rsidR="00191E80" w:rsidP="00191E80" w:rsidRDefault="00191E80" w14:paraId="17E3D959" w14:textId="77777777">
      <w:pPr>
        <w:rPr>
          <w:rFonts w:ascii="Times New Roman" w:hAnsi="Times New Roman" w:eastAsia="MS Mincho"/>
          <w:sz w:val="24"/>
        </w:rPr>
      </w:pPr>
    </w:p>
    <w:p w:rsidRPr="00184088" w:rsidR="007D76CA" w:rsidP="006B186B" w:rsidRDefault="00191E80" w14:paraId="348F74A7" w14:textId="58F7B37E">
      <w:pPr>
        <w:ind w:firstLine="720"/>
        <w:rPr>
          <w:rFonts w:ascii="Times New Roman" w:hAnsi="Times New Roman"/>
          <w:sz w:val="24"/>
        </w:rPr>
      </w:pPr>
      <w:r w:rsidRPr="00191E80">
        <w:rPr>
          <w:rFonts w:ascii="Times New Roman" w:hAnsi="Times New Roman"/>
          <w:sz w:val="24"/>
        </w:rPr>
        <w:t>31 U.S.C. 5318(j) prohibits covered financial institutions</w:t>
      </w:r>
      <w:r w:rsidRPr="00191E80">
        <w:rPr>
          <w:rStyle w:val="FootnoteReference"/>
          <w:rFonts w:ascii="Times New Roman" w:hAnsi="Times New Roman"/>
          <w:sz w:val="24"/>
          <w:vertAlign w:val="superscript"/>
        </w:rPr>
        <w:footnoteReference w:id="5"/>
      </w:r>
      <w:r w:rsidRPr="00191E80">
        <w:rPr>
          <w:rFonts w:ascii="Times New Roman" w:hAnsi="Times New Roman"/>
          <w:sz w:val="24"/>
          <w:vertAlign w:val="superscript"/>
        </w:rPr>
        <w:t xml:space="preserve"> </w:t>
      </w:r>
      <w:r w:rsidRPr="00191E80">
        <w:rPr>
          <w:rFonts w:ascii="Times New Roman" w:hAnsi="Times New Roman"/>
          <w:sz w:val="24"/>
        </w:rPr>
        <w:t xml:space="preserve">from maintaining correspondent accounts in the United States for, or on behalf of, foreign banks that do not have a physical presence in any country.  In addition, under 31 U.S.C. 5318(k), a covered financial institution maintaining a correspondent account in the United States for a foreign bank must retain records identifying (i) the owners of record and the beneficial owners of the foreign bank, and (ii) the name and address of a person residing in the United States who is authorized to accept service of legal process for the foreign bank.  The regulations implementing 31 U.S.C. 5318(j) and 31 U.S.C. 5318(k) appear at 31 CFR 1010.630.  </w:t>
      </w:r>
    </w:p>
    <w:p w:rsidRPr="00ED67D7" w:rsidR="00184088" w:rsidP="00ED67D7" w:rsidRDefault="009C0964" w14:paraId="7E7AF465" w14:textId="77777777">
      <w:pPr>
        <w:shd w:val="clear" w:color="auto" w:fill="FFFFFF"/>
        <w:ind w:firstLine="720"/>
        <w:rPr>
          <w:rFonts w:ascii="Times New Roman" w:hAnsi="Times New Roman"/>
          <w:color w:val="000000" w:themeColor="text1"/>
          <w:sz w:val="24"/>
        </w:rPr>
      </w:pPr>
      <w:hyperlink w:history="1" w:anchor="p-1010.630(a)" r:id="rId8">
        <w:r w:rsidRPr="00ED67D7" w:rsidR="00184088">
          <w:rPr>
            <w:rStyle w:val="Hyperlink"/>
            <w:rFonts w:ascii="Times New Roman" w:hAnsi="Times New Roman" w:eastAsia="MS Mincho"/>
            <w:bCs/>
            <w:color w:val="000000" w:themeColor="text1"/>
            <w:sz w:val="24"/>
            <w:u w:val="none"/>
          </w:rPr>
          <w:t>31 CFR 1010.630(a)(1)</w:t>
        </w:r>
      </w:hyperlink>
      <w:r w:rsidRPr="00ED67D7" w:rsidR="00184088">
        <w:rPr>
          <w:rFonts w:ascii="Times New Roman" w:hAnsi="Times New Roman" w:eastAsia="MS Mincho"/>
          <w:bCs/>
          <w:color w:val="000000" w:themeColor="text1"/>
          <w:sz w:val="24"/>
        </w:rPr>
        <w:t xml:space="preserve"> prohibits covered financial institutions</w:t>
      </w:r>
      <w:r w:rsidRPr="00ED67D7" w:rsidR="00184088">
        <w:rPr>
          <w:rStyle w:val="FootnoteReference"/>
          <w:rFonts w:ascii="Times New Roman" w:hAnsi="Times New Roman" w:eastAsia="MS Mincho"/>
          <w:bCs/>
          <w:color w:val="000000" w:themeColor="text1"/>
          <w:sz w:val="24"/>
          <w:vertAlign w:val="superscript"/>
        </w:rPr>
        <w:footnoteReference w:id="6"/>
      </w:r>
      <w:r w:rsidRPr="00ED67D7" w:rsidR="00184088">
        <w:rPr>
          <w:rFonts w:ascii="Times New Roman" w:hAnsi="Times New Roman" w:eastAsia="MS Mincho"/>
          <w:bCs/>
          <w:color w:val="000000" w:themeColor="text1"/>
          <w:sz w:val="24"/>
          <w:vertAlign w:val="superscript"/>
        </w:rPr>
        <w:t xml:space="preserve"> </w:t>
      </w:r>
      <w:r w:rsidRPr="00ED67D7" w:rsidR="00184088">
        <w:rPr>
          <w:rFonts w:ascii="Times New Roman" w:hAnsi="Times New Roman" w:eastAsia="MS Mincho"/>
          <w:bCs/>
          <w:color w:val="000000" w:themeColor="text1"/>
          <w:sz w:val="24"/>
        </w:rPr>
        <w:t xml:space="preserve">from </w:t>
      </w:r>
      <w:r w:rsidRPr="00ED67D7" w:rsidR="00184088">
        <w:rPr>
          <w:rFonts w:ascii="Times New Roman" w:hAnsi="Times New Roman"/>
          <w:color w:val="000000" w:themeColor="text1"/>
          <w:sz w:val="24"/>
        </w:rPr>
        <w:t>maintaining correspondent accounts</w:t>
      </w:r>
      <w:r w:rsidRPr="00ED67D7" w:rsidR="00184088">
        <w:rPr>
          <w:rStyle w:val="FootnoteReference"/>
          <w:rFonts w:ascii="Times New Roman" w:hAnsi="Times New Roman"/>
          <w:color w:val="000000" w:themeColor="text1"/>
          <w:sz w:val="24"/>
          <w:vertAlign w:val="superscript"/>
        </w:rPr>
        <w:footnoteReference w:id="7"/>
      </w:r>
      <w:r w:rsidRPr="00ED67D7" w:rsidR="00184088">
        <w:rPr>
          <w:rFonts w:ascii="Times New Roman" w:hAnsi="Times New Roman"/>
          <w:color w:val="000000" w:themeColor="text1"/>
          <w:sz w:val="24"/>
        </w:rPr>
        <w:t xml:space="preserve"> in the United States for, or on behalf of, foreign shell banks.</w:t>
      </w:r>
      <w:r w:rsidRPr="00ED67D7" w:rsidR="00184088">
        <w:rPr>
          <w:rStyle w:val="FootnoteReference"/>
          <w:rFonts w:ascii="Times New Roman" w:hAnsi="Times New Roman"/>
          <w:color w:val="000000" w:themeColor="text1"/>
          <w:sz w:val="24"/>
          <w:vertAlign w:val="superscript"/>
        </w:rPr>
        <w:footnoteReference w:id="8"/>
      </w:r>
      <w:r w:rsidRPr="00ED67D7" w:rsidR="00184088">
        <w:rPr>
          <w:rFonts w:ascii="Times New Roman" w:hAnsi="Times New Roman"/>
          <w:color w:val="000000" w:themeColor="text1"/>
          <w:sz w:val="24"/>
        </w:rPr>
        <w:t xml:space="preserve">  Covered financial institutions must take reasonable steps to ensure that any correspondent account managed by a covered financial institution in the United States is not being used by a foreign bank</w:t>
      </w:r>
      <w:r w:rsidRPr="00ED67D7" w:rsidR="00184088">
        <w:rPr>
          <w:rStyle w:val="FootnoteReference"/>
          <w:rFonts w:ascii="Times New Roman" w:hAnsi="Times New Roman"/>
          <w:color w:val="000000" w:themeColor="text1"/>
          <w:sz w:val="24"/>
          <w:vertAlign w:val="superscript"/>
        </w:rPr>
        <w:footnoteReference w:id="9"/>
      </w:r>
      <w:r w:rsidRPr="00ED67D7" w:rsidR="00184088">
        <w:rPr>
          <w:rFonts w:ascii="Times New Roman" w:hAnsi="Times New Roman"/>
          <w:color w:val="000000" w:themeColor="text1"/>
          <w:sz w:val="24"/>
          <w:vertAlign w:val="superscript"/>
        </w:rPr>
        <w:t xml:space="preserve"> </w:t>
      </w:r>
      <w:r w:rsidRPr="00ED67D7" w:rsidR="00184088">
        <w:rPr>
          <w:rFonts w:ascii="Times New Roman" w:hAnsi="Times New Roman"/>
          <w:color w:val="000000" w:themeColor="text1"/>
          <w:sz w:val="24"/>
        </w:rPr>
        <w:t>to indirectly provide banking services to a foreign shell bank.</w:t>
      </w:r>
      <w:r w:rsidRPr="00ED67D7" w:rsidR="00184088">
        <w:rPr>
          <w:rStyle w:val="FootnoteReference"/>
          <w:rFonts w:ascii="Times New Roman" w:hAnsi="Times New Roman"/>
          <w:color w:val="000000" w:themeColor="text1"/>
          <w:sz w:val="24"/>
          <w:vertAlign w:val="superscript"/>
        </w:rPr>
        <w:footnoteReference w:id="10"/>
      </w:r>
    </w:p>
    <w:p w:rsidRPr="00ED67D7" w:rsidR="00184088" w:rsidP="00ED67D7" w:rsidRDefault="00184088" w14:paraId="4DFEBCB4" w14:textId="77777777">
      <w:pPr>
        <w:shd w:val="clear" w:color="auto" w:fill="FFFFFF"/>
        <w:ind w:firstLine="720"/>
        <w:rPr>
          <w:rFonts w:ascii="Times New Roman" w:hAnsi="Times New Roman"/>
          <w:color w:val="000000" w:themeColor="text1"/>
          <w:sz w:val="24"/>
        </w:rPr>
      </w:pPr>
    </w:p>
    <w:p w:rsidRPr="00ED67D7" w:rsidR="00184088" w:rsidP="00ED67D7" w:rsidRDefault="009C0964" w14:paraId="409A2287" w14:textId="77777777">
      <w:pPr>
        <w:shd w:val="clear" w:color="auto" w:fill="FFFFFF"/>
        <w:ind w:firstLine="720"/>
        <w:rPr>
          <w:rFonts w:ascii="Times New Roman" w:hAnsi="Times New Roman"/>
          <w:color w:val="000000" w:themeColor="text1"/>
          <w:sz w:val="24"/>
        </w:rPr>
      </w:pPr>
      <w:hyperlink w:history="1" w:anchor="p-1010.630(a)(2)" r:id="rId9">
        <w:r w:rsidRPr="00ED67D7" w:rsidR="00184088">
          <w:rPr>
            <w:rStyle w:val="Hyperlink"/>
            <w:rFonts w:ascii="Times New Roman" w:hAnsi="Times New Roman" w:eastAsia="MS Mincho"/>
            <w:bCs/>
            <w:color w:val="000000" w:themeColor="text1"/>
            <w:sz w:val="24"/>
            <w:u w:val="none"/>
          </w:rPr>
          <w:t>31 CFR 1010.630(a)(2)</w:t>
        </w:r>
      </w:hyperlink>
      <w:r w:rsidRPr="00ED67D7" w:rsidR="00184088">
        <w:rPr>
          <w:rFonts w:ascii="Times New Roman" w:hAnsi="Times New Roman" w:eastAsia="MS Mincho"/>
          <w:bCs/>
          <w:color w:val="000000" w:themeColor="text1"/>
          <w:sz w:val="24"/>
        </w:rPr>
        <w:t xml:space="preserve"> requires covered financial institutions </w:t>
      </w:r>
      <w:r w:rsidRPr="00ED67D7" w:rsidR="00184088">
        <w:rPr>
          <w:rFonts w:ascii="Times New Roman" w:hAnsi="Times New Roman"/>
          <w:color w:val="000000" w:themeColor="text1"/>
          <w:sz w:val="24"/>
        </w:rPr>
        <w:t>that maintain correspondent accounts in the United States for foreign banks to retain records in the United States identifying: (i) the owners of each such foreign bank whose shares are not publicly traded,</w:t>
      </w:r>
      <w:r w:rsidRPr="00ED67D7" w:rsidR="00184088">
        <w:rPr>
          <w:rStyle w:val="FootnoteReference"/>
          <w:rFonts w:ascii="Times New Roman" w:hAnsi="Times New Roman"/>
          <w:color w:val="000000" w:themeColor="text1"/>
          <w:sz w:val="24"/>
          <w:vertAlign w:val="superscript"/>
        </w:rPr>
        <w:footnoteReference w:id="11"/>
      </w:r>
      <w:r w:rsidRPr="00ED67D7" w:rsidR="00184088">
        <w:rPr>
          <w:rFonts w:ascii="Times New Roman" w:hAnsi="Times New Roman"/>
          <w:color w:val="000000" w:themeColor="text1"/>
          <w:sz w:val="24"/>
        </w:rPr>
        <w:t xml:space="preserve"> </w:t>
      </w:r>
      <w:r w:rsidRPr="00247F7E" w:rsidR="00247F7E">
        <w:rPr>
          <w:rFonts w:ascii="Times New Roman" w:hAnsi="Times New Roman"/>
          <w:sz w:val="24"/>
        </w:rPr>
        <w:t>with one exception;</w:t>
      </w:r>
      <w:r w:rsidRPr="00247F7E" w:rsidR="00247F7E">
        <w:rPr>
          <w:rStyle w:val="FootnoteReference"/>
          <w:rFonts w:ascii="Times New Roman" w:hAnsi="Times New Roman"/>
          <w:sz w:val="24"/>
          <w:vertAlign w:val="superscript"/>
        </w:rPr>
        <w:footnoteReference w:id="12"/>
      </w:r>
      <w:r w:rsidR="00247F7E">
        <w:t xml:space="preserve"> </w:t>
      </w:r>
      <w:r w:rsidRPr="00ED67D7" w:rsidR="00184088">
        <w:rPr>
          <w:rFonts w:ascii="Times New Roman" w:hAnsi="Times New Roman"/>
          <w:color w:val="000000" w:themeColor="text1"/>
          <w:sz w:val="24"/>
        </w:rPr>
        <w:t>and (ii) the name and street address of a person who resides in the United States and is authorized, and has agreed, to be an agent to accept service of legal process for records regarding each such account.</w:t>
      </w:r>
    </w:p>
    <w:p w:rsidRPr="00ED67D7" w:rsidR="00FD1993" w:rsidP="00ED67D7" w:rsidRDefault="00FD1993" w14:paraId="742B666A" w14:textId="77777777">
      <w:pPr>
        <w:shd w:val="clear" w:color="auto" w:fill="FFFFFF"/>
        <w:ind w:firstLine="720"/>
        <w:rPr>
          <w:rFonts w:ascii="Times New Roman" w:hAnsi="Times New Roman"/>
          <w:color w:val="000000" w:themeColor="text1"/>
          <w:sz w:val="24"/>
        </w:rPr>
      </w:pPr>
    </w:p>
    <w:p w:rsidR="00FD1993" w:rsidP="00247F7E" w:rsidRDefault="009C0964" w14:paraId="4004D463" w14:textId="77777777">
      <w:pPr>
        <w:shd w:val="clear" w:color="auto" w:fill="FFFFFF"/>
        <w:ind w:firstLine="720"/>
        <w:rPr>
          <w:rFonts w:ascii="Times New Roman" w:hAnsi="Times New Roman" w:eastAsia="MS Mincho"/>
          <w:bCs/>
          <w:sz w:val="24"/>
        </w:rPr>
      </w:pPr>
      <w:hyperlink w:history="1" w:anchor="p-1010.630(b)" r:id="rId10">
        <w:r w:rsidRPr="00ED67D7" w:rsidR="00184088">
          <w:rPr>
            <w:rStyle w:val="Hyperlink"/>
            <w:rFonts w:ascii="Times New Roman" w:hAnsi="Times New Roman" w:eastAsia="MS Mincho"/>
            <w:bCs/>
            <w:color w:val="000000" w:themeColor="text1"/>
            <w:sz w:val="24"/>
            <w:u w:val="none"/>
          </w:rPr>
          <w:t>31 CFR 1010.630(b) clarifies that</w:t>
        </w:r>
        <w:r w:rsidRPr="00ED67D7" w:rsidR="00184088">
          <w:rPr>
            <w:rStyle w:val="Hyperlink"/>
            <w:rFonts w:ascii="Times New Roman" w:hAnsi="Times New Roman"/>
            <w:color w:val="000000" w:themeColor="text1"/>
            <w:sz w:val="24"/>
            <w:u w:val="none"/>
          </w:rPr>
          <w:t xml:space="preserve"> </w:t>
        </w:r>
      </w:hyperlink>
      <w:r w:rsidRPr="00ED67D7" w:rsidR="00184088">
        <w:rPr>
          <w:rStyle w:val="Emphasis"/>
          <w:rFonts w:ascii="Times New Roman" w:hAnsi="Times New Roman" w:eastAsia="MS Mincho"/>
          <w:bCs/>
          <w:i w:val="0"/>
          <w:color w:val="000000" w:themeColor="text1"/>
          <w:sz w:val="24"/>
        </w:rPr>
        <w:t>a covered financial institution will be deemed to be in compliance with the requirements of 31 CFR 1010.630(a) with respect to a foreign bank if the covered financial institution obtains,</w:t>
      </w:r>
      <w:r w:rsidRPr="00ED67D7" w:rsidR="00184088">
        <w:rPr>
          <w:rFonts w:ascii="Times New Roman" w:hAnsi="Times New Roman"/>
          <w:color w:val="000000" w:themeColor="text1"/>
          <w:sz w:val="24"/>
        </w:rPr>
        <w:t xml:space="preserve"> at least once e</w:t>
      </w:r>
      <w:r w:rsidRPr="00ED67D7" w:rsidR="00184088">
        <w:rPr>
          <w:rFonts w:ascii="Times New Roman" w:hAnsi="Times New Roman"/>
          <w:sz w:val="24"/>
        </w:rPr>
        <w:t>very three years, a certification or recertification from the foreign bank.</w:t>
      </w:r>
      <w:r w:rsidRPr="00ED67D7" w:rsidR="00184088">
        <w:rPr>
          <w:rFonts w:ascii="Times New Roman" w:hAnsi="Times New Roman" w:eastAsia="MS Mincho"/>
          <w:bCs/>
          <w:sz w:val="24"/>
        </w:rPr>
        <w:t xml:space="preserve">  FinCEN has developed an optional certification form</w:t>
      </w:r>
      <w:r w:rsidRPr="00ED67D7" w:rsidR="00184088">
        <w:rPr>
          <w:rStyle w:val="FootnoteReference"/>
          <w:rFonts w:ascii="Times New Roman" w:hAnsi="Times New Roman" w:eastAsia="MS Mincho"/>
          <w:bCs/>
          <w:sz w:val="24"/>
          <w:vertAlign w:val="superscript"/>
        </w:rPr>
        <w:footnoteReference w:id="13"/>
      </w:r>
      <w:r w:rsidRPr="00ED67D7" w:rsidR="00184088">
        <w:rPr>
          <w:rFonts w:ascii="Times New Roman" w:hAnsi="Times New Roman" w:eastAsia="MS Mincho"/>
          <w:bCs/>
          <w:sz w:val="24"/>
          <w:vertAlign w:val="superscript"/>
        </w:rPr>
        <w:t xml:space="preserve"> </w:t>
      </w:r>
      <w:r w:rsidRPr="00ED67D7" w:rsidR="00184088">
        <w:rPr>
          <w:rFonts w:ascii="Times New Roman" w:hAnsi="Times New Roman" w:eastAsia="MS Mincho"/>
          <w:bCs/>
          <w:sz w:val="24"/>
        </w:rPr>
        <w:t xml:space="preserve">that includes a request to the foreign bank for the information required under 31 CFR 1010.630(a).  Covered financial institutions may use the certification form to obtain the necessary information for an initial certification and a recertification.  </w:t>
      </w:r>
    </w:p>
    <w:p w:rsidR="00247F7E" w:rsidP="00247F7E" w:rsidRDefault="00247F7E" w14:paraId="1454B8C1" w14:textId="77777777">
      <w:pPr>
        <w:shd w:val="clear" w:color="auto" w:fill="FFFFFF"/>
        <w:ind w:firstLine="720"/>
        <w:rPr>
          <w:rFonts w:ascii="Times New Roman" w:hAnsi="Times New Roman" w:eastAsia="MS Mincho"/>
          <w:bCs/>
          <w:sz w:val="24"/>
        </w:rPr>
      </w:pPr>
    </w:p>
    <w:p w:rsidRPr="002F4C9A" w:rsidR="00247F7E" w:rsidP="006B186B" w:rsidRDefault="00247F7E" w14:paraId="11406EFA" w14:textId="77777777">
      <w:pPr>
        <w:shd w:val="clear" w:color="auto" w:fill="FFFFFF"/>
        <w:ind w:firstLine="720"/>
        <w:rPr>
          <w:rFonts w:ascii="Times New Roman" w:hAnsi="Times New Roman" w:eastAsia="MS Mincho"/>
          <w:bCs/>
          <w:sz w:val="24"/>
        </w:rPr>
      </w:pPr>
      <w:r w:rsidRPr="002F4C9A">
        <w:rPr>
          <w:rStyle w:val="Hyperlink"/>
          <w:rFonts w:ascii="Times New Roman" w:hAnsi="Times New Roman" w:eastAsia="MS Mincho"/>
          <w:color w:val="auto"/>
          <w:sz w:val="24"/>
          <w:u w:val="none"/>
        </w:rPr>
        <w:lastRenderedPageBreak/>
        <w:t xml:space="preserve">31 CFR 1010.630(c) outlines interim verification requirements covered financial institutions must follow. </w:t>
      </w:r>
      <w:r w:rsidR="00E944CF">
        <w:rPr>
          <w:rStyle w:val="Hyperlink"/>
          <w:rFonts w:ascii="Times New Roman" w:hAnsi="Times New Roman" w:eastAsia="MS Mincho"/>
          <w:color w:val="auto"/>
          <w:sz w:val="24"/>
          <w:u w:val="none"/>
        </w:rPr>
        <w:t xml:space="preserve"> </w:t>
      </w:r>
      <w:r w:rsidRPr="002F4C9A" w:rsidR="002F4C9A">
        <w:rPr>
          <w:rStyle w:val="Hyperlink"/>
          <w:rFonts w:ascii="Times New Roman" w:hAnsi="Times New Roman" w:eastAsia="MS Mincho"/>
          <w:color w:val="auto"/>
          <w:sz w:val="24"/>
          <w:u w:val="none"/>
        </w:rPr>
        <w:t xml:space="preserve">Specifically, a covered financial institution must </w:t>
      </w:r>
      <w:r w:rsidRPr="002F4C9A">
        <w:rPr>
          <w:rFonts w:ascii="Times New Roman" w:hAnsi="Times New Roman" w:eastAsia="MS Mincho"/>
          <w:bCs/>
          <w:sz w:val="24"/>
        </w:rPr>
        <w:t>request that a foreign bank verify or correct the information</w:t>
      </w:r>
      <w:r w:rsidRPr="002F4C9A">
        <w:rPr>
          <w:rStyle w:val="Hyperlink"/>
          <w:rFonts w:ascii="Times New Roman" w:hAnsi="Times New Roman" w:eastAsia="MS Mincho"/>
          <w:sz w:val="24"/>
        </w:rPr>
        <w:t xml:space="preserve"> </w:t>
      </w:r>
      <w:r w:rsidRPr="002F4C9A">
        <w:rPr>
          <w:rFonts w:ascii="Times New Roman" w:hAnsi="Times New Roman" w:eastAsia="MS Mincho"/>
          <w:bCs/>
          <w:sz w:val="24"/>
        </w:rPr>
        <w:t xml:space="preserve">provided in such bank’s certification or recertification, if the covered financial institution knows, suspects, or has reason to suspect that such information is incorrect or no longer accurate.  </w:t>
      </w:r>
    </w:p>
    <w:p w:rsidRPr="002F4C9A" w:rsidR="002F4C9A" w:rsidP="00247F7E" w:rsidRDefault="002F4C9A" w14:paraId="6FEE1C66" w14:textId="77777777">
      <w:pPr>
        <w:shd w:val="clear" w:color="auto" w:fill="FFFFFF"/>
        <w:ind w:firstLine="720"/>
        <w:rPr>
          <w:rFonts w:ascii="Times New Roman" w:hAnsi="Times New Roman" w:eastAsia="MS Mincho"/>
          <w:bCs/>
          <w:sz w:val="24"/>
        </w:rPr>
      </w:pPr>
    </w:p>
    <w:p w:rsidR="00FD1993" w:rsidP="00ED67D7" w:rsidRDefault="002F4C9A" w14:paraId="1CC45C02" w14:textId="77777777">
      <w:pPr>
        <w:shd w:val="clear" w:color="auto" w:fill="FFFFFF"/>
        <w:ind w:firstLine="720"/>
        <w:rPr>
          <w:rFonts w:ascii="Times New Roman" w:hAnsi="Times New Roman" w:eastAsia="MS Mincho"/>
          <w:bCs/>
          <w:sz w:val="24"/>
        </w:rPr>
      </w:pPr>
      <w:r>
        <w:rPr>
          <w:rFonts w:ascii="Times New Roman" w:hAnsi="Times New Roman" w:eastAsia="MS Mincho"/>
          <w:bCs/>
          <w:sz w:val="24"/>
        </w:rPr>
        <w:t>31 CFR 1010.630(d) outlines instances in which correspondent accounts must be closed and also describes the criteria necessary to reestablish a closed account.</w:t>
      </w:r>
    </w:p>
    <w:p w:rsidRPr="00ED67D7" w:rsidR="002F4C9A" w:rsidP="00ED67D7" w:rsidRDefault="002F4C9A" w14:paraId="340A8262" w14:textId="77777777">
      <w:pPr>
        <w:shd w:val="clear" w:color="auto" w:fill="FFFFFF"/>
        <w:ind w:firstLine="720"/>
        <w:rPr>
          <w:rFonts w:ascii="Times New Roman" w:hAnsi="Times New Roman" w:eastAsia="MS Mincho"/>
          <w:bCs/>
          <w:sz w:val="24"/>
        </w:rPr>
      </w:pPr>
    </w:p>
    <w:p w:rsidRPr="007D603E" w:rsidR="00184088" w:rsidP="00ED67D7" w:rsidRDefault="009C0964" w14:paraId="1238B249" w14:textId="77777777">
      <w:pPr>
        <w:shd w:val="clear" w:color="auto" w:fill="FFFFFF"/>
        <w:ind w:firstLine="720"/>
        <w:rPr>
          <w:rFonts w:eastAsia="MS Mincho"/>
          <w:bCs/>
        </w:rPr>
      </w:pPr>
      <w:hyperlink w:history="1" w:anchor="p-1010.630(e)" r:id="rId11">
        <w:r w:rsidRPr="00ED67D7" w:rsidR="00184088">
          <w:rPr>
            <w:rStyle w:val="Hyperlink"/>
            <w:rFonts w:ascii="Times New Roman" w:hAnsi="Times New Roman" w:eastAsia="MS Mincho"/>
            <w:bCs/>
            <w:color w:val="000000" w:themeColor="text1"/>
            <w:sz w:val="24"/>
            <w:u w:val="none"/>
          </w:rPr>
          <w:t>31 CFR 1010.630(e)</w:t>
        </w:r>
      </w:hyperlink>
      <w:r w:rsidRPr="00ED67D7" w:rsidR="00184088">
        <w:rPr>
          <w:rStyle w:val="Hyperlink"/>
          <w:rFonts w:ascii="Times New Roman" w:hAnsi="Times New Roman" w:eastAsia="MS Mincho"/>
          <w:bCs/>
          <w:color w:val="000000" w:themeColor="text1"/>
          <w:sz w:val="24"/>
          <w:u w:val="none"/>
        </w:rPr>
        <w:t xml:space="preserve"> requires</w:t>
      </w:r>
      <w:r w:rsidRPr="00ED67D7" w:rsidR="00184088">
        <w:rPr>
          <w:rFonts w:ascii="Times New Roman" w:hAnsi="Times New Roman" w:eastAsia="MS Mincho"/>
          <w:bCs/>
          <w:color w:val="000000" w:themeColor="text1"/>
          <w:sz w:val="24"/>
        </w:rPr>
        <w:t xml:space="preserve"> co</w:t>
      </w:r>
      <w:r w:rsidRPr="00ED67D7" w:rsidR="00184088">
        <w:rPr>
          <w:rFonts w:ascii="Times New Roman" w:hAnsi="Times New Roman" w:eastAsia="MS Mincho"/>
          <w:bCs/>
          <w:sz w:val="24"/>
        </w:rPr>
        <w:t>vered financial institutions to retain any original document provided by a foreign bank</w:t>
      </w:r>
      <w:r w:rsidRPr="00ED67D7" w:rsidR="00184088">
        <w:rPr>
          <w:rStyle w:val="Emphasis"/>
          <w:rFonts w:ascii="Times New Roman" w:hAnsi="Times New Roman" w:eastAsia="MS Mincho"/>
          <w:bCs/>
          <w:i w:val="0"/>
          <w:sz w:val="24"/>
        </w:rPr>
        <w:t xml:space="preserve">, and the original or a copy of any document otherwise relied upon </w:t>
      </w:r>
      <w:r w:rsidRPr="00ED67D7" w:rsidR="00184088">
        <w:rPr>
          <w:rFonts w:ascii="Times New Roman" w:hAnsi="Times New Roman"/>
          <w:sz w:val="24"/>
        </w:rPr>
        <w:t>by a covered financial institution for purposes of complying with 31 CFR 1010.630, for at least five years after the date that a covered financial institution no longer maintains any correspondent account for such foreign bank.</w:t>
      </w:r>
    </w:p>
    <w:p w:rsidR="00374CD1" w:rsidP="009467D9" w:rsidRDefault="00374CD1" w14:paraId="241C5557" w14:textId="77777777">
      <w:pPr>
        <w:rPr>
          <w:rFonts w:ascii="Times New Roman" w:hAnsi="Times New Roman"/>
          <w:sz w:val="24"/>
        </w:rPr>
      </w:pPr>
    </w:p>
    <w:p w:rsidR="00741D4C" w:rsidP="00A27C93" w:rsidRDefault="00374CD1" w14:paraId="6E02B4A2" w14:textId="77777777">
      <w:pPr>
        <w:ind w:left="360"/>
        <w:rPr>
          <w:rFonts w:ascii="Times New Roman" w:hAnsi="Times New Roman"/>
          <w:sz w:val="24"/>
        </w:rPr>
      </w:pPr>
      <w:r>
        <w:rPr>
          <w:rFonts w:ascii="Times New Roman" w:hAnsi="Times New Roman"/>
          <w:sz w:val="24"/>
        </w:rPr>
        <w:t xml:space="preserve">2.  </w:t>
      </w:r>
      <w:r w:rsidRPr="00747B41" w:rsidR="006B2873">
        <w:rPr>
          <w:rFonts w:ascii="Times New Roman" w:hAnsi="Times New Roman"/>
          <w:sz w:val="24"/>
          <w:u w:val="single"/>
        </w:rPr>
        <w:t xml:space="preserve">Method </w:t>
      </w:r>
      <w:r w:rsidRPr="00747B41" w:rsidR="000134E6">
        <w:rPr>
          <w:rFonts w:ascii="Times New Roman" w:hAnsi="Times New Roman"/>
          <w:sz w:val="24"/>
          <w:u w:val="single"/>
        </w:rPr>
        <w:t xml:space="preserve">of collection and </w:t>
      </w:r>
      <w:r w:rsidR="000134E6">
        <w:rPr>
          <w:rFonts w:ascii="Times New Roman" w:hAnsi="Times New Roman"/>
          <w:sz w:val="24"/>
          <w:u w:val="single"/>
        </w:rPr>
        <w:t>u</w:t>
      </w:r>
      <w:r w:rsidRPr="00747B41" w:rsidR="000134E6">
        <w:rPr>
          <w:rFonts w:ascii="Times New Roman" w:hAnsi="Times New Roman"/>
          <w:sz w:val="24"/>
          <w:u w:val="single"/>
        </w:rPr>
        <w:t xml:space="preserve">se of </w:t>
      </w:r>
      <w:r w:rsidR="000134E6">
        <w:rPr>
          <w:rFonts w:ascii="Times New Roman" w:hAnsi="Times New Roman"/>
          <w:sz w:val="24"/>
          <w:u w:val="single"/>
        </w:rPr>
        <w:t>d</w:t>
      </w:r>
      <w:r w:rsidRPr="00747B41" w:rsidR="000134E6">
        <w:rPr>
          <w:rFonts w:ascii="Times New Roman" w:hAnsi="Times New Roman"/>
          <w:sz w:val="24"/>
          <w:u w:val="single"/>
        </w:rPr>
        <w:t>ata</w:t>
      </w:r>
      <w:r w:rsidR="008C19A7">
        <w:rPr>
          <w:rFonts w:ascii="Times New Roman" w:hAnsi="Times New Roman"/>
          <w:sz w:val="24"/>
          <w:u w:val="single"/>
        </w:rPr>
        <w:t>.</w:t>
      </w:r>
      <w:r w:rsidR="000134E6">
        <w:rPr>
          <w:rFonts w:ascii="Times New Roman" w:hAnsi="Times New Roman"/>
          <w:sz w:val="24"/>
        </w:rPr>
        <w:t xml:space="preserve">  </w:t>
      </w:r>
    </w:p>
    <w:p w:rsidR="00A27C93" w:rsidP="00A27C93" w:rsidRDefault="00A27C93" w14:paraId="78D8965F" w14:textId="77777777">
      <w:pPr>
        <w:ind w:firstLine="720"/>
        <w:rPr>
          <w:rFonts w:ascii="Times New Roman" w:hAnsi="Times New Roman"/>
          <w:bCs/>
          <w:sz w:val="24"/>
        </w:rPr>
      </w:pPr>
    </w:p>
    <w:p w:rsidR="00A27C93" w:rsidP="00A27C93" w:rsidRDefault="00741D4C" w14:paraId="280DAD87" w14:textId="77777777">
      <w:pPr>
        <w:ind w:firstLine="720"/>
        <w:rPr>
          <w:rFonts w:ascii="Times New Roman" w:hAnsi="Times New Roman"/>
          <w:sz w:val="24"/>
        </w:rPr>
      </w:pPr>
      <w:r w:rsidRPr="00A27C93">
        <w:rPr>
          <w:rFonts w:ascii="Times New Roman" w:hAnsi="Times New Roman"/>
          <w:bCs/>
          <w:sz w:val="24"/>
        </w:rPr>
        <w:t>The collection of information described above is not reported to the Federal government. Inst</w:t>
      </w:r>
      <w:r w:rsidRPr="00A27C93">
        <w:rPr>
          <w:rFonts w:ascii="Times New Roman" w:hAnsi="Times New Roman"/>
          <w:sz w:val="24"/>
        </w:rPr>
        <w:t xml:space="preserve">ead, </w:t>
      </w:r>
      <w:r w:rsidRPr="00741D4C">
        <w:rPr>
          <w:rFonts w:ascii="Times New Roman" w:hAnsi="Times New Roman"/>
          <w:sz w:val="24"/>
        </w:rPr>
        <w:t xml:space="preserve">covered financial institutions </w:t>
      </w:r>
      <w:r w:rsidRPr="00A27C93">
        <w:rPr>
          <w:rFonts w:ascii="Times New Roman" w:hAnsi="Times New Roman"/>
          <w:sz w:val="24"/>
        </w:rPr>
        <w:t xml:space="preserve">are required to </w:t>
      </w:r>
      <w:r w:rsidR="00A27C93">
        <w:rPr>
          <w:rFonts w:ascii="Times New Roman" w:hAnsi="Times New Roman"/>
          <w:sz w:val="24"/>
        </w:rPr>
        <w:t>secure and maintain</w:t>
      </w:r>
      <w:r w:rsidRPr="003F633A" w:rsidR="00A27C93">
        <w:rPr>
          <w:rFonts w:ascii="Times New Roman" w:hAnsi="Times New Roman" w:eastAsia="MS Mincho"/>
          <w:bCs/>
          <w:sz w:val="24"/>
        </w:rPr>
        <w:t xml:space="preserve"> any original document provided by a foreign bank</w:t>
      </w:r>
      <w:r w:rsidRPr="003F633A" w:rsidR="00A27C93">
        <w:rPr>
          <w:rStyle w:val="Emphasis"/>
          <w:rFonts w:ascii="Times New Roman" w:hAnsi="Times New Roman" w:eastAsia="MS Mincho"/>
          <w:bCs/>
          <w:i w:val="0"/>
          <w:sz w:val="24"/>
        </w:rPr>
        <w:t xml:space="preserve">, and the original or a copy of any document otherwise relied upon </w:t>
      </w:r>
      <w:r w:rsidRPr="003F633A" w:rsidR="00A27C93">
        <w:rPr>
          <w:rFonts w:ascii="Times New Roman" w:hAnsi="Times New Roman"/>
          <w:sz w:val="24"/>
        </w:rPr>
        <w:t>by a covered financial institution for purposes of complying with 31 CFR 1010.630, for at least five years after the date that a covered financial institution no longer maintains any correspondent account for such foreign bank.</w:t>
      </w:r>
    </w:p>
    <w:p w:rsidR="00A27C93" w:rsidP="00A27C93" w:rsidRDefault="00A27C93" w14:paraId="2FC6E6FD" w14:textId="77777777">
      <w:pPr>
        <w:ind w:firstLine="720"/>
        <w:rPr>
          <w:rFonts w:ascii="Times New Roman" w:hAnsi="Times New Roman"/>
          <w:sz w:val="24"/>
        </w:rPr>
      </w:pPr>
    </w:p>
    <w:p w:rsidR="00374CD1" w:rsidP="00A27C93" w:rsidRDefault="00A27C93" w14:paraId="7C9854AB" w14:textId="77777777">
      <w:pPr>
        <w:ind w:firstLine="720"/>
        <w:rPr>
          <w:rFonts w:ascii="Times New Roman" w:hAnsi="Times New Roman"/>
          <w:sz w:val="24"/>
        </w:rPr>
      </w:pPr>
      <w:r w:rsidRPr="003F633A">
        <w:rPr>
          <w:rFonts w:ascii="Times New Roman" w:hAnsi="Times New Roman"/>
          <w:sz w:val="24"/>
        </w:rPr>
        <w:t xml:space="preserve">The recordkeeping requirements help to ensure that </w:t>
      </w:r>
      <w:r w:rsidRPr="00A27C93">
        <w:rPr>
          <w:rFonts w:ascii="Times New Roman" w:hAnsi="Times New Roman"/>
          <w:sz w:val="24"/>
        </w:rPr>
        <w:t>covered financial institutions</w:t>
      </w:r>
      <w:r w:rsidRPr="003F633A">
        <w:rPr>
          <w:rFonts w:ascii="Times New Roman" w:hAnsi="Times New Roman"/>
          <w:sz w:val="24"/>
        </w:rPr>
        <w:t xml:space="preserve"> are not used to facilitate money laundering, other financial crimes, or terrorist financing.  These records will be reviewed by regulatory agencies during the course of BSA examinations and made available only upon request to other appropriate agencies in accordance with applicable legal requirements.</w:t>
      </w:r>
    </w:p>
    <w:p w:rsidR="00A27C93" w:rsidP="00A27C93" w:rsidRDefault="00A27C93" w14:paraId="7AF51F60" w14:textId="77777777">
      <w:pPr>
        <w:rPr>
          <w:rFonts w:ascii="Times New Roman" w:hAnsi="Times New Roman"/>
          <w:sz w:val="24"/>
        </w:rPr>
      </w:pPr>
    </w:p>
    <w:p w:rsidR="00565F27" w:rsidP="009467D9" w:rsidRDefault="00374CD1" w14:paraId="28C19E70" w14:textId="77777777">
      <w:pPr>
        <w:rPr>
          <w:rFonts w:ascii="Times New Roman" w:hAnsi="Times New Roman"/>
          <w:sz w:val="24"/>
        </w:rPr>
      </w:pPr>
      <w:r>
        <w:rPr>
          <w:rFonts w:ascii="Times New Roman" w:hAnsi="Times New Roman"/>
          <w:sz w:val="24"/>
        </w:rPr>
        <w:t>3.</w:t>
      </w:r>
      <w:r w:rsidR="009568C8">
        <w:rPr>
          <w:rFonts w:ascii="Times New Roman" w:hAnsi="Times New Roman"/>
          <w:sz w:val="24"/>
        </w:rPr>
        <w:t xml:space="preserve"> </w:t>
      </w:r>
      <w:r w:rsidRPr="006B2873" w:rsidR="006B2873">
        <w:rPr>
          <w:rFonts w:ascii="Times New Roman" w:hAnsi="Times New Roman"/>
          <w:sz w:val="24"/>
          <w:u w:val="single"/>
        </w:rPr>
        <w:t>Use of improved information technology</w:t>
      </w:r>
      <w:r w:rsidR="006B2873">
        <w:rPr>
          <w:rFonts w:ascii="Times New Roman" w:hAnsi="Times New Roman"/>
          <w:sz w:val="24"/>
          <w:u w:val="single"/>
        </w:rPr>
        <w:t xml:space="preserve"> to reduce burden</w:t>
      </w:r>
      <w:r w:rsidR="008C19A7">
        <w:rPr>
          <w:rFonts w:ascii="Times New Roman" w:hAnsi="Times New Roman"/>
          <w:sz w:val="24"/>
          <w:u w:val="single"/>
        </w:rPr>
        <w:t>.</w:t>
      </w:r>
      <w:r w:rsidR="006B2873">
        <w:rPr>
          <w:rFonts w:ascii="Times New Roman" w:hAnsi="Times New Roman"/>
          <w:sz w:val="24"/>
        </w:rPr>
        <w:t xml:space="preserve">  </w:t>
      </w:r>
    </w:p>
    <w:p w:rsidR="00565F27" w:rsidP="009467D9" w:rsidRDefault="00565F27" w14:paraId="26E7EC35" w14:textId="77777777">
      <w:pPr>
        <w:ind w:left="360"/>
        <w:rPr>
          <w:rFonts w:ascii="Times New Roman" w:hAnsi="Times New Roman"/>
          <w:sz w:val="24"/>
        </w:rPr>
      </w:pPr>
    </w:p>
    <w:p w:rsidR="00374CD1" w:rsidP="009467D9" w:rsidRDefault="00565F27" w14:paraId="2A5D659A" w14:textId="77777777">
      <w:pPr>
        <w:ind w:left="360"/>
        <w:rPr>
          <w:rFonts w:ascii="Times New Roman" w:hAnsi="Times New Roman"/>
          <w:sz w:val="24"/>
        </w:rPr>
      </w:pPr>
      <w:r>
        <w:rPr>
          <w:rFonts w:ascii="Times New Roman" w:hAnsi="Times New Roman"/>
          <w:sz w:val="24"/>
        </w:rPr>
        <w:tab/>
      </w:r>
      <w:r w:rsidRPr="00741D4C" w:rsidR="00741D4C">
        <w:rPr>
          <w:rFonts w:ascii="Times New Roman" w:hAnsi="Times New Roman"/>
          <w:sz w:val="24"/>
        </w:rPr>
        <w:t xml:space="preserve">Covered financial institutions are permitted to automate their systems to meet their requirements. </w:t>
      </w:r>
      <w:r w:rsidR="00DC699E">
        <w:rPr>
          <w:rFonts w:ascii="Times New Roman" w:hAnsi="Times New Roman"/>
          <w:sz w:val="24"/>
        </w:rPr>
        <w:t xml:space="preserve"> </w:t>
      </w:r>
      <w:r w:rsidRPr="00741D4C" w:rsidR="00741D4C">
        <w:rPr>
          <w:rFonts w:ascii="Times New Roman" w:hAnsi="Times New Roman"/>
          <w:sz w:val="24"/>
        </w:rPr>
        <w:t xml:space="preserve">There is no specific government mandate to do so. </w:t>
      </w:r>
      <w:r w:rsidRPr="00AA6051" w:rsidR="00741D4C">
        <w:rPr>
          <w:szCs w:val="22"/>
        </w:rPr>
        <w:t xml:space="preserve"> </w:t>
      </w:r>
      <w:r w:rsidR="00741D4C">
        <w:rPr>
          <w:rFonts w:ascii="Times New Roman" w:hAnsi="Times New Roman"/>
          <w:sz w:val="24"/>
        </w:rPr>
        <w:t xml:space="preserve"> </w:t>
      </w:r>
      <w:r w:rsidR="00374CD1">
        <w:rPr>
          <w:rFonts w:ascii="Times New Roman" w:hAnsi="Times New Roman"/>
          <w:sz w:val="24"/>
        </w:rPr>
        <w:t xml:space="preserve"> </w:t>
      </w:r>
    </w:p>
    <w:p w:rsidR="00374CD1" w:rsidP="009467D9" w:rsidRDefault="00374CD1" w14:paraId="5C0F8F33" w14:textId="77777777">
      <w:pPr>
        <w:rPr>
          <w:rFonts w:ascii="Times New Roman" w:hAnsi="Times New Roman"/>
          <w:sz w:val="24"/>
        </w:rPr>
      </w:pPr>
    </w:p>
    <w:p w:rsidR="00565F27" w:rsidP="009467D9" w:rsidRDefault="00374CD1" w14:paraId="5BF57197" w14:textId="77777777">
      <w:pPr>
        <w:rPr>
          <w:rFonts w:ascii="Times New Roman" w:hAnsi="Times New Roman"/>
          <w:sz w:val="24"/>
        </w:rPr>
      </w:pPr>
      <w:r>
        <w:rPr>
          <w:rFonts w:ascii="Times New Roman" w:hAnsi="Times New Roman"/>
          <w:sz w:val="24"/>
        </w:rPr>
        <w:t xml:space="preserve">4. </w:t>
      </w:r>
      <w:r>
        <w:rPr>
          <w:rFonts w:ascii="Times New Roman" w:hAnsi="Times New Roman"/>
          <w:sz w:val="24"/>
          <w:u w:val="single"/>
        </w:rPr>
        <w:t xml:space="preserve">Efforts </w:t>
      </w:r>
      <w:r w:rsidRPr="006B2873" w:rsidR="006B2873">
        <w:rPr>
          <w:rFonts w:ascii="Times New Roman" w:hAnsi="Times New Roman"/>
          <w:sz w:val="24"/>
          <w:u w:val="single"/>
        </w:rPr>
        <w:t>to identify duplication</w:t>
      </w:r>
      <w:r w:rsidR="008C19A7">
        <w:rPr>
          <w:rFonts w:ascii="Times New Roman" w:hAnsi="Times New Roman"/>
          <w:sz w:val="24"/>
          <w:u w:val="single"/>
        </w:rPr>
        <w:t>.</w:t>
      </w:r>
      <w:r w:rsidR="006B2873">
        <w:rPr>
          <w:rFonts w:ascii="Times New Roman" w:hAnsi="Times New Roman"/>
          <w:sz w:val="24"/>
        </w:rPr>
        <w:t xml:space="preserve">  </w:t>
      </w:r>
    </w:p>
    <w:p w:rsidR="00565F27" w:rsidP="009467D9" w:rsidRDefault="00565F27" w14:paraId="7213946E" w14:textId="77777777">
      <w:pPr>
        <w:ind w:left="360"/>
        <w:rPr>
          <w:rFonts w:ascii="Times New Roman" w:hAnsi="Times New Roman"/>
          <w:sz w:val="24"/>
        </w:rPr>
      </w:pPr>
    </w:p>
    <w:p w:rsidR="00374CD1" w:rsidP="009467D9" w:rsidRDefault="0016283F" w14:paraId="74323359" w14:textId="77777777">
      <w:pPr>
        <w:ind w:firstLine="720"/>
        <w:rPr>
          <w:rFonts w:ascii="Times New Roman" w:hAnsi="Times New Roman"/>
          <w:sz w:val="24"/>
        </w:rPr>
      </w:pPr>
      <w:r w:rsidRPr="0016283F">
        <w:rPr>
          <w:rFonts w:ascii="Times New Roman" w:hAnsi="Times New Roman"/>
          <w:sz w:val="24"/>
        </w:rPr>
        <w:t>There is no similar information available; thus there is no duplication.</w:t>
      </w:r>
    </w:p>
    <w:p w:rsidR="00374CD1" w:rsidP="009467D9" w:rsidRDefault="00374CD1" w14:paraId="44E8D30B" w14:textId="77777777">
      <w:pPr>
        <w:rPr>
          <w:rFonts w:ascii="Times New Roman" w:hAnsi="Times New Roman"/>
          <w:sz w:val="24"/>
        </w:rPr>
      </w:pPr>
    </w:p>
    <w:p w:rsidR="00565F27" w:rsidP="009467D9" w:rsidRDefault="00374CD1" w14:paraId="32F5349F" w14:textId="77777777">
      <w:pPr>
        <w:rPr>
          <w:rFonts w:ascii="Times New Roman" w:hAnsi="Times New Roman"/>
          <w:sz w:val="24"/>
        </w:rPr>
      </w:pPr>
      <w:r>
        <w:rPr>
          <w:rFonts w:ascii="Times New Roman" w:hAnsi="Times New Roman"/>
          <w:sz w:val="24"/>
        </w:rPr>
        <w:t xml:space="preserve">5. </w:t>
      </w:r>
      <w:r>
        <w:rPr>
          <w:rFonts w:ascii="Times New Roman" w:hAnsi="Times New Roman"/>
          <w:sz w:val="24"/>
          <w:u w:val="single"/>
        </w:rPr>
        <w:t xml:space="preserve">Methods </w:t>
      </w:r>
      <w:r w:rsidR="006B2873">
        <w:rPr>
          <w:rFonts w:ascii="Times New Roman" w:hAnsi="Times New Roman"/>
          <w:sz w:val="24"/>
          <w:u w:val="single"/>
        </w:rPr>
        <w:t>to minimize burden on small businesses or other small entities</w:t>
      </w:r>
      <w:r w:rsidR="008C19A7">
        <w:rPr>
          <w:rFonts w:ascii="Times New Roman" w:hAnsi="Times New Roman"/>
          <w:sz w:val="24"/>
          <w:u w:val="single"/>
        </w:rPr>
        <w:t>.</w:t>
      </w:r>
      <w:r w:rsidR="006B2873">
        <w:rPr>
          <w:rFonts w:ascii="Times New Roman" w:hAnsi="Times New Roman"/>
          <w:sz w:val="24"/>
        </w:rPr>
        <w:t xml:space="preserve">  </w:t>
      </w:r>
    </w:p>
    <w:p w:rsidR="00565F27" w:rsidP="009467D9" w:rsidRDefault="00565F27" w14:paraId="03F0999F" w14:textId="77777777">
      <w:pPr>
        <w:ind w:left="360"/>
        <w:rPr>
          <w:rFonts w:ascii="Times New Roman" w:hAnsi="Times New Roman"/>
          <w:sz w:val="24"/>
        </w:rPr>
      </w:pPr>
    </w:p>
    <w:p w:rsidR="00374CD1" w:rsidP="009467D9" w:rsidRDefault="0016283F" w14:paraId="404224C8" w14:textId="77777777">
      <w:pPr>
        <w:ind w:firstLine="720"/>
        <w:rPr>
          <w:rFonts w:ascii="Times New Roman" w:hAnsi="Times New Roman"/>
          <w:sz w:val="24"/>
        </w:rPr>
      </w:pPr>
      <w:r w:rsidRPr="0016283F">
        <w:rPr>
          <w:rFonts w:ascii="Times New Roman" w:hAnsi="Times New Roman"/>
          <w:sz w:val="24"/>
        </w:rPr>
        <w:t xml:space="preserve">All </w:t>
      </w:r>
      <w:r w:rsidR="00A27C93">
        <w:rPr>
          <w:rFonts w:ascii="Times New Roman" w:hAnsi="Times New Roman"/>
          <w:sz w:val="24"/>
        </w:rPr>
        <w:t xml:space="preserve">covered </w:t>
      </w:r>
      <w:r w:rsidRPr="0016283F">
        <w:rPr>
          <w:rFonts w:ascii="Times New Roman" w:hAnsi="Times New Roman"/>
          <w:sz w:val="24"/>
        </w:rPr>
        <w:t xml:space="preserve">financial institutions are required to </w:t>
      </w:r>
      <w:r w:rsidR="00A27C93">
        <w:rPr>
          <w:rFonts w:ascii="Times New Roman" w:hAnsi="Times New Roman"/>
          <w:sz w:val="24"/>
        </w:rPr>
        <w:t xml:space="preserve">secure and maintain </w:t>
      </w:r>
      <w:r w:rsidR="009F3EE0">
        <w:rPr>
          <w:rFonts w:ascii="Times New Roman" w:hAnsi="Times New Roman"/>
          <w:sz w:val="24"/>
        </w:rPr>
        <w:t>the records describ</w:t>
      </w:r>
      <w:r w:rsidR="00A27C93">
        <w:rPr>
          <w:rFonts w:ascii="Times New Roman" w:hAnsi="Times New Roman"/>
          <w:sz w:val="24"/>
        </w:rPr>
        <w:t>ed in this statement and are permit</w:t>
      </w:r>
      <w:r w:rsidR="009F3EE0">
        <w:rPr>
          <w:rFonts w:ascii="Times New Roman" w:hAnsi="Times New Roman"/>
          <w:sz w:val="24"/>
        </w:rPr>
        <w:t>t</w:t>
      </w:r>
      <w:r w:rsidR="00A27C93">
        <w:rPr>
          <w:rFonts w:ascii="Times New Roman" w:hAnsi="Times New Roman"/>
          <w:sz w:val="24"/>
        </w:rPr>
        <w:t xml:space="preserve">ed to use the method most suitable to their </w:t>
      </w:r>
      <w:r w:rsidR="009F3EE0">
        <w:rPr>
          <w:rFonts w:ascii="Times New Roman" w:hAnsi="Times New Roman"/>
          <w:sz w:val="24"/>
        </w:rPr>
        <w:t>business.</w:t>
      </w:r>
      <w:r w:rsidR="00374CD1">
        <w:rPr>
          <w:rFonts w:ascii="Times New Roman" w:hAnsi="Times New Roman"/>
          <w:sz w:val="24"/>
        </w:rPr>
        <w:t xml:space="preserve">  </w:t>
      </w:r>
    </w:p>
    <w:p w:rsidR="00374CD1" w:rsidP="009467D9" w:rsidRDefault="00374CD1" w14:paraId="4489D317" w14:textId="77777777">
      <w:pPr>
        <w:rPr>
          <w:rFonts w:ascii="Times New Roman" w:hAnsi="Times New Roman"/>
          <w:sz w:val="24"/>
        </w:rPr>
      </w:pPr>
    </w:p>
    <w:p w:rsidR="00374CD1" w:rsidP="009467D9" w:rsidRDefault="00374CD1" w14:paraId="7673E94D" w14:textId="77777777">
      <w:pPr>
        <w:rPr>
          <w:rFonts w:ascii="Times New Roman" w:hAnsi="Times New Roman"/>
          <w:sz w:val="24"/>
        </w:rPr>
        <w:sectPr w:rsidR="00374CD1" w:rsidSect="002B27F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sectPr>
      </w:pPr>
    </w:p>
    <w:p w:rsidR="00565F27" w:rsidP="009467D9" w:rsidRDefault="00374CD1" w14:paraId="57CA27E8" w14:textId="77777777">
      <w:pPr>
        <w:rPr>
          <w:rFonts w:ascii="Times New Roman" w:hAnsi="Times New Roman"/>
          <w:sz w:val="24"/>
        </w:rPr>
      </w:pPr>
      <w:r>
        <w:rPr>
          <w:rFonts w:ascii="Times New Roman" w:hAnsi="Times New Roman"/>
          <w:sz w:val="24"/>
        </w:rPr>
        <w:lastRenderedPageBreak/>
        <w:t xml:space="preserve">6.  </w:t>
      </w:r>
      <w:r w:rsidRPr="00AE5D57" w:rsidR="00AE5D57">
        <w:rPr>
          <w:rFonts w:ascii="Times New Roman" w:hAnsi="Times New Roman"/>
          <w:sz w:val="24"/>
          <w:u w:val="single"/>
        </w:rPr>
        <w:t>Consequences to the Federal government of not collecting the information.</w:t>
      </w:r>
      <w:r w:rsidR="006B2873">
        <w:rPr>
          <w:rFonts w:ascii="Times New Roman" w:hAnsi="Times New Roman"/>
          <w:sz w:val="24"/>
        </w:rPr>
        <w:t xml:space="preserve"> </w:t>
      </w:r>
    </w:p>
    <w:p w:rsidR="00565F27" w:rsidP="009467D9" w:rsidRDefault="00565F27" w14:paraId="0169CFB8" w14:textId="77777777">
      <w:pPr>
        <w:ind w:left="360"/>
        <w:rPr>
          <w:rFonts w:ascii="Times New Roman" w:hAnsi="Times New Roman"/>
          <w:sz w:val="24"/>
        </w:rPr>
      </w:pPr>
      <w:r>
        <w:rPr>
          <w:rFonts w:ascii="Times New Roman" w:hAnsi="Times New Roman"/>
          <w:sz w:val="24"/>
        </w:rPr>
        <w:tab/>
      </w:r>
    </w:p>
    <w:p w:rsidR="00374CD1" w:rsidP="009467D9" w:rsidRDefault="00AE5D57" w14:paraId="5352708D" w14:textId="77777777">
      <w:pPr>
        <w:ind w:firstLine="720"/>
        <w:rPr>
          <w:rFonts w:ascii="Times New Roman" w:hAnsi="Times New Roman"/>
          <w:sz w:val="24"/>
        </w:rPr>
      </w:pPr>
      <w:r w:rsidRPr="00AE5D57">
        <w:rPr>
          <w:rFonts w:ascii="Times New Roman" w:hAnsi="Times New Roman"/>
          <w:sz w:val="24"/>
        </w:rPr>
        <w:t>The Federal government requires reporting of this information only upon request</w:t>
      </w:r>
      <w:r w:rsidR="00694F47">
        <w:rPr>
          <w:rFonts w:ascii="Times New Roman" w:hAnsi="Times New Roman"/>
          <w:sz w:val="24"/>
        </w:rPr>
        <w:t>, in accordance with applicable legal authority.</w:t>
      </w:r>
    </w:p>
    <w:p w:rsidR="00374CD1" w:rsidP="009467D9" w:rsidRDefault="00374CD1" w14:paraId="1CB4BF98" w14:textId="77777777">
      <w:pPr>
        <w:rPr>
          <w:rFonts w:ascii="Times New Roman" w:hAnsi="Times New Roman"/>
          <w:sz w:val="24"/>
        </w:rPr>
      </w:pPr>
    </w:p>
    <w:p w:rsidR="00565F27" w:rsidP="009467D9" w:rsidRDefault="00374CD1" w14:paraId="5D26FE83" w14:textId="77777777">
      <w:pPr>
        <w:rPr>
          <w:rFonts w:ascii="Times New Roman" w:hAnsi="Times New Roman"/>
          <w:sz w:val="24"/>
        </w:rPr>
      </w:pPr>
      <w:r>
        <w:rPr>
          <w:rFonts w:ascii="Times New Roman" w:hAnsi="Times New Roman"/>
          <w:sz w:val="24"/>
        </w:rPr>
        <w:t xml:space="preserve">7.  </w:t>
      </w:r>
      <w:r w:rsidRPr="00CE52B1" w:rsidR="00AE5D57">
        <w:rPr>
          <w:rFonts w:ascii="Times New Roman" w:hAnsi="Times New Roman"/>
          <w:sz w:val="24"/>
          <w:u w:val="single"/>
        </w:rPr>
        <w:t>Special circumstances requiring data collection inconsistent with guidelines.</w:t>
      </w:r>
      <w:r>
        <w:rPr>
          <w:rFonts w:ascii="Times New Roman" w:hAnsi="Times New Roman"/>
          <w:sz w:val="24"/>
        </w:rPr>
        <w:t xml:space="preserve">  </w:t>
      </w:r>
    </w:p>
    <w:p w:rsidR="00565F27" w:rsidP="009467D9" w:rsidRDefault="00565F27" w14:paraId="3BFECEB1" w14:textId="77777777">
      <w:pPr>
        <w:ind w:left="360"/>
        <w:rPr>
          <w:rFonts w:ascii="Times New Roman" w:hAnsi="Times New Roman"/>
          <w:sz w:val="24"/>
        </w:rPr>
      </w:pPr>
    </w:p>
    <w:p w:rsidR="00374CD1" w:rsidP="00337122" w:rsidRDefault="00CE52B1" w14:paraId="394C33BE" w14:textId="77777777">
      <w:pPr>
        <w:ind w:firstLine="720"/>
        <w:rPr>
          <w:rStyle w:val="CommentReference"/>
          <w:rFonts w:ascii="Times New Roman" w:hAnsi="Times New Roman"/>
          <w:sz w:val="24"/>
          <w:szCs w:val="24"/>
        </w:rPr>
      </w:pPr>
      <w:r w:rsidRPr="00CE52B1">
        <w:rPr>
          <w:rFonts w:ascii="Times New Roman" w:hAnsi="Times New Roman"/>
          <w:sz w:val="24"/>
        </w:rPr>
        <w:t xml:space="preserve">Pursuant to 31 CFR 1010.430(d), </w:t>
      </w:r>
      <w:r w:rsidRPr="00CE52B1">
        <w:rPr>
          <w:rFonts w:ascii="Times New Roman" w:hAnsi="Times New Roman"/>
          <w:sz w:val="24"/>
          <w:lang w:val="en"/>
        </w:rPr>
        <w:t xml:space="preserve">all records that are required to be retained by 31 CFR Chapter X must be retained for a period of five years. </w:t>
      </w:r>
      <w:r w:rsidR="003300C5">
        <w:rPr>
          <w:rFonts w:ascii="Times New Roman" w:hAnsi="Times New Roman"/>
          <w:sz w:val="24"/>
          <w:lang w:val="en"/>
        </w:rPr>
        <w:t xml:space="preserve"> </w:t>
      </w:r>
      <w:r w:rsidRPr="00CE52B1">
        <w:rPr>
          <w:rFonts w:ascii="Times New Roman" w:hAnsi="Times New Roman"/>
          <w:sz w:val="24"/>
        </w:rPr>
        <w:t>Records must be kept for five years because such records may relate to substantive violations of law that are subject to statutes of limitation longer than three years.</w:t>
      </w:r>
      <w:r w:rsidRPr="00CE52B1" w:rsidDel="0061193D">
        <w:rPr>
          <w:rStyle w:val="CommentReference"/>
          <w:rFonts w:ascii="Times New Roman" w:hAnsi="Times New Roman"/>
          <w:sz w:val="24"/>
          <w:szCs w:val="24"/>
        </w:rPr>
        <w:t xml:space="preserve"> </w:t>
      </w:r>
    </w:p>
    <w:p w:rsidR="00337122" w:rsidP="009467D9" w:rsidRDefault="00337122" w14:paraId="3B69D8E4" w14:textId="77777777">
      <w:pPr>
        <w:rPr>
          <w:rFonts w:ascii="Times New Roman" w:hAnsi="Times New Roman"/>
          <w:sz w:val="24"/>
        </w:rPr>
      </w:pPr>
    </w:p>
    <w:p w:rsidR="00565F27" w:rsidP="009467D9" w:rsidRDefault="00374CD1" w14:paraId="66B266A3" w14:textId="77777777">
      <w:pPr>
        <w:pStyle w:val="BodyText2"/>
      </w:pPr>
      <w:r>
        <w:t xml:space="preserve">8.  </w:t>
      </w:r>
      <w:r w:rsidR="00155EB1">
        <w:rPr>
          <w:szCs w:val="22"/>
          <w:u w:val="single"/>
        </w:rPr>
        <w:t xml:space="preserve">Consultation </w:t>
      </w:r>
      <w:r w:rsidR="000134E6">
        <w:rPr>
          <w:szCs w:val="22"/>
          <w:u w:val="single"/>
        </w:rPr>
        <w:t>with individuals outside of the agency on availability of data</w:t>
      </w:r>
      <w:r w:rsidR="00367D22">
        <w:rPr>
          <w:szCs w:val="22"/>
          <w:u w:val="single"/>
        </w:rPr>
        <w:t>,</w:t>
      </w:r>
      <w:r w:rsidR="000134E6">
        <w:rPr>
          <w:szCs w:val="22"/>
          <w:u w:val="single"/>
        </w:rPr>
        <w:t xml:space="preserve"> frequency of collection, clarity of instructions and forms, and data elements</w:t>
      </w:r>
      <w:r w:rsidR="00C26A03">
        <w:rPr>
          <w:szCs w:val="22"/>
          <w:u w:val="single"/>
        </w:rPr>
        <w:t>.</w:t>
      </w:r>
    </w:p>
    <w:p w:rsidR="00565F27" w:rsidP="009467D9" w:rsidRDefault="00565F27" w14:paraId="651863D0" w14:textId="77777777">
      <w:pPr>
        <w:pStyle w:val="BodyText2"/>
        <w:ind w:left="360"/>
      </w:pPr>
    </w:p>
    <w:p w:rsidR="00374CD1" w:rsidP="009467D9" w:rsidRDefault="00AE5D57" w14:paraId="73BA1247" w14:textId="150779AC">
      <w:pPr>
        <w:pStyle w:val="BodyText2"/>
        <w:ind w:firstLine="720"/>
      </w:pPr>
      <w:r w:rsidRPr="00AE5D57">
        <w:t xml:space="preserve">The 60-day </w:t>
      </w:r>
      <w:r>
        <w:t>notice was published on February 10, 2022</w:t>
      </w:r>
      <w:r w:rsidRPr="002417E4" w:rsidR="002417E4">
        <w:t>.</w:t>
      </w:r>
      <w:r w:rsidRPr="005320D9" w:rsidR="005320D9">
        <w:rPr>
          <w:vertAlign w:val="superscript"/>
        </w:rPr>
        <w:footnoteReference w:id="14"/>
      </w:r>
      <w:r w:rsidR="005320D9">
        <w:t xml:space="preserve">  </w:t>
      </w:r>
      <w:r w:rsidRPr="00AE5D57">
        <w:t>The notice requested public comments on the prop</w:t>
      </w:r>
      <w:r w:rsidR="002417E4">
        <w:t xml:space="preserve">osed renewal, without change, </w:t>
      </w:r>
      <w:r w:rsidR="00253694">
        <w:t>of a currently approved information collection relating to regulations prohibiting covered financial institutions from maintaining</w:t>
      </w:r>
      <w:r w:rsidRPr="00AE5D57">
        <w:t xml:space="preserve"> correspondent accounts for foreign shell banks; </w:t>
      </w:r>
      <w:r w:rsidR="00253694">
        <w:t xml:space="preserve">and requiring covered financial institutions to obtain and retain </w:t>
      </w:r>
      <w:r w:rsidRPr="00AE5D57">
        <w:t>records concerning owners of foreign banks and agen</w:t>
      </w:r>
      <w:r w:rsidR="00472F9C">
        <w:t>ts for service of legal process.</w:t>
      </w:r>
      <w:r w:rsidR="00680EF6">
        <w:t xml:space="preserve">  In response to the notice, FinCEN received </w:t>
      </w:r>
      <w:r w:rsidR="00003FF7">
        <w:t xml:space="preserve">four </w:t>
      </w:r>
      <w:r w:rsidR="00680EF6">
        <w:t>comments</w:t>
      </w:r>
      <w:r w:rsidR="00AD3157">
        <w:t>;</w:t>
      </w:r>
      <w:r w:rsidR="00003FF7">
        <w:t xml:space="preserve"> however</w:t>
      </w:r>
      <w:r w:rsidR="003D78C7">
        <w:t>, none of the comments made recommendations regarding</w:t>
      </w:r>
      <w:r w:rsidR="00003FF7">
        <w:t xml:space="preserve"> the regulation being renewed</w:t>
      </w:r>
      <w:r w:rsidR="003D78C7">
        <w:t>, or related to the corresponding burden of that regulation</w:t>
      </w:r>
      <w:r w:rsidR="00680EF6">
        <w:t>.</w:t>
      </w:r>
    </w:p>
    <w:p w:rsidR="009568C8" w:rsidP="009467D9" w:rsidRDefault="009568C8" w14:paraId="445C2754" w14:textId="77777777">
      <w:pPr>
        <w:pStyle w:val="BodyText2"/>
        <w:ind w:firstLine="720"/>
      </w:pPr>
    </w:p>
    <w:p w:rsidRPr="009568C8" w:rsidR="009568C8" w:rsidP="009467D9" w:rsidRDefault="009568C8" w14:paraId="1E5D8CF9" w14:textId="77777777">
      <w:pPr>
        <w:rPr>
          <w:rFonts w:ascii="Times New Roman" w:hAnsi="Times New Roman"/>
          <w:sz w:val="24"/>
          <w:u w:val="single"/>
        </w:rPr>
      </w:pPr>
      <w:r w:rsidRPr="009568C8">
        <w:rPr>
          <w:rFonts w:ascii="Times New Roman" w:hAnsi="Times New Roman"/>
          <w:sz w:val="24"/>
        </w:rPr>
        <w:t xml:space="preserve">9. </w:t>
      </w:r>
      <w:r w:rsidRPr="009568C8">
        <w:rPr>
          <w:rFonts w:ascii="Times New Roman" w:hAnsi="Times New Roman"/>
          <w:sz w:val="24"/>
          <w:u w:val="single"/>
        </w:rPr>
        <w:t>Explanation of decision to provide any pa</w:t>
      </w:r>
      <w:r w:rsidR="00916F04">
        <w:rPr>
          <w:rFonts w:ascii="Times New Roman" w:hAnsi="Times New Roman"/>
          <w:sz w:val="24"/>
          <w:u w:val="single"/>
        </w:rPr>
        <w:t>yment or gift to respondents</w:t>
      </w:r>
      <w:r w:rsidR="00C26A03">
        <w:rPr>
          <w:rFonts w:ascii="Times New Roman" w:hAnsi="Times New Roman"/>
          <w:sz w:val="24"/>
          <w:u w:val="single"/>
        </w:rPr>
        <w:t>.</w:t>
      </w:r>
    </w:p>
    <w:p w:rsidRPr="009568C8" w:rsidR="009568C8" w:rsidP="009467D9" w:rsidRDefault="009568C8" w14:paraId="05F5DC91" w14:textId="77777777">
      <w:pPr>
        <w:rPr>
          <w:rFonts w:ascii="Times New Roman" w:hAnsi="Times New Roman"/>
          <w:sz w:val="24"/>
          <w:u w:val="single"/>
        </w:rPr>
      </w:pPr>
    </w:p>
    <w:p w:rsidRPr="009568C8" w:rsidR="009568C8" w:rsidP="009467D9" w:rsidRDefault="009568C8" w14:paraId="441B4B51" w14:textId="77777777">
      <w:pPr>
        <w:ind w:firstLine="720"/>
        <w:rPr>
          <w:rFonts w:ascii="Times New Roman" w:hAnsi="Times New Roman"/>
          <w:sz w:val="24"/>
        </w:rPr>
      </w:pPr>
      <w:r w:rsidRPr="009568C8">
        <w:rPr>
          <w:rFonts w:ascii="Times New Roman" w:hAnsi="Times New Roman"/>
          <w:sz w:val="24"/>
        </w:rPr>
        <w:t>No payments or gifts were made to respondents.</w:t>
      </w:r>
    </w:p>
    <w:p w:rsidR="009B67ED" w:rsidP="009467D9" w:rsidRDefault="009B67ED" w14:paraId="66253572" w14:textId="77777777">
      <w:pPr>
        <w:rPr>
          <w:rFonts w:ascii="Times New Roman" w:hAnsi="Times New Roman"/>
          <w:sz w:val="24"/>
        </w:rPr>
      </w:pPr>
    </w:p>
    <w:p w:rsidR="00565F27" w:rsidP="009B67ED" w:rsidRDefault="00374CD1" w14:paraId="3C803A25" w14:textId="77777777">
      <w:pPr>
        <w:pStyle w:val="BodyText2"/>
      </w:pPr>
      <w:r>
        <w:t xml:space="preserve">10. </w:t>
      </w:r>
      <w:r w:rsidR="00155EB1">
        <w:rPr>
          <w:u w:val="single"/>
        </w:rPr>
        <w:t xml:space="preserve">Assurance </w:t>
      </w:r>
      <w:r w:rsidR="006B2873">
        <w:rPr>
          <w:u w:val="single"/>
        </w:rPr>
        <w:t>of confidentiality of responses</w:t>
      </w:r>
      <w:r w:rsidR="00C26A03">
        <w:rPr>
          <w:u w:val="single"/>
        </w:rPr>
        <w:t>.</w:t>
      </w:r>
      <w:r w:rsidR="006B2873">
        <w:t xml:space="preserve">  </w:t>
      </w:r>
    </w:p>
    <w:p w:rsidR="009B67ED" w:rsidP="009B67ED" w:rsidRDefault="009B67ED" w14:paraId="1E436E37" w14:textId="77777777">
      <w:pPr>
        <w:pStyle w:val="BodyText2"/>
      </w:pPr>
    </w:p>
    <w:p w:rsidR="009568C8" w:rsidP="00680EF6" w:rsidRDefault="009B67ED" w14:paraId="1BE8067B" w14:textId="77777777">
      <w:pPr>
        <w:pStyle w:val="BodyText2"/>
        <w:ind w:firstLine="720"/>
      </w:pPr>
      <w:r w:rsidRPr="009B67ED">
        <w:t>Information retained under the regulations implementing the BSA may be made available to FinCEN and appropriate government agencies upon their request or as part of an examination or investigation.</w:t>
      </w:r>
    </w:p>
    <w:p w:rsidR="003266A8" w:rsidP="009B67ED" w:rsidRDefault="003266A8" w14:paraId="6E9BF89C" w14:textId="74FB6AEB">
      <w:pPr>
        <w:rPr>
          <w:rFonts w:ascii="Times New Roman" w:hAnsi="Times New Roman"/>
          <w:sz w:val="24"/>
        </w:rPr>
      </w:pPr>
    </w:p>
    <w:p w:rsidR="00565F27" w:rsidP="009B67ED" w:rsidRDefault="00374CD1" w14:paraId="43F4E779" w14:textId="26002519">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 xml:space="preserve">Justification </w:t>
      </w:r>
      <w:r w:rsidR="006B2873">
        <w:rPr>
          <w:rFonts w:ascii="Times New Roman" w:hAnsi="Times New Roman"/>
          <w:sz w:val="24"/>
          <w:u w:val="single"/>
        </w:rPr>
        <w:t>of sensitive questions</w:t>
      </w:r>
      <w:r w:rsidR="00C26A03">
        <w:rPr>
          <w:rFonts w:ascii="Times New Roman" w:hAnsi="Times New Roman"/>
          <w:sz w:val="24"/>
          <w:u w:val="single"/>
        </w:rPr>
        <w:t>.</w:t>
      </w:r>
      <w:r w:rsidR="006B2873">
        <w:rPr>
          <w:rFonts w:ascii="Times New Roman" w:hAnsi="Times New Roman"/>
          <w:sz w:val="24"/>
        </w:rPr>
        <w:t xml:space="preserve">  </w:t>
      </w:r>
    </w:p>
    <w:p w:rsidR="00565F27" w:rsidP="009467D9" w:rsidRDefault="00565F27" w14:paraId="2560DCD5" w14:textId="77777777">
      <w:pPr>
        <w:ind w:left="360"/>
        <w:rPr>
          <w:rFonts w:ascii="Times New Roman" w:hAnsi="Times New Roman"/>
          <w:sz w:val="24"/>
        </w:rPr>
      </w:pPr>
    </w:p>
    <w:p w:rsidR="00174A54" w:rsidP="006B186B" w:rsidRDefault="00FF716F" w14:paraId="58DF729E" w14:textId="07876206">
      <w:pPr>
        <w:ind w:firstLine="720"/>
        <w:rPr>
          <w:rFonts w:ascii="Times New Roman" w:hAnsi="Times New Roman"/>
          <w:sz w:val="24"/>
        </w:rPr>
      </w:pPr>
      <w:r w:rsidRPr="006B186B">
        <w:rPr>
          <w:rFonts w:ascii="Times New Roman" w:hAnsi="Times New Roman"/>
          <w:sz w:val="24"/>
        </w:rPr>
        <w:t xml:space="preserve">There are no questions of a sensitive nature in the collection of information.  Any personally identifiable information collected under the BSA is strictly controlled as outlined in FinCEN’s Systems of Records Notice.  </w:t>
      </w:r>
      <w:r w:rsidRPr="006B186B">
        <w:rPr>
          <w:rFonts w:ascii="Times New Roman" w:hAnsi="Times New Roman"/>
          <w:i/>
          <w:sz w:val="24"/>
        </w:rPr>
        <w:t>See</w:t>
      </w:r>
      <w:r w:rsidRPr="006B186B">
        <w:rPr>
          <w:rFonts w:ascii="Times New Roman" w:hAnsi="Times New Roman"/>
          <w:color w:val="1F497D"/>
          <w:sz w:val="24"/>
        </w:rPr>
        <w:t xml:space="preserve"> </w:t>
      </w:r>
      <w:hyperlink w:history="1" r:id="rId18">
        <w:r w:rsidRPr="006B186B">
          <w:rPr>
            <w:rStyle w:val="Hyperlink"/>
            <w:rFonts w:ascii="Times New Roman" w:hAnsi="Times New Roman"/>
            <w:sz w:val="24"/>
          </w:rPr>
          <w:t>https://www.gpo.gov/fdsys/pkg/FR-2014-04-14/pdf/2014-08254.pdf</w:t>
        </w:r>
      </w:hyperlink>
      <w:r w:rsidRPr="006B186B">
        <w:rPr>
          <w:rFonts w:ascii="Times New Roman" w:hAnsi="Times New Roman"/>
          <w:sz w:val="24"/>
        </w:rPr>
        <w:t xml:space="preserve">. </w:t>
      </w:r>
      <w:bookmarkStart w:name="_GoBack" w:id="6"/>
      <w:bookmarkEnd w:id="6"/>
    </w:p>
    <w:p w:rsidRPr="006B186B" w:rsidR="006B186B" w:rsidP="006B186B" w:rsidRDefault="006B186B" w14:paraId="6FC845A3" w14:textId="77777777">
      <w:pPr>
        <w:ind w:firstLine="720"/>
        <w:rPr>
          <w:rFonts w:ascii="Times New Roman" w:hAnsi="Times New Roman"/>
          <w:sz w:val="24"/>
        </w:rPr>
      </w:pPr>
    </w:p>
    <w:p w:rsidR="00174A54" w:rsidP="009467D9" w:rsidRDefault="00174A54" w14:paraId="0F3CEB2C" w14:textId="77777777">
      <w:pPr>
        <w:rPr>
          <w:rFonts w:ascii="Times New Roman" w:hAnsi="Times New Roman"/>
          <w:sz w:val="24"/>
          <w:u w:val="single"/>
        </w:rPr>
      </w:pPr>
      <w:r w:rsidRPr="006B186B">
        <w:rPr>
          <w:rFonts w:ascii="Times New Roman" w:hAnsi="Times New Roman"/>
          <w:sz w:val="24"/>
        </w:rPr>
        <w:lastRenderedPageBreak/>
        <w:t>12</w:t>
      </w:r>
      <w:r w:rsidRPr="006B186B" w:rsidR="003302C2">
        <w:rPr>
          <w:rFonts w:ascii="Times New Roman" w:hAnsi="Times New Roman"/>
          <w:sz w:val="24"/>
        </w:rPr>
        <w:t>.</w:t>
      </w:r>
      <w:r w:rsidRPr="006B186B">
        <w:rPr>
          <w:rFonts w:ascii="Times New Roman" w:hAnsi="Times New Roman"/>
          <w:sz w:val="24"/>
        </w:rPr>
        <w:t xml:space="preserve">  </w:t>
      </w:r>
      <w:r w:rsidRPr="006B186B">
        <w:rPr>
          <w:rFonts w:ascii="Times New Roman" w:hAnsi="Times New Roman"/>
          <w:sz w:val="24"/>
          <w:u w:val="single"/>
        </w:rPr>
        <w:t xml:space="preserve">Estimated </w:t>
      </w:r>
      <w:r w:rsidRPr="006B186B" w:rsidR="003302C2">
        <w:rPr>
          <w:rFonts w:ascii="Times New Roman" w:hAnsi="Times New Roman"/>
          <w:sz w:val="24"/>
          <w:u w:val="single"/>
        </w:rPr>
        <w:t>annual hourly burden.</w:t>
      </w:r>
    </w:p>
    <w:p w:rsidR="007B71B9" w:rsidP="009467D9" w:rsidRDefault="007B71B9" w14:paraId="2F16AD4F" w14:textId="77777777">
      <w:pPr>
        <w:rPr>
          <w:rFonts w:ascii="Times New Roman" w:hAnsi="Times New Roman"/>
          <w:sz w:val="24"/>
          <w:u w:val="single"/>
        </w:rPr>
      </w:pPr>
    </w:p>
    <w:p w:rsidR="005325B3" w:rsidP="009467D9" w:rsidRDefault="005325B3" w14:paraId="14037DA1" w14:textId="77777777">
      <w:pPr>
        <w:rPr>
          <w:rFonts w:ascii="Times New Roman" w:hAnsi="Times New Roman"/>
          <w:sz w:val="24"/>
        </w:rPr>
      </w:pPr>
      <w:r w:rsidRPr="005325B3">
        <w:rPr>
          <w:rFonts w:ascii="Times New Roman" w:hAnsi="Times New Roman"/>
          <w:sz w:val="24"/>
          <w:u w:val="single"/>
        </w:rPr>
        <w:t>Frequency</w:t>
      </w:r>
      <w:r w:rsidRPr="003302C2">
        <w:rPr>
          <w:rFonts w:ascii="Times New Roman" w:hAnsi="Times New Roman"/>
          <w:sz w:val="24"/>
        </w:rPr>
        <w:t xml:space="preserve">: </w:t>
      </w:r>
      <w:r w:rsidR="003302C2">
        <w:rPr>
          <w:rFonts w:ascii="Times New Roman" w:hAnsi="Times New Roman"/>
          <w:sz w:val="24"/>
        </w:rPr>
        <w:t xml:space="preserve"> </w:t>
      </w:r>
      <w:r w:rsidRPr="003302C2">
        <w:rPr>
          <w:rFonts w:ascii="Times New Roman" w:hAnsi="Times New Roman"/>
          <w:sz w:val="24"/>
        </w:rPr>
        <w:t>As required.</w:t>
      </w:r>
    </w:p>
    <w:p w:rsidR="005325B3" w:rsidP="009467D9" w:rsidRDefault="005325B3" w14:paraId="64F7395E" w14:textId="77777777">
      <w:pPr>
        <w:rPr>
          <w:rFonts w:ascii="Times New Roman" w:hAnsi="Times New Roman"/>
          <w:sz w:val="24"/>
        </w:rPr>
      </w:pPr>
    </w:p>
    <w:p w:rsidR="005325B3" w:rsidP="009467D9" w:rsidRDefault="005325B3" w14:paraId="7B60A79B" w14:textId="77777777">
      <w:pPr>
        <w:rPr>
          <w:rFonts w:ascii="Times New Roman" w:hAnsi="Times New Roman"/>
          <w:sz w:val="24"/>
        </w:rPr>
      </w:pPr>
      <w:r w:rsidRPr="005325B3">
        <w:rPr>
          <w:rFonts w:ascii="Times New Roman" w:hAnsi="Times New Roman"/>
          <w:sz w:val="24"/>
          <w:u w:val="single"/>
        </w:rPr>
        <w:t>Estimated Number of Respondents:</w:t>
      </w:r>
      <w:r w:rsidRPr="005325B3">
        <w:rPr>
          <w:rFonts w:ascii="Times New Roman" w:hAnsi="Times New Roman"/>
          <w:sz w:val="24"/>
        </w:rPr>
        <w:t xml:space="preserve">  8,696</w:t>
      </w:r>
      <w:r w:rsidR="003302C2">
        <w:rPr>
          <w:rFonts w:ascii="Times New Roman" w:hAnsi="Times New Roman"/>
          <w:sz w:val="24"/>
        </w:rPr>
        <w:t xml:space="preserve"> covered financial institutions.</w:t>
      </w:r>
      <w:r w:rsidRPr="00D12D22" w:rsidR="00D12D22">
        <w:rPr>
          <w:rFonts w:ascii="Times New Roman" w:hAnsi="Times New Roman"/>
          <w:sz w:val="24"/>
          <w:vertAlign w:val="superscript"/>
        </w:rPr>
        <w:footnoteReference w:id="15"/>
      </w:r>
      <w:r w:rsidRPr="00D12D22" w:rsidR="00D12D22">
        <w:rPr>
          <w:rFonts w:ascii="Times New Roman" w:hAnsi="Times New Roman"/>
          <w:sz w:val="24"/>
          <w:vertAlign w:val="superscript"/>
        </w:rPr>
        <w:t xml:space="preserve">, </w:t>
      </w:r>
      <w:r w:rsidRPr="00D12D22" w:rsidR="00D12D22">
        <w:rPr>
          <w:rFonts w:ascii="Times New Roman" w:hAnsi="Times New Roman"/>
          <w:sz w:val="24"/>
          <w:vertAlign w:val="superscript"/>
        </w:rPr>
        <w:footnoteReference w:id="16"/>
      </w:r>
    </w:p>
    <w:p w:rsidR="003266A8" w:rsidP="009467D9" w:rsidRDefault="003266A8" w14:paraId="198E3173" w14:textId="77777777">
      <w:pPr>
        <w:rPr>
          <w:rFonts w:ascii="Times New Roman" w:hAnsi="Times New Roman"/>
          <w:sz w:val="24"/>
        </w:rPr>
      </w:pPr>
    </w:p>
    <w:p w:rsidRPr="006A08F8" w:rsidR="006B186B" w:rsidP="009467D9" w:rsidRDefault="006A2040" w14:paraId="1BE41472" w14:textId="2B2DF4B0">
      <w:pPr>
        <w:rPr>
          <w:rFonts w:ascii="Times New Roman" w:hAnsi="Times New Roman"/>
          <w:b/>
          <w:sz w:val="24"/>
        </w:rPr>
      </w:pPr>
      <w:r>
        <w:rPr>
          <w:rFonts w:ascii="Times New Roman" w:hAnsi="Times New Roman"/>
          <w:b/>
          <w:sz w:val="24"/>
        </w:rPr>
        <w:t xml:space="preserve">Table 1 - </w:t>
      </w:r>
      <w:r w:rsidRPr="006A08F8" w:rsidR="005325B3">
        <w:rPr>
          <w:rFonts w:ascii="Times New Roman" w:hAnsi="Times New Roman"/>
          <w:b/>
          <w:sz w:val="24"/>
        </w:rPr>
        <w:t xml:space="preserve">Burden associated with each portion of the traditional annual </w:t>
      </w:r>
      <w:r>
        <w:rPr>
          <w:rFonts w:ascii="Times New Roman" w:hAnsi="Times New Roman"/>
          <w:b/>
          <w:sz w:val="24"/>
        </w:rPr>
        <w:t>Paperwork Reduction Act of 1995 (</w:t>
      </w:r>
      <w:r w:rsidRPr="006A08F8" w:rsidR="005325B3">
        <w:rPr>
          <w:rFonts w:ascii="Times New Roman" w:hAnsi="Times New Roman"/>
          <w:b/>
          <w:sz w:val="24"/>
        </w:rPr>
        <w:t>PRA</w:t>
      </w:r>
      <w:r>
        <w:rPr>
          <w:rFonts w:ascii="Times New Roman" w:hAnsi="Times New Roman"/>
          <w:b/>
          <w:sz w:val="24"/>
        </w:rPr>
        <w:t>)</w:t>
      </w:r>
      <w:r w:rsidRPr="006A08F8" w:rsidR="005325B3">
        <w:rPr>
          <w:rFonts w:ascii="Times New Roman" w:hAnsi="Times New Roman"/>
          <w:b/>
          <w:sz w:val="24"/>
        </w:rPr>
        <w:t xml:space="preserve"> estimate</w:t>
      </w:r>
      <w:r>
        <w:rPr>
          <w:rFonts w:ascii="Times New Roman" w:hAnsi="Times New Roman"/>
          <w:b/>
          <w:sz w:val="24"/>
        </w:rPr>
        <w:t xml:space="preserve"> as noted in the 60-day notice published in the Federal Register</w:t>
      </w:r>
    </w:p>
    <w:tbl>
      <w:tblPr>
        <w:tblStyle w:val="TableGrid1"/>
        <w:tblW w:w="10071" w:type="dxa"/>
        <w:tblInd w:w="-5" w:type="dxa"/>
        <w:tblLook w:val="04A0" w:firstRow="1" w:lastRow="0" w:firstColumn="1" w:lastColumn="0" w:noHBand="0" w:noVBand="1"/>
      </w:tblPr>
      <w:tblGrid>
        <w:gridCol w:w="1721"/>
        <w:gridCol w:w="1720"/>
        <w:gridCol w:w="1809"/>
        <w:gridCol w:w="1720"/>
        <w:gridCol w:w="1809"/>
        <w:gridCol w:w="1292"/>
      </w:tblGrid>
      <w:tr w:rsidRPr="00BD78E7" w:rsidR="005325B3" w:rsidTr="006A08F8" w14:paraId="354C4FD3" w14:textId="77777777">
        <w:trPr>
          <w:tblHeader/>
        </w:trPr>
        <w:tc>
          <w:tcPr>
            <w:tcW w:w="1721" w:type="dxa"/>
            <w:vMerge w:val="restart"/>
            <w:shd w:val="clear" w:color="auto" w:fill="E7E6E6" w:themeFill="background2"/>
            <w:vAlign w:val="center"/>
          </w:tcPr>
          <w:p w:rsidRPr="00BD78E7" w:rsidR="005325B3" w:rsidP="00D47594" w:rsidRDefault="005325B3" w14:paraId="2BD442EF" w14:textId="77777777">
            <w:pPr>
              <w:rPr>
                <w:rFonts w:ascii="Times New Roman" w:hAnsi="Times New Roman" w:cs="Times New Roman"/>
                <w:b/>
              </w:rPr>
            </w:pPr>
            <w:r>
              <w:rPr>
                <w:rFonts w:ascii="Times New Roman" w:hAnsi="Times New Roman" w:cs="Times New Roman"/>
                <w:b/>
              </w:rPr>
              <w:t>Estimated Number of Covered Financial Institutions with One or More Correspondent Accounts for Foreign Banks</w:t>
            </w:r>
          </w:p>
        </w:tc>
        <w:tc>
          <w:tcPr>
            <w:tcW w:w="3529" w:type="dxa"/>
            <w:gridSpan w:val="2"/>
            <w:shd w:val="clear" w:color="auto" w:fill="E7E6E6" w:themeFill="background2"/>
            <w:vAlign w:val="center"/>
          </w:tcPr>
          <w:p w:rsidRPr="00BD78E7" w:rsidR="005325B3" w:rsidP="00D47594" w:rsidRDefault="005325B3" w14:paraId="091891C9" w14:textId="77777777">
            <w:pPr>
              <w:rPr>
                <w:rFonts w:ascii="Times New Roman" w:hAnsi="Times New Roman" w:cs="Times New Roman"/>
                <w:b/>
              </w:rPr>
            </w:pPr>
            <w:r w:rsidRPr="00BD78E7">
              <w:rPr>
                <w:rFonts w:ascii="Times New Roman" w:hAnsi="Times New Roman" w:cs="Times New Roman"/>
                <w:b/>
              </w:rPr>
              <w:t xml:space="preserve">Hourly Burden </w:t>
            </w:r>
            <w:r>
              <w:rPr>
                <w:rFonts w:ascii="Times New Roman" w:hAnsi="Times New Roman" w:cs="Times New Roman"/>
                <w:b/>
              </w:rPr>
              <w:t>to Obtain and Record a Certification or Recertification Per Foreign Bank</w:t>
            </w:r>
          </w:p>
        </w:tc>
        <w:tc>
          <w:tcPr>
            <w:tcW w:w="3529" w:type="dxa"/>
            <w:gridSpan w:val="2"/>
            <w:shd w:val="clear" w:color="auto" w:fill="E7E6E6" w:themeFill="background2"/>
            <w:vAlign w:val="center"/>
          </w:tcPr>
          <w:p w:rsidRPr="00BD78E7" w:rsidR="005325B3" w:rsidP="00D47594" w:rsidRDefault="005325B3" w14:paraId="0E9D8006" w14:textId="77777777">
            <w:pPr>
              <w:rPr>
                <w:rFonts w:ascii="Times New Roman" w:hAnsi="Times New Roman" w:cs="Times New Roman"/>
                <w:b/>
              </w:rPr>
            </w:pPr>
            <w:r w:rsidRPr="00BD78E7">
              <w:rPr>
                <w:rFonts w:ascii="Times New Roman" w:hAnsi="Times New Roman" w:cs="Times New Roman"/>
                <w:b/>
              </w:rPr>
              <w:t xml:space="preserve">Total Burden Hours </w:t>
            </w:r>
            <w:r>
              <w:rPr>
                <w:rFonts w:ascii="Times New Roman" w:hAnsi="Times New Roman" w:cs="Times New Roman"/>
                <w:b/>
              </w:rPr>
              <w:t>for Covered Financial Institutions to Obtain and Record Certification and Recertificaiton Annually</w:t>
            </w:r>
          </w:p>
        </w:tc>
        <w:tc>
          <w:tcPr>
            <w:tcW w:w="1292" w:type="dxa"/>
            <w:vMerge w:val="restart"/>
            <w:shd w:val="clear" w:color="auto" w:fill="E7E6E6" w:themeFill="background2"/>
          </w:tcPr>
          <w:p w:rsidRPr="00BD78E7" w:rsidR="005325B3" w:rsidP="00D47594" w:rsidRDefault="005325B3" w14:paraId="4B451BE7" w14:textId="77777777">
            <w:pPr>
              <w:rPr>
                <w:rFonts w:ascii="Times New Roman" w:hAnsi="Times New Roman" w:cs="Times New Roman"/>
                <w:b/>
              </w:rPr>
            </w:pPr>
            <w:r w:rsidRPr="00BD78E7">
              <w:rPr>
                <w:rFonts w:ascii="Times New Roman" w:hAnsi="Times New Roman" w:cs="Times New Roman"/>
                <w:b/>
              </w:rPr>
              <w:t xml:space="preserve">Grand Total </w:t>
            </w:r>
            <w:r>
              <w:rPr>
                <w:rFonts w:ascii="Times New Roman" w:hAnsi="Times New Roman" w:cs="Times New Roman"/>
                <w:b/>
              </w:rPr>
              <w:t xml:space="preserve">Annual </w:t>
            </w:r>
            <w:r w:rsidRPr="00BD78E7">
              <w:rPr>
                <w:rFonts w:ascii="Times New Roman" w:hAnsi="Times New Roman" w:cs="Times New Roman"/>
                <w:b/>
              </w:rPr>
              <w:t>Burden Hours</w:t>
            </w:r>
            <w:r>
              <w:rPr>
                <w:rFonts w:ascii="Times New Roman" w:hAnsi="Times New Roman" w:cs="Times New Roman"/>
                <w:b/>
              </w:rPr>
              <w:t xml:space="preserve"> for Covered Financial Institutions to Comply with 31 CFR 1010.630</w:t>
            </w:r>
          </w:p>
        </w:tc>
      </w:tr>
      <w:tr w:rsidRPr="00BD78E7" w:rsidR="005325B3" w:rsidTr="006A08F8" w14:paraId="30709504" w14:textId="77777777">
        <w:trPr>
          <w:trHeight w:val="1385"/>
        </w:trPr>
        <w:tc>
          <w:tcPr>
            <w:tcW w:w="1721" w:type="dxa"/>
            <w:vMerge/>
            <w:vAlign w:val="center"/>
          </w:tcPr>
          <w:p w:rsidRPr="00BD78E7" w:rsidR="005325B3" w:rsidP="00D47594" w:rsidRDefault="005325B3" w14:paraId="4B9F2280" w14:textId="77777777">
            <w:pPr>
              <w:jc w:val="center"/>
              <w:rPr>
                <w:rFonts w:ascii="Times New Roman" w:hAnsi="Times New Roman" w:cs="Times New Roman"/>
                <w:b/>
              </w:rPr>
            </w:pPr>
          </w:p>
        </w:tc>
        <w:tc>
          <w:tcPr>
            <w:tcW w:w="1720" w:type="dxa"/>
            <w:shd w:val="clear" w:color="auto" w:fill="E7E6E6" w:themeFill="background2"/>
            <w:vAlign w:val="center"/>
          </w:tcPr>
          <w:p w:rsidRPr="00BD78E7" w:rsidR="005325B3" w:rsidP="00D47594" w:rsidRDefault="005325B3" w14:paraId="32FB61F7" w14:textId="77777777">
            <w:pPr>
              <w:jc w:val="center"/>
              <w:rPr>
                <w:rFonts w:ascii="Times New Roman" w:hAnsi="Times New Roman" w:cs="Times New Roman"/>
                <w:b/>
              </w:rPr>
            </w:pPr>
            <w:r w:rsidRPr="00BD78E7">
              <w:rPr>
                <w:rFonts w:ascii="Times New Roman" w:hAnsi="Times New Roman" w:cs="Times New Roman"/>
                <w:b/>
              </w:rPr>
              <w:t>Certification</w:t>
            </w:r>
            <w:r>
              <w:rPr>
                <w:rFonts w:ascii="Times New Roman" w:hAnsi="Times New Roman" w:cs="Times New Roman"/>
                <w:b/>
              </w:rPr>
              <w:t xml:space="preserve"> and  Recordkeeping</w:t>
            </w:r>
            <w:r w:rsidRPr="00BD78E7">
              <w:rPr>
                <w:rFonts w:ascii="Times New Roman" w:hAnsi="Times New Roman" w:cs="Times New Roman"/>
                <w:b/>
              </w:rPr>
              <w:t xml:space="preserve"> </w:t>
            </w:r>
          </w:p>
        </w:tc>
        <w:tc>
          <w:tcPr>
            <w:tcW w:w="1809" w:type="dxa"/>
            <w:shd w:val="clear" w:color="auto" w:fill="E7E6E6" w:themeFill="background2"/>
            <w:vAlign w:val="center"/>
          </w:tcPr>
          <w:p w:rsidRPr="00BD78E7" w:rsidR="005325B3" w:rsidP="00D47594" w:rsidRDefault="005325B3" w14:paraId="70EA15EC" w14:textId="77777777">
            <w:pPr>
              <w:jc w:val="center"/>
              <w:rPr>
                <w:rFonts w:ascii="Times New Roman" w:hAnsi="Times New Roman" w:cs="Times New Roman"/>
                <w:b/>
              </w:rPr>
            </w:pPr>
            <w:r>
              <w:rPr>
                <w:rFonts w:ascii="Times New Roman" w:hAnsi="Times New Roman" w:cs="Times New Roman"/>
                <w:b/>
              </w:rPr>
              <w:t>Re</w:t>
            </w:r>
            <w:r w:rsidRPr="00BD78E7">
              <w:rPr>
                <w:rFonts w:ascii="Times New Roman" w:hAnsi="Times New Roman" w:cs="Times New Roman"/>
                <w:b/>
              </w:rPr>
              <w:t>certification</w:t>
            </w:r>
            <w:r>
              <w:rPr>
                <w:rFonts w:ascii="Times New Roman" w:hAnsi="Times New Roman" w:cs="Times New Roman"/>
                <w:b/>
              </w:rPr>
              <w:t xml:space="preserve"> and Recordkeeping</w:t>
            </w:r>
          </w:p>
        </w:tc>
        <w:tc>
          <w:tcPr>
            <w:tcW w:w="1720" w:type="dxa"/>
            <w:shd w:val="clear" w:color="auto" w:fill="E7E6E6" w:themeFill="background2"/>
            <w:vAlign w:val="center"/>
          </w:tcPr>
          <w:p w:rsidRPr="00BD78E7" w:rsidR="005325B3" w:rsidP="00D47594" w:rsidRDefault="005325B3" w14:paraId="5F57ECBA" w14:textId="77777777">
            <w:pPr>
              <w:jc w:val="center"/>
              <w:rPr>
                <w:rFonts w:ascii="Times New Roman" w:hAnsi="Times New Roman" w:cs="Times New Roman"/>
                <w:b/>
              </w:rPr>
            </w:pPr>
            <w:r w:rsidRPr="00BD78E7">
              <w:rPr>
                <w:rFonts w:ascii="Times New Roman" w:hAnsi="Times New Roman" w:cs="Times New Roman"/>
                <w:b/>
              </w:rPr>
              <w:t>Certification</w:t>
            </w:r>
            <w:r>
              <w:rPr>
                <w:rFonts w:ascii="Times New Roman" w:hAnsi="Times New Roman" w:cs="Times New Roman"/>
                <w:b/>
              </w:rPr>
              <w:t xml:space="preserve"> and Recordkeeping</w:t>
            </w:r>
          </w:p>
        </w:tc>
        <w:tc>
          <w:tcPr>
            <w:tcW w:w="1809" w:type="dxa"/>
            <w:shd w:val="clear" w:color="auto" w:fill="E7E6E6" w:themeFill="background2"/>
            <w:vAlign w:val="center"/>
          </w:tcPr>
          <w:p w:rsidRPr="00BD78E7" w:rsidR="005325B3" w:rsidP="00D47594" w:rsidRDefault="005325B3" w14:paraId="4B218E49" w14:textId="77777777">
            <w:pPr>
              <w:jc w:val="center"/>
              <w:rPr>
                <w:rFonts w:ascii="Times New Roman" w:hAnsi="Times New Roman" w:cs="Times New Roman"/>
                <w:b/>
              </w:rPr>
            </w:pPr>
            <w:r>
              <w:rPr>
                <w:rFonts w:ascii="Times New Roman" w:hAnsi="Times New Roman" w:cs="Times New Roman"/>
                <w:b/>
              </w:rPr>
              <w:t>Re</w:t>
            </w:r>
            <w:r w:rsidRPr="00BD78E7">
              <w:rPr>
                <w:rFonts w:ascii="Times New Roman" w:hAnsi="Times New Roman" w:cs="Times New Roman"/>
                <w:b/>
              </w:rPr>
              <w:t>certification</w:t>
            </w:r>
            <w:r>
              <w:rPr>
                <w:rFonts w:ascii="Times New Roman" w:hAnsi="Times New Roman" w:cs="Times New Roman"/>
                <w:b/>
              </w:rPr>
              <w:t xml:space="preserve"> and Recordkeeping</w:t>
            </w:r>
          </w:p>
        </w:tc>
        <w:tc>
          <w:tcPr>
            <w:tcW w:w="1292" w:type="dxa"/>
            <w:vMerge/>
          </w:tcPr>
          <w:p w:rsidRPr="00BD78E7" w:rsidR="005325B3" w:rsidP="00D47594" w:rsidRDefault="005325B3" w14:paraId="615C63E1" w14:textId="77777777">
            <w:pPr>
              <w:jc w:val="center"/>
              <w:rPr>
                <w:rFonts w:ascii="Times New Roman" w:hAnsi="Times New Roman" w:cs="Times New Roman"/>
              </w:rPr>
            </w:pPr>
          </w:p>
        </w:tc>
      </w:tr>
      <w:tr w:rsidRPr="00BD78E7" w:rsidR="005325B3" w:rsidTr="006A08F8" w14:paraId="377B2EC8" w14:textId="77777777">
        <w:trPr>
          <w:trHeight w:val="620"/>
        </w:trPr>
        <w:tc>
          <w:tcPr>
            <w:tcW w:w="1721" w:type="dxa"/>
            <w:vAlign w:val="center"/>
          </w:tcPr>
          <w:p w:rsidRPr="00BD78E7" w:rsidR="005325B3" w:rsidP="00D47594" w:rsidRDefault="005325B3" w14:paraId="6A1191F8" w14:textId="77777777">
            <w:pPr>
              <w:jc w:val="center"/>
              <w:rPr>
                <w:rFonts w:ascii="Times New Roman" w:hAnsi="Times New Roman" w:cs="Times New Roman"/>
              </w:rPr>
            </w:pPr>
            <w:r>
              <w:rPr>
                <w:rFonts w:ascii="Times New Roman" w:hAnsi="Times New Roman" w:cs="Times New Roman"/>
              </w:rPr>
              <w:t>8,696</w:t>
            </w:r>
          </w:p>
        </w:tc>
        <w:tc>
          <w:tcPr>
            <w:tcW w:w="1720" w:type="dxa"/>
            <w:vAlign w:val="center"/>
          </w:tcPr>
          <w:p w:rsidRPr="00BD78E7" w:rsidR="005325B3" w:rsidP="00D47594" w:rsidRDefault="005325B3" w14:paraId="3F19B6ED" w14:textId="77777777">
            <w:pPr>
              <w:jc w:val="center"/>
              <w:rPr>
                <w:rFonts w:ascii="Times New Roman" w:hAnsi="Times New Roman" w:cs="Times New Roman"/>
              </w:rPr>
            </w:pPr>
            <w:r>
              <w:rPr>
                <w:rFonts w:ascii="Times New Roman" w:hAnsi="Times New Roman" w:cs="Times New Roman"/>
              </w:rPr>
              <w:t>15</w:t>
            </w:r>
            <w:r w:rsidRPr="00BD78E7">
              <w:rPr>
                <w:rFonts w:ascii="Times New Roman" w:hAnsi="Times New Roman" w:cs="Times New Roman"/>
              </w:rPr>
              <w:t xml:space="preserve"> hours</w:t>
            </w:r>
            <w:r w:rsidRPr="006A08F8" w:rsidR="00AB19B7">
              <w:rPr>
                <w:rStyle w:val="FootnoteReference"/>
                <w:rFonts w:ascii="Times New Roman" w:hAnsi="Times New Roman" w:cs="Times New Roman"/>
                <w:vertAlign w:val="superscript"/>
              </w:rPr>
              <w:footnoteReference w:id="17"/>
            </w:r>
          </w:p>
        </w:tc>
        <w:tc>
          <w:tcPr>
            <w:tcW w:w="1809" w:type="dxa"/>
            <w:vAlign w:val="center"/>
          </w:tcPr>
          <w:p w:rsidRPr="00BD78E7" w:rsidR="005325B3" w:rsidP="00D47594" w:rsidRDefault="005325B3" w14:paraId="588B8826" w14:textId="77777777">
            <w:pPr>
              <w:jc w:val="center"/>
              <w:rPr>
                <w:rFonts w:ascii="Times New Roman" w:hAnsi="Times New Roman" w:cs="Times New Roman"/>
              </w:rPr>
            </w:pPr>
            <w:r>
              <w:rPr>
                <w:rFonts w:ascii="Times New Roman" w:hAnsi="Times New Roman" w:cs="Times New Roman"/>
              </w:rPr>
              <w:t>15</w:t>
            </w:r>
            <w:r w:rsidRPr="00BD78E7">
              <w:rPr>
                <w:rFonts w:ascii="Times New Roman" w:hAnsi="Times New Roman" w:cs="Times New Roman"/>
              </w:rPr>
              <w:t xml:space="preserve"> hours</w:t>
            </w:r>
            <w:r w:rsidRPr="006A08F8" w:rsidR="00AB19B7">
              <w:rPr>
                <w:rStyle w:val="FootnoteReference"/>
                <w:rFonts w:ascii="Times New Roman" w:hAnsi="Times New Roman" w:cs="Times New Roman"/>
                <w:vertAlign w:val="superscript"/>
              </w:rPr>
              <w:footnoteReference w:id="18"/>
            </w:r>
          </w:p>
        </w:tc>
        <w:tc>
          <w:tcPr>
            <w:tcW w:w="1720" w:type="dxa"/>
            <w:vAlign w:val="center"/>
          </w:tcPr>
          <w:p w:rsidRPr="00BD78E7" w:rsidR="005325B3" w:rsidP="00D47594" w:rsidRDefault="005325B3" w14:paraId="7BF302C7" w14:textId="77777777">
            <w:pPr>
              <w:jc w:val="center"/>
              <w:rPr>
                <w:rFonts w:ascii="Times New Roman" w:hAnsi="Times New Roman" w:cs="Times New Roman"/>
              </w:rPr>
            </w:pPr>
            <w:r>
              <w:rPr>
                <w:rFonts w:ascii="Times New Roman" w:hAnsi="Times New Roman" w:cs="Times New Roman"/>
              </w:rPr>
              <w:t>130,440</w:t>
            </w:r>
          </w:p>
        </w:tc>
        <w:tc>
          <w:tcPr>
            <w:tcW w:w="1809" w:type="dxa"/>
            <w:vAlign w:val="center"/>
          </w:tcPr>
          <w:p w:rsidRPr="00BD78E7" w:rsidR="005325B3" w:rsidP="00D47594" w:rsidRDefault="005325B3" w14:paraId="34BE787E" w14:textId="77777777">
            <w:pPr>
              <w:jc w:val="center"/>
              <w:rPr>
                <w:rFonts w:ascii="Times New Roman" w:hAnsi="Times New Roman" w:cs="Times New Roman"/>
              </w:rPr>
            </w:pPr>
            <w:r>
              <w:rPr>
                <w:rFonts w:ascii="Times New Roman" w:hAnsi="Times New Roman" w:cs="Times New Roman"/>
              </w:rPr>
              <w:t>130,440</w:t>
            </w:r>
          </w:p>
        </w:tc>
        <w:tc>
          <w:tcPr>
            <w:tcW w:w="1292" w:type="dxa"/>
            <w:vAlign w:val="center"/>
          </w:tcPr>
          <w:p w:rsidRPr="00BD78E7" w:rsidR="005325B3" w:rsidP="00D47594" w:rsidRDefault="005325B3" w14:paraId="0A213858" w14:textId="77777777">
            <w:pPr>
              <w:jc w:val="center"/>
              <w:rPr>
                <w:rFonts w:ascii="Times New Roman" w:hAnsi="Times New Roman" w:cs="Times New Roman"/>
                <w:color w:val="000000"/>
              </w:rPr>
            </w:pPr>
            <w:r>
              <w:rPr>
                <w:rFonts w:ascii="Times New Roman" w:hAnsi="Times New Roman" w:cs="Times New Roman"/>
                <w:color w:val="000000"/>
              </w:rPr>
              <w:t>260,880</w:t>
            </w:r>
          </w:p>
        </w:tc>
      </w:tr>
    </w:tbl>
    <w:p w:rsidRPr="006B186B" w:rsidR="003266A8" w:rsidP="009467D9" w:rsidRDefault="006A08F8" w14:paraId="0F127B5A" w14:textId="25DF896C">
      <w:pPr>
        <w:rPr>
          <w:rFonts w:ascii="Times New Roman" w:hAnsi="Times New Roman"/>
          <w:sz w:val="24"/>
        </w:rPr>
      </w:pPr>
      <w:r w:rsidRPr="003F633A">
        <w:rPr>
          <w:rFonts w:ascii="Times New Roman" w:hAnsi="Times New Roman"/>
          <w:sz w:val="24"/>
          <w:u w:val="single"/>
        </w:rPr>
        <w:lastRenderedPageBreak/>
        <w:t>Estimated Total Annual Burden Hours</w:t>
      </w:r>
      <w:r w:rsidRPr="005325B3">
        <w:rPr>
          <w:rFonts w:ascii="Times New Roman" w:hAnsi="Times New Roman"/>
          <w:sz w:val="24"/>
        </w:rPr>
        <w:t xml:space="preserve">: </w:t>
      </w:r>
      <w:r>
        <w:rPr>
          <w:rFonts w:ascii="Times New Roman" w:hAnsi="Times New Roman"/>
          <w:sz w:val="24"/>
        </w:rPr>
        <w:t>260,880</w:t>
      </w:r>
    </w:p>
    <w:p w:rsidR="003266A8" w:rsidP="009467D9" w:rsidRDefault="003266A8" w14:paraId="7DF8004E" w14:textId="77777777">
      <w:pPr>
        <w:rPr>
          <w:rFonts w:ascii="Times New Roman" w:hAnsi="Times New Roman"/>
          <w:sz w:val="24"/>
          <w:u w:val="single"/>
        </w:rPr>
      </w:pPr>
    </w:p>
    <w:p w:rsidR="003302C2" w:rsidP="009467D9" w:rsidRDefault="003302C2" w14:paraId="5B4C38E3" w14:textId="77777777">
      <w:pPr>
        <w:rPr>
          <w:rFonts w:ascii="Times New Roman" w:hAnsi="Times New Roman"/>
          <w:sz w:val="24"/>
          <w:u w:val="single"/>
        </w:rPr>
      </w:pPr>
      <w:r w:rsidRPr="0013195E">
        <w:rPr>
          <w:rFonts w:ascii="Times New Roman" w:hAnsi="Times New Roman"/>
          <w:sz w:val="24"/>
        </w:rPr>
        <w:t xml:space="preserve">13. </w:t>
      </w:r>
      <w:r w:rsidRPr="003302C2">
        <w:rPr>
          <w:rFonts w:ascii="Times New Roman" w:hAnsi="Times New Roman"/>
          <w:sz w:val="24"/>
          <w:u w:val="single"/>
        </w:rPr>
        <w:t>Estimated annual cost burden.</w:t>
      </w:r>
    </w:p>
    <w:p w:rsidR="005325B3" w:rsidP="009467D9" w:rsidRDefault="005325B3" w14:paraId="162F3DF3" w14:textId="77777777">
      <w:pPr>
        <w:rPr>
          <w:rFonts w:ascii="Times New Roman" w:hAnsi="Times New Roman"/>
          <w:sz w:val="24"/>
        </w:rPr>
      </w:pPr>
    </w:p>
    <w:p w:rsidRPr="00F4766C" w:rsidR="005325B3" w:rsidP="009467D9" w:rsidRDefault="00D00718" w14:paraId="2D6852D1" w14:textId="77777777">
      <w:pPr>
        <w:rPr>
          <w:rFonts w:ascii="Times New Roman" w:hAnsi="Times New Roman"/>
          <w:b/>
          <w:sz w:val="24"/>
        </w:rPr>
      </w:pPr>
      <w:r>
        <w:rPr>
          <w:rFonts w:ascii="Times New Roman" w:hAnsi="Times New Roman"/>
          <w:b/>
          <w:sz w:val="24"/>
        </w:rPr>
        <w:t xml:space="preserve">Table 2 - </w:t>
      </w:r>
      <w:r w:rsidRPr="005325B3" w:rsidR="005325B3">
        <w:rPr>
          <w:rFonts w:ascii="Times New Roman" w:hAnsi="Times New Roman"/>
          <w:b/>
          <w:sz w:val="24"/>
        </w:rPr>
        <w:t>Total cost of traditional annual PRA burden</w:t>
      </w:r>
    </w:p>
    <w:tbl>
      <w:tblPr>
        <w:tblStyle w:val="TableGrid2"/>
        <w:tblW w:w="9540" w:type="dxa"/>
        <w:tblInd w:w="-5" w:type="dxa"/>
        <w:tblLook w:val="04A0" w:firstRow="1" w:lastRow="0" w:firstColumn="1" w:lastColumn="0" w:noHBand="0" w:noVBand="1"/>
      </w:tblPr>
      <w:tblGrid>
        <w:gridCol w:w="3493"/>
        <w:gridCol w:w="2248"/>
        <w:gridCol w:w="1915"/>
        <w:gridCol w:w="1884"/>
      </w:tblGrid>
      <w:tr w:rsidRPr="005325B3" w:rsidR="005325B3" w:rsidTr="00D47594" w14:paraId="1B59459F" w14:textId="77777777">
        <w:trPr>
          <w:tblHeader/>
        </w:trPr>
        <w:tc>
          <w:tcPr>
            <w:tcW w:w="3493" w:type="dxa"/>
            <w:shd w:val="clear" w:color="auto" w:fill="F2F2F2" w:themeFill="background1" w:themeFillShade="F2"/>
            <w:vAlign w:val="center"/>
          </w:tcPr>
          <w:p w:rsidRPr="005325B3" w:rsidR="005325B3" w:rsidP="005325B3" w:rsidRDefault="005325B3" w14:paraId="163DF6F7" w14:textId="77777777">
            <w:pPr>
              <w:widowControl/>
              <w:autoSpaceDE/>
              <w:autoSpaceDN/>
              <w:adjustRightInd/>
              <w:jc w:val="center"/>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Steps</w:t>
            </w:r>
          </w:p>
        </w:tc>
        <w:tc>
          <w:tcPr>
            <w:tcW w:w="2248" w:type="dxa"/>
            <w:shd w:val="clear" w:color="auto" w:fill="F2F2F2" w:themeFill="background1" w:themeFillShade="F2"/>
          </w:tcPr>
          <w:p w:rsidRPr="005325B3" w:rsidR="005325B3" w:rsidP="005325B3" w:rsidRDefault="005325B3" w14:paraId="62382FCE" w14:textId="77777777">
            <w:pPr>
              <w:widowControl/>
              <w:autoSpaceDE/>
              <w:autoSpaceDN/>
              <w:adjustRightInd/>
              <w:jc w:val="center"/>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Hourly Burden</w:t>
            </w:r>
          </w:p>
        </w:tc>
        <w:tc>
          <w:tcPr>
            <w:tcW w:w="1915" w:type="dxa"/>
            <w:shd w:val="clear" w:color="auto" w:fill="F2F2F2" w:themeFill="background1" w:themeFillShade="F2"/>
            <w:vAlign w:val="center"/>
          </w:tcPr>
          <w:p w:rsidRPr="005325B3" w:rsidR="005325B3" w:rsidP="005325B3" w:rsidRDefault="005325B3" w14:paraId="208ED604" w14:textId="77777777">
            <w:pPr>
              <w:widowControl/>
              <w:autoSpaceDE/>
              <w:autoSpaceDN/>
              <w:adjustRightInd/>
              <w:jc w:val="center"/>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Hourly Cost</w:t>
            </w:r>
          </w:p>
        </w:tc>
        <w:tc>
          <w:tcPr>
            <w:tcW w:w="1884" w:type="dxa"/>
            <w:shd w:val="clear" w:color="auto" w:fill="F2F2F2" w:themeFill="background1" w:themeFillShade="F2"/>
            <w:vAlign w:val="center"/>
          </w:tcPr>
          <w:p w:rsidRPr="005325B3" w:rsidR="005325B3" w:rsidP="005325B3" w:rsidRDefault="005325B3" w14:paraId="22B52BAD" w14:textId="77777777">
            <w:pPr>
              <w:widowControl/>
              <w:autoSpaceDE/>
              <w:autoSpaceDN/>
              <w:adjustRightInd/>
              <w:jc w:val="center"/>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Total Cost</w:t>
            </w:r>
          </w:p>
        </w:tc>
      </w:tr>
      <w:tr w:rsidRPr="005325B3" w:rsidR="005325B3" w:rsidTr="00D47594" w14:paraId="18747CFD" w14:textId="77777777">
        <w:trPr>
          <w:trHeight w:val="339"/>
        </w:trPr>
        <w:tc>
          <w:tcPr>
            <w:tcW w:w="3493" w:type="dxa"/>
            <w:vAlign w:val="center"/>
          </w:tcPr>
          <w:p w:rsidRPr="005325B3" w:rsidR="005325B3" w:rsidRDefault="005325B3" w14:paraId="4AD099F6"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Time taken for covered financial institutions to obtain certification requirements from foreign banks, including recordkeeping.</w:t>
            </w:r>
          </w:p>
        </w:tc>
        <w:tc>
          <w:tcPr>
            <w:tcW w:w="2248" w:type="dxa"/>
            <w:vAlign w:val="center"/>
          </w:tcPr>
          <w:p w:rsidRPr="005325B3" w:rsidR="005325B3" w:rsidRDefault="005325B3" w14:paraId="3FAF4ADC"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130,440</w:t>
            </w:r>
          </w:p>
        </w:tc>
        <w:tc>
          <w:tcPr>
            <w:tcW w:w="1915" w:type="dxa"/>
            <w:vAlign w:val="center"/>
          </w:tcPr>
          <w:p w:rsidRPr="005325B3" w:rsidR="005325B3" w:rsidRDefault="005325B3" w14:paraId="42D7A141"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$96.00</w:t>
            </w:r>
            <w:r w:rsidRPr="00D12D22" w:rsidR="00D12D22">
              <w:rPr>
                <w:rFonts w:ascii="Times New Roman" w:hAnsi="Times New Roman" w:eastAsia="Times New Roman" w:cs="Times New Roman"/>
                <w:szCs w:val="22"/>
                <w:vertAlign w:val="superscript"/>
                <w:lang w:val="en-US"/>
              </w:rPr>
              <w:footnoteReference w:id="19"/>
            </w:r>
          </w:p>
        </w:tc>
        <w:tc>
          <w:tcPr>
            <w:tcW w:w="1884" w:type="dxa"/>
            <w:vAlign w:val="center"/>
          </w:tcPr>
          <w:p w:rsidRPr="005325B3" w:rsidR="005325B3" w:rsidP="005325B3" w:rsidRDefault="005325B3" w14:paraId="65521174" w14:textId="77777777">
            <w:pPr>
              <w:widowControl/>
              <w:autoSpaceDE/>
              <w:autoSpaceDN/>
              <w:adjustRightInd/>
              <w:jc w:val="right"/>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$12,522,240</w:t>
            </w:r>
          </w:p>
        </w:tc>
      </w:tr>
      <w:tr w:rsidRPr="005325B3" w:rsidR="005325B3" w:rsidTr="00D47594" w14:paraId="167B418C" w14:textId="77777777">
        <w:trPr>
          <w:trHeight w:val="339"/>
        </w:trPr>
        <w:tc>
          <w:tcPr>
            <w:tcW w:w="3493" w:type="dxa"/>
            <w:vAlign w:val="center"/>
          </w:tcPr>
          <w:p w:rsidRPr="005325B3" w:rsidR="005325B3" w:rsidRDefault="005325B3" w14:paraId="47EBB453"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Time taken for covered financial institutions to obtain recertification requirements from foreign banks, including recordkeeping</w:t>
            </w:r>
            <w:r w:rsidR="00D12D22">
              <w:rPr>
                <w:rFonts w:ascii="Times New Roman" w:hAnsi="Times New Roman" w:eastAsia="Times New Roman" w:cs="Times New Roman"/>
                <w:szCs w:val="22"/>
                <w:lang w:val="en-US"/>
              </w:rPr>
              <w:t>.</w:t>
            </w:r>
          </w:p>
        </w:tc>
        <w:tc>
          <w:tcPr>
            <w:tcW w:w="2248" w:type="dxa"/>
            <w:vAlign w:val="center"/>
          </w:tcPr>
          <w:p w:rsidRPr="005325B3" w:rsidR="005325B3" w:rsidRDefault="005325B3" w14:paraId="3871B9C2"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130,440</w:t>
            </w:r>
          </w:p>
        </w:tc>
        <w:tc>
          <w:tcPr>
            <w:tcW w:w="1915" w:type="dxa"/>
            <w:vAlign w:val="center"/>
          </w:tcPr>
          <w:p w:rsidRPr="005325B3" w:rsidR="005325B3" w:rsidRDefault="005325B3" w14:paraId="7DF006A3" w14:textId="77777777">
            <w:pPr>
              <w:widowControl/>
              <w:autoSpaceDE/>
              <w:autoSpaceDN/>
              <w:adjustRightInd/>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$96.00</w:t>
            </w:r>
            <w:r w:rsidRPr="00D12D22" w:rsidR="00D12D22">
              <w:rPr>
                <w:rFonts w:ascii="Times New Roman" w:hAnsi="Times New Roman" w:eastAsia="Times New Roman" w:cs="Times New Roman"/>
                <w:szCs w:val="22"/>
                <w:vertAlign w:val="superscript"/>
                <w:lang w:val="en-US"/>
              </w:rPr>
              <w:footnoteReference w:id="20"/>
            </w:r>
          </w:p>
        </w:tc>
        <w:tc>
          <w:tcPr>
            <w:tcW w:w="1884" w:type="dxa"/>
            <w:vAlign w:val="center"/>
          </w:tcPr>
          <w:p w:rsidRPr="005325B3" w:rsidR="005325B3" w:rsidP="005325B3" w:rsidRDefault="005325B3" w14:paraId="7C3BA022" w14:textId="77777777">
            <w:pPr>
              <w:widowControl/>
              <w:autoSpaceDE/>
              <w:autoSpaceDN/>
              <w:adjustRightInd/>
              <w:jc w:val="right"/>
              <w:rPr>
                <w:rFonts w:ascii="Times New Roman" w:hAnsi="Times New Roman" w:eastAsia="Times New Roman" w:cs="Times New Roman"/>
                <w:szCs w:val="22"/>
                <w:lang w:val="en-US"/>
              </w:rPr>
            </w:pPr>
            <w:r w:rsidRPr="005325B3">
              <w:rPr>
                <w:rFonts w:ascii="Times New Roman" w:hAnsi="Times New Roman" w:eastAsia="Times New Roman" w:cs="Times New Roman"/>
                <w:szCs w:val="22"/>
                <w:lang w:val="en-US"/>
              </w:rPr>
              <w:t>$12,522,240</w:t>
            </w:r>
          </w:p>
        </w:tc>
      </w:tr>
      <w:tr w:rsidRPr="005325B3" w:rsidR="005325B3" w:rsidTr="00D47594" w14:paraId="49DA4899" w14:textId="77777777">
        <w:trPr>
          <w:trHeight w:val="339"/>
        </w:trPr>
        <w:tc>
          <w:tcPr>
            <w:tcW w:w="7656" w:type="dxa"/>
            <w:gridSpan w:val="3"/>
          </w:tcPr>
          <w:p w:rsidRPr="005325B3" w:rsidR="005325B3" w:rsidP="005325B3" w:rsidRDefault="005325B3" w14:paraId="118E61D1" w14:textId="77777777">
            <w:pPr>
              <w:widowControl/>
              <w:autoSpaceDE/>
              <w:autoSpaceDN/>
              <w:adjustRightInd/>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 xml:space="preserve">Total </w:t>
            </w:r>
            <w:r w:rsidR="000F2DE0">
              <w:rPr>
                <w:rFonts w:ascii="Times New Roman" w:hAnsi="Times New Roman" w:eastAsia="Times New Roman" w:cs="Times New Roman"/>
                <w:b/>
                <w:szCs w:val="22"/>
                <w:lang w:val="en-US"/>
              </w:rPr>
              <w:t>C</w:t>
            </w:r>
            <w:r w:rsidRPr="005325B3">
              <w:rPr>
                <w:rFonts w:ascii="Times New Roman" w:hAnsi="Times New Roman" w:eastAsia="Times New Roman" w:cs="Times New Roman"/>
                <w:b/>
                <w:szCs w:val="22"/>
                <w:lang w:val="en-US"/>
              </w:rPr>
              <w:t>ost</w:t>
            </w:r>
          </w:p>
        </w:tc>
        <w:tc>
          <w:tcPr>
            <w:tcW w:w="1884" w:type="dxa"/>
            <w:vAlign w:val="center"/>
          </w:tcPr>
          <w:p w:rsidRPr="005325B3" w:rsidR="005325B3" w:rsidP="005325B3" w:rsidRDefault="005325B3" w14:paraId="1E4B4D1E" w14:textId="77777777">
            <w:pPr>
              <w:widowControl/>
              <w:autoSpaceDE/>
              <w:autoSpaceDN/>
              <w:adjustRightInd/>
              <w:jc w:val="right"/>
              <w:rPr>
                <w:rFonts w:ascii="Times New Roman" w:hAnsi="Times New Roman" w:eastAsia="Times New Roman" w:cs="Times New Roman"/>
                <w:b/>
                <w:szCs w:val="22"/>
                <w:lang w:val="en-US"/>
              </w:rPr>
            </w:pPr>
            <w:r w:rsidRPr="005325B3">
              <w:rPr>
                <w:rFonts w:ascii="Times New Roman" w:hAnsi="Times New Roman" w:eastAsia="Times New Roman" w:cs="Times New Roman"/>
                <w:b/>
                <w:szCs w:val="22"/>
                <w:lang w:val="en-US"/>
              </w:rPr>
              <w:t>$25,044,480</w:t>
            </w:r>
          </w:p>
        </w:tc>
      </w:tr>
    </w:tbl>
    <w:p w:rsidR="00F4766C" w:rsidP="008354E4" w:rsidRDefault="00F4766C" w14:paraId="561FE11C" w14:textId="77777777">
      <w:pPr>
        <w:rPr>
          <w:rFonts w:ascii="Times New Roman" w:hAnsi="Times New Roman"/>
          <w:sz w:val="24"/>
          <w:u w:val="single"/>
        </w:rPr>
      </w:pPr>
    </w:p>
    <w:p w:rsidR="008354E4" w:rsidP="008354E4" w:rsidRDefault="008354E4" w14:paraId="200BCC9C" w14:textId="77777777">
      <w:pPr>
        <w:rPr>
          <w:rFonts w:ascii="Times New Roman" w:hAnsi="Times New Roman"/>
          <w:sz w:val="24"/>
        </w:rPr>
      </w:pPr>
      <w:r w:rsidRPr="005325B3">
        <w:rPr>
          <w:rFonts w:ascii="Times New Roman" w:hAnsi="Times New Roman"/>
          <w:sz w:val="24"/>
          <w:u w:val="single"/>
        </w:rPr>
        <w:t>Estimated Total Annual Cost:</w:t>
      </w:r>
      <w:r w:rsidRPr="005325B3">
        <w:rPr>
          <w:rFonts w:ascii="Times New Roman" w:hAnsi="Times New Roman"/>
          <w:sz w:val="24"/>
        </w:rPr>
        <w:t xml:space="preserve"> </w:t>
      </w:r>
      <w:r w:rsidR="008F2203">
        <w:rPr>
          <w:rFonts w:ascii="Times New Roman" w:hAnsi="Times New Roman"/>
          <w:sz w:val="24"/>
        </w:rPr>
        <w:t xml:space="preserve"> </w:t>
      </w:r>
      <w:r w:rsidRPr="005325B3">
        <w:rPr>
          <w:rFonts w:ascii="Times New Roman" w:hAnsi="Times New Roman"/>
          <w:sz w:val="24"/>
        </w:rPr>
        <w:t>$</w:t>
      </w:r>
      <w:r>
        <w:rPr>
          <w:rFonts w:ascii="Times New Roman" w:hAnsi="Times New Roman"/>
          <w:sz w:val="24"/>
        </w:rPr>
        <w:t>25,044,480</w:t>
      </w:r>
    </w:p>
    <w:p w:rsidR="00C926CE" w:rsidP="009467D9" w:rsidRDefault="00C926CE" w14:paraId="7FB5438D" w14:textId="77777777">
      <w:pPr>
        <w:rPr>
          <w:rFonts w:ascii="Times New Roman" w:hAnsi="Times New Roman"/>
          <w:sz w:val="24"/>
        </w:rPr>
      </w:pPr>
    </w:p>
    <w:p w:rsidR="00174A54" w:rsidP="00C926CE" w:rsidRDefault="00174A54" w14:paraId="67ED71FB" w14:textId="77777777">
      <w:pPr>
        <w:ind w:firstLine="720"/>
        <w:rPr>
          <w:rFonts w:ascii="Times New Roman" w:hAnsi="Times New Roman"/>
          <w:sz w:val="24"/>
        </w:rPr>
      </w:pPr>
      <w:r>
        <w:rPr>
          <w:rFonts w:ascii="Times New Roman" w:hAnsi="Times New Roman"/>
          <w:sz w:val="24"/>
        </w:rPr>
        <w:t>There are no non-labor costs associated with this collection of information.</w:t>
      </w:r>
    </w:p>
    <w:p w:rsidR="009568C8" w:rsidP="009467D9" w:rsidRDefault="009568C8" w14:paraId="1B3A8A78" w14:textId="77777777">
      <w:pPr>
        <w:ind w:left="360"/>
        <w:rPr>
          <w:rFonts w:ascii="Times New Roman" w:hAnsi="Times New Roman"/>
          <w:sz w:val="24"/>
        </w:rPr>
      </w:pPr>
    </w:p>
    <w:p w:rsidR="00C060BA" w:rsidP="009467D9" w:rsidRDefault="00374CD1" w14:paraId="2FDEE0BB" w14:textId="77777777">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 xml:space="preserve">Estimated </w:t>
      </w:r>
      <w:r w:rsidR="00F20509">
        <w:rPr>
          <w:rFonts w:ascii="Times New Roman" w:hAnsi="Times New Roman"/>
          <w:sz w:val="24"/>
          <w:u w:val="single"/>
        </w:rPr>
        <w:t xml:space="preserve">annualized cost to the </w:t>
      </w:r>
      <w:r w:rsidR="00F41812">
        <w:rPr>
          <w:rFonts w:ascii="Times New Roman" w:hAnsi="Times New Roman"/>
          <w:sz w:val="24"/>
          <w:u w:val="single"/>
        </w:rPr>
        <w:t xml:space="preserve">Federal </w:t>
      </w:r>
      <w:r w:rsidR="00F20509">
        <w:rPr>
          <w:rFonts w:ascii="Times New Roman" w:hAnsi="Times New Roman"/>
          <w:sz w:val="24"/>
          <w:u w:val="single"/>
        </w:rPr>
        <w:t>government</w:t>
      </w:r>
      <w:r w:rsidR="00C26A03">
        <w:rPr>
          <w:rFonts w:ascii="Times New Roman" w:hAnsi="Times New Roman"/>
          <w:sz w:val="24"/>
          <w:u w:val="single"/>
        </w:rPr>
        <w:t>.</w:t>
      </w:r>
      <w:r w:rsidR="00F20509">
        <w:rPr>
          <w:rFonts w:ascii="Times New Roman" w:hAnsi="Times New Roman"/>
          <w:sz w:val="24"/>
        </w:rPr>
        <w:t xml:space="preserve">  </w:t>
      </w:r>
    </w:p>
    <w:p w:rsidR="00C060BA" w:rsidP="009467D9" w:rsidRDefault="00C060BA" w14:paraId="1460362F" w14:textId="77777777">
      <w:pPr>
        <w:ind w:firstLine="360"/>
        <w:rPr>
          <w:rFonts w:ascii="Times New Roman" w:hAnsi="Times New Roman"/>
          <w:sz w:val="24"/>
        </w:rPr>
      </w:pPr>
    </w:p>
    <w:p w:rsidR="001B275B" w:rsidP="009467D9" w:rsidRDefault="003C10A3" w14:paraId="4A0B7128" w14:textId="77777777">
      <w:pPr>
        <w:ind w:firstLine="720"/>
        <w:rPr>
          <w:rFonts w:ascii="Times New Roman" w:hAnsi="Times New Roman"/>
          <w:sz w:val="24"/>
        </w:rPr>
      </w:pPr>
      <w:r w:rsidRPr="003C10A3">
        <w:rPr>
          <w:rFonts w:ascii="Times New Roman" w:hAnsi="Times New Roman"/>
          <w:sz w:val="24"/>
        </w:rPr>
        <w:t>There is no cost to the Federal government; this is a recordkeeping requirement only.</w:t>
      </w:r>
    </w:p>
    <w:p w:rsidR="009568C8" w:rsidP="009467D9" w:rsidRDefault="009568C8" w14:paraId="3400DB55" w14:textId="77777777">
      <w:pPr>
        <w:ind w:firstLine="720"/>
        <w:rPr>
          <w:rFonts w:ascii="Times New Roman" w:hAnsi="Times New Roman"/>
          <w:sz w:val="24"/>
        </w:rPr>
      </w:pPr>
    </w:p>
    <w:p w:rsidR="00C060BA" w:rsidP="009467D9" w:rsidRDefault="00374CD1" w14:paraId="1FEB1084" w14:textId="77777777">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 xml:space="preserve">Reasons </w:t>
      </w:r>
      <w:r w:rsidR="00F20509">
        <w:rPr>
          <w:rFonts w:ascii="Times New Roman" w:hAnsi="Times New Roman"/>
          <w:sz w:val="24"/>
          <w:u w:val="single"/>
        </w:rPr>
        <w:t>for change in burden</w:t>
      </w:r>
      <w:r w:rsidR="00C26A03">
        <w:rPr>
          <w:rFonts w:ascii="Times New Roman" w:hAnsi="Times New Roman"/>
          <w:sz w:val="24"/>
          <w:u w:val="single"/>
        </w:rPr>
        <w:t>.</w:t>
      </w:r>
      <w:r w:rsidR="00F20509">
        <w:rPr>
          <w:rFonts w:ascii="Times New Roman" w:hAnsi="Times New Roman"/>
          <w:sz w:val="24"/>
        </w:rPr>
        <w:t xml:space="preserve">  </w:t>
      </w:r>
    </w:p>
    <w:p w:rsidR="00C060BA" w:rsidP="009467D9" w:rsidRDefault="00C060BA" w14:paraId="17E55A1E" w14:textId="77777777">
      <w:pPr>
        <w:ind w:firstLine="360"/>
        <w:rPr>
          <w:rFonts w:ascii="Times New Roman" w:hAnsi="Times New Roman"/>
          <w:sz w:val="24"/>
        </w:rPr>
      </w:pPr>
    </w:p>
    <w:p w:rsidRPr="0013195E" w:rsidR="001B275B" w:rsidP="0013195E" w:rsidRDefault="00114C50" w14:paraId="54BEF349" w14:textId="77777777">
      <w:pPr>
        <w:pStyle w:val="FootnoteText"/>
        <w:ind w:firstLine="720"/>
      </w:pPr>
      <w:r w:rsidRPr="00114C50">
        <w:rPr>
          <w:rFonts w:ascii="Times New Roman" w:hAnsi="Times New Roman"/>
          <w:sz w:val="24"/>
        </w:rPr>
        <w:t>The estima</w:t>
      </w:r>
      <w:r>
        <w:rPr>
          <w:rFonts w:ascii="Times New Roman" w:hAnsi="Times New Roman"/>
          <w:sz w:val="24"/>
        </w:rPr>
        <w:t>ted total annual burden hours de</w:t>
      </w:r>
      <w:r w:rsidRPr="00114C50">
        <w:rPr>
          <w:rFonts w:ascii="Times New Roman" w:hAnsi="Times New Roman"/>
          <w:sz w:val="24"/>
        </w:rPr>
        <w:t xml:space="preserve">creased from </w:t>
      </w:r>
      <w:r>
        <w:rPr>
          <w:rFonts w:ascii="Times New Roman" w:hAnsi="Times New Roman"/>
          <w:sz w:val="24"/>
        </w:rPr>
        <w:t>306,000 hours in 2018 to 260,880 hours in 2022</w:t>
      </w:r>
      <w:r w:rsidRPr="00114C50">
        <w:rPr>
          <w:rFonts w:ascii="Times New Roman" w:hAnsi="Times New Roman"/>
          <w:sz w:val="24"/>
        </w:rPr>
        <w:t>.</w:t>
      </w:r>
      <w:r w:rsidR="008F2203">
        <w:rPr>
          <w:rFonts w:ascii="Times New Roman" w:hAnsi="Times New Roman"/>
          <w:sz w:val="24"/>
        </w:rPr>
        <w:t xml:space="preserve"> </w:t>
      </w:r>
      <w:r w:rsidRPr="00114C50">
        <w:rPr>
          <w:rFonts w:ascii="Times New Roman" w:hAnsi="Times New Roman"/>
          <w:sz w:val="24"/>
        </w:rPr>
        <w:t xml:space="preserve"> </w:t>
      </w:r>
      <w:r w:rsidRPr="005A095E" w:rsidR="005A095E">
        <w:rPr>
          <w:rFonts w:ascii="Times New Roman" w:hAnsi="Times New Roman"/>
          <w:sz w:val="24"/>
        </w:rPr>
        <w:t xml:space="preserve">When FinCEN renewed OMB control number 1506-0043 in 2018 it estimated that </w:t>
      </w:r>
      <w:r w:rsidR="00B00942">
        <w:rPr>
          <w:rFonts w:ascii="Times New Roman" w:hAnsi="Times New Roman"/>
          <w:sz w:val="24"/>
        </w:rPr>
        <w:t xml:space="preserve">2,000 </w:t>
      </w:r>
      <w:r w:rsidR="008673E3">
        <w:rPr>
          <w:rFonts w:ascii="Times New Roman" w:hAnsi="Times New Roman"/>
          <w:sz w:val="24"/>
        </w:rPr>
        <w:t>covered financial institutions would obtain and maintain</w:t>
      </w:r>
      <w:r w:rsidR="00B00942">
        <w:rPr>
          <w:rFonts w:ascii="Times New Roman" w:hAnsi="Times New Roman"/>
          <w:sz w:val="24"/>
        </w:rPr>
        <w:t xml:space="preserve"> 9,000 certification</w:t>
      </w:r>
      <w:r w:rsidR="008673E3">
        <w:rPr>
          <w:rFonts w:ascii="Times New Roman" w:hAnsi="Times New Roman"/>
          <w:sz w:val="24"/>
        </w:rPr>
        <w:t xml:space="preserve"> and recertification forms from foreign banks, and estimated the burden per certification/recertification</w:t>
      </w:r>
      <w:r w:rsidR="00B00942">
        <w:rPr>
          <w:rFonts w:ascii="Times New Roman" w:hAnsi="Times New Roman"/>
          <w:sz w:val="24"/>
        </w:rPr>
        <w:t xml:space="preserve"> form</w:t>
      </w:r>
      <w:r w:rsidR="00CA0D43">
        <w:rPr>
          <w:rFonts w:ascii="Times New Roman" w:hAnsi="Times New Roman"/>
          <w:sz w:val="24"/>
        </w:rPr>
        <w:t xml:space="preserve"> would be 34 hours per form</w:t>
      </w:r>
      <w:r w:rsidR="008673E3">
        <w:rPr>
          <w:rFonts w:ascii="Times New Roman" w:hAnsi="Times New Roman"/>
          <w:sz w:val="24"/>
        </w:rPr>
        <w:t xml:space="preserve">. </w:t>
      </w:r>
      <w:r w:rsidR="008F2203">
        <w:rPr>
          <w:rFonts w:ascii="Times New Roman" w:hAnsi="Times New Roman"/>
          <w:sz w:val="24"/>
        </w:rPr>
        <w:t xml:space="preserve"> </w:t>
      </w:r>
      <w:r w:rsidR="005A095E">
        <w:rPr>
          <w:rFonts w:ascii="Times New Roman" w:hAnsi="Times New Roman"/>
          <w:sz w:val="24"/>
        </w:rPr>
        <w:t>In 2022, FinCEN estimated th</w:t>
      </w:r>
      <w:r w:rsidR="00B00942">
        <w:rPr>
          <w:rFonts w:ascii="Times New Roman" w:hAnsi="Times New Roman"/>
          <w:sz w:val="24"/>
        </w:rPr>
        <w:t xml:space="preserve">at </w:t>
      </w:r>
      <w:r w:rsidR="005A095E">
        <w:rPr>
          <w:rFonts w:ascii="Times New Roman" w:hAnsi="Times New Roman"/>
          <w:sz w:val="24"/>
        </w:rPr>
        <w:t>8,696 covered financial institutions</w:t>
      </w:r>
      <w:r w:rsidR="00B00942">
        <w:rPr>
          <w:rFonts w:ascii="Times New Roman" w:hAnsi="Times New Roman"/>
          <w:sz w:val="24"/>
        </w:rPr>
        <w:t xml:space="preserve"> would obtain and maintain 17,392 certification and recertification forms from foreign banks,</w:t>
      </w:r>
      <w:r w:rsidRPr="0005171F" w:rsidR="00CA0D43">
        <w:rPr>
          <w:rStyle w:val="FootnoteReference"/>
          <w:rFonts w:ascii="Times New Roman" w:hAnsi="Times New Roman"/>
          <w:sz w:val="24"/>
          <w:vertAlign w:val="superscript"/>
        </w:rPr>
        <w:footnoteReference w:id="21"/>
      </w:r>
      <w:r w:rsidRPr="0005171F" w:rsidR="00B00942">
        <w:rPr>
          <w:rFonts w:ascii="Times New Roman" w:hAnsi="Times New Roman"/>
          <w:sz w:val="24"/>
          <w:vertAlign w:val="superscript"/>
        </w:rPr>
        <w:t xml:space="preserve"> </w:t>
      </w:r>
      <w:r w:rsidR="00B00942">
        <w:rPr>
          <w:rFonts w:ascii="Times New Roman" w:hAnsi="Times New Roman"/>
          <w:sz w:val="24"/>
        </w:rPr>
        <w:t xml:space="preserve">and estimated </w:t>
      </w:r>
      <w:r w:rsidR="00CA0D43">
        <w:rPr>
          <w:rFonts w:ascii="Times New Roman" w:hAnsi="Times New Roman"/>
          <w:sz w:val="24"/>
        </w:rPr>
        <w:t xml:space="preserve">the </w:t>
      </w:r>
      <w:r w:rsidR="00B00942">
        <w:rPr>
          <w:rFonts w:ascii="Times New Roman" w:hAnsi="Times New Roman"/>
          <w:sz w:val="24"/>
        </w:rPr>
        <w:t>burden per certification</w:t>
      </w:r>
      <w:r w:rsidR="00CA0D43">
        <w:rPr>
          <w:rFonts w:ascii="Times New Roman" w:hAnsi="Times New Roman"/>
          <w:sz w:val="24"/>
        </w:rPr>
        <w:t>/recertification</w:t>
      </w:r>
      <w:r w:rsidR="00B00942">
        <w:rPr>
          <w:rFonts w:ascii="Times New Roman" w:hAnsi="Times New Roman"/>
          <w:sz w:val="24"/>
        </w:rPr>
        <w:t xml:space="preserve"> form would be </w:t>
      </w:r>
      <w:r w:rsidR="00CA0D43">
        <w:rPr>
          <w:rFonts w:ascii="Times New Roman" w:hAnsi="Times New Roman"/>
          <w:sz w:val="24"/>
        </w:rPr>
        <w:t xml:space="preserve">15 </w:t>
      </w:r>
      <w:r w:rsidR="00B00942">
        <w:rPr>
          <w:rFonts w:ascii="Times New Roman" w:hAnsi="Times New Roman"/>
          <w:sz w:val="24"/>
        </w:rPr>
        <w:t>hours per form</w:t>
      </w:r>
      <w:r w:rsidR="005A095E">
        <w:rPr>
          <w:rFonts w:ascii="Times New Roman" w:hAnsi="Times New Roman"/>
          <w:sz w:val="24"/>
        </w:rPr>
        <w:t xml:space="preserve">. </w:t>
      </w:r>
      <w:r w:rsidR="008F2203">
        <w:rPr>
          <w:rFonts w:ascii="Times New Roman" w:hAnsi="Times New Roman"/>
          <w:sz w:val="24"/>
        </w:rPr>
        <w:t xml:space="preserve"> </w:t>
      </w:r>
      <w:r w:rsidR="00244F3F">
        <w:rPr>
          <w:rFonts w:ascii="Times New Roman" w:hAnsi="Times New Roman" w:cs="Times New Roman"/>
          <w:sz w:val="24"/>
          <w:szCs w:val="24"/>
        </w:rPr>
        <w:t>I</w:t>
      </w:r>
      <w:r w:rsidRPr="00601353" w:rsidR="00244F3F">
        <w:rPr>
          <w:rFonts w:ascii="Times New Roman" w:hAnsi="Times New Roman" w:cs="Times New Roman"/>
          <w:sz w:val="24"/>
          <w:szCs w:val="24"/>
        </w:rPr>
        <w:t>n 2018</w:t>
      </w:r>
      <w:r w:rsidR="00161450">
        <w:rPr>
          <w:rFonts w:ascii="Times New Roman" w:hAnsi="Times New Roman" w:cs="Times New Roman"/>
          <w:sz w:val="24"/>
          <w:szCs w:val="24"/>
        </w:rPr>
        <w:t>,</w:t>
      </w:r>
      <w:r w:rsidRPr="00601353" w:rsidR="00244F3F">
        <w:rPr>
          <w:rFonts w:ascii="Times New Roman" w:hAnsi="Times New Roman" w:cs="Times New Roman"/>
          <w:sz w:val="24"/>
          <w:szCs w:val="24"/>
        </w:rPr>
        <w:t xml:space="preserve"> the estimate included an annual estimate of the following three items: (i) 20 hours to complete a certification for a foreign bank; (ii) 5 hours to complete a recertification for a foreign bank; and (iii) 9 hours to maintain records on the foreign bank’s certification/</w:t>
      </w:r>
      <w:r w:rsidR="00161450">
        <w:rPr>
          <w:rFonts w:ascii="Times New Roman" w:hAnsi="Times New Roman" w:cs="Times New Roman"/>
          <w:sz w:val="24"/>
          <w:szCs w:val="24"/>
        </w:rPr>
        <w:t>recertification.  In 2022, FinCEN</w:t>
      </w:r>
      <w:r w:rsidRPr="00601353" w:rsidR="00244F3F">
        <w:rPr>
          <w:rFonts w:ascii="Times New Roman" w:hAnsi="Times New Roman" w:cs="Times New Roman"/>
          <w:sz w:val="24"/>
          <w:szCs w:val="24"/>
        </w:rPr>
        <w:t xml:space="preserve"> revised its estimate to incorporate the recordkeeping component of the burden estimate within the certification and recertification process. </w:t>
      </w:r>
      <w:r w:rsidR="00161450">
        <w:rPr>
          <w:rFonts w:ascii="Times New Roman" w:hAnsi="Times New Roman" w:cs="Times New Roman"/>
          <w:sz w:val="24"/>
          <w:szCs w:val="24"/>
        </w:rPr>
        <w:t xml:space="preserve"> </w:t>
      </w:r>
      <w:r w:rsidR="00161450">
        <w:rPr>
          <w:rFonts w:ascii="Times New Roman" w:hAnsi="Times New Roman" w:cs="Times New Roman"/>
          <w:sz w:val="24"/>
          <w:szCs w:val="24"/>
        </w:rPr>
        <w:lastRenderedPageBreak/>
        <w:t xml:space="preserve">FinCEN also </w:t>
      </w:r>
      <w:r w:rsidRPr="00601353" w:rsidR="00244F3F">
        <w:rPr>
          <w:rFonts w:ascii="Times New Roman" w:hAnsi="Times New Roman" w:cs="Times New Roman"/>
          <w:sz w:val="24"/>
          <w:szCs w:val="24"/>
        </w:rPr>
        <w:t>revised its assessment of the time necessary to conduct a recertification, as the process is identical to a certification.  For those reasons, FinCEN is estimating the burden for a certification and corresponding recordkeeping is 15 hours; and the burden for a recertification and corresponding recordkeeping is also 15 hours.</w:t>
      </w:r>
      <w:r w:rsidR="00244F3F">
        <w:rPr>
          <w:rFonts w:ascii="Times New Roman" w:hAnsi="Times New Roman" w:cs="Times New Roman"/>
          <w:sz w:val="24"/>
          <w:szCs w:val="24"/>
        </w:rPr>
        <w:t xml:space="preserve"> </w:t>
      </w:r>
      <w:r w:rsidR="00161450">
        <w:rPr>
          <w:rFonts w:ascii="Times New Roman" w:hAnsi="Times New Roman" w:cs="Times New Roman"/>
          <w:sz w:val="24"/>
          <w:szCs w:val="24"/>
        </w:rPr>
        <w:t xml:space="preserve"> </w:t>
      </w:r>
      <w:r w:rsidR="00244F3F">
        <w:rPr>
          <w:rFonts w:ascii="Times New Roman" w:hAnsi="Times New Roman"/>
          <w:sz w:val="24"/>
        </w:rPr>
        <w:t>The decrease in burden is a combination of an increase in the estimated number of certification/recertification forms from 9,000 in 2018 to 17,392 in 2022 and a decrease in the estimated burden per certification/recertification form from 34 hours per form in 2018 to 15 hours per form in 2022</w:t>
      </w:r>
      <w:r w:rsidR="0013195E">
        <w:rPr>
          <w:rFonts w:ascii="Times New Roman" w:hAnsi="Times New Roman"/>
          <w:sz w:val="24"/>
        </w:rPr>
        <w:t>.</w:t>
      </w:r>
    </w:p>
    <w:p w:rsidR="00374CD1" w:rsidP="009467D9" w:rsidRDefault="00374CD1" w14:paraId="3C880ED0" w14:textId="77777777">
      <w:pPr>
        <w:rPr>
          <w:rFonts w:ascii="Times New Roman" w:hAnsi="Times New Roman"/>
          <w:sz w:val="24"/>
        </w:rPr>
      </w:pPr>
    </w:p>
    <w:p w:rsidR="00C060BA" w:rsidP="009467D9" w:rsidRDefault="00374CD1" w14:paraId="4AAD0C7E" w14:textId="77777777">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 xml:space="preserve">Plans for </w:t>
      </w:r>
      <w:r w:rsidR="00F20509">
        <w:rPr>
          <w:rFonts w:ascii="Times New Roman" w:hAnsi="Times New Roman"/>
          <w:sz w:val="24"/>
          <w:u w:val="single"/>
        </w:rPr>
        <w:t>tabulation, statistical analysis and publication</w:t>
      </w:r>
      <w:r w:rsidR="00C26A03">
        <w:rPr>
          <w:rFonts w:ascii="Times New Roman" w:hAnsi="Times New Roman"/>
          <w:sz w:val="24"/>
          <w:u w:val="single"/>
        </w:rPr>
        <w:t>.</w:t>
      </w:r>
    </w:p>
    <w:p w:rsidR="00C060BA" w:rsidP="009467D9" w:rsidRDefault="00C060BA" w14:paraId="6BC509D3" w14:textId="77777777">
      <w:pPr>
        <w:ind w:firstLine="360"/>
        <w:rPr>
          <w:rFonts w:ascii="Times New Roman" w:hAnsi="Times New Roman"/>
          <w:sz w:val="24"/>
        </w:rPr>
      </w:pPr>
    </w:p>
    <w:p w:rsidR="001B275B" w:rsidP="009467D9" w:rsidRDefault="003C10A3" w14:paraId="0116CB82" w14:textId="77777777">
      <w:pPr>
        <w:ind w:firstLine="720"/>
        <w:rPr>
          <w:rFonts w:ascii="Times New Roman" w:hAnsi="Times New Roman"/>
          <w:sz w:val="24"/>
        </w:rPr>
      </w:pPr>
      <w:r w:rsidRPr="003C10A3">
        <w:rPr>
          <w:rFonts w:ascii="Times New Roman" w:hAnsi="Times New Roman"/>
          <w:sz w:val="24"/>
        </w:rPr>
        <w:t>This collection of information will not be published.</w:t>
      </w:r>
    </w:p>
    <w:p w:rsidRPr="00522794" w:rsidR="00522794" w:rsidP="00C926CE" w:rsidRDefault="00522794" w14:paraId="6289E469" w14:textId="77777777">
      <w:pPr>
        <w:widowControl/>
        <w:spacing w:before="187"/>
        <w:rPr>
          <w:rFonts w:ascii="Times New Roman" w:hAnsi="Times New Roman"/>
          <w:sz w:val="24"/>
          <w:szCs w:val="22"/>
          <w:u w:val="single"/>
        </w:rPr>
      </w:pPr>
      <w:r w:rsidRPr="00611C78">
        <w:rPr>
          <w:rFonts w:ascii="Times New Roman" w:hAnsi="Times New Roman"/>
          <w:sz w:val="24"/>
          <w:szCs w:val="22"/>
        </w:rPr>
        <w:t xml:space="preserve">17.  </w:t>
      </w:r>
      <w:r w:rsidRPr="00522794">
        <w:rPr>
          <w:rFonts w:ascii="Times New Roman" w:hAnsi="Times New Roman"/>
          <w:sz w:val="24"/>
          <w:szCs w:val="22"/>
          <w:u w:val="single"/>
        </w:rPr>
        <w:t>Request not to di</w:t>
      </w:r>
      <w:r w:rsidR="00916F04">
        <w:rPr>
          <w:rFonts w:ascii="Times New Roman" w:hAnsi="Times New Roman"/>
          <w:sz w:val="24"/>
          <w:szCs w:val="22"/>
          <w:u w:val="single"/>
        </w:rPr>
        <w:t>splay the OMB expiration date</w:t>
      </w:r>
      <w:r w:rsidR="00C26A03">
        <w:rPr>
          <w:rFonts w:ascii="Times New Roman" w:hAnsi="Times New Roman"/>
          <w:sz w:val="24"/>
          <w:szCs w:val="22"/>
          <w:u w:val="single"/>
        </w:rPr>
        <w:t>.</w:t>
      </w:r>
    </w:p>
    <w:p w:rsidRPr="00611C78" w:rsidR="00522794" w:rsidP="00C926CE" w:rsidRDefault="003C10A3" w14:paraId="5F0C7419" w14:textId="77777777">
      <w:pPr>
        <w:widowControl/>
        <w:spacing w:before="187"/>
        <w:ind w:firstLine="720"/>
        <w:rPr>
          <w:rFonts w:ascii="Times New Roman" w:hAnsi="Times New Roman"/>
          <w:sz w:val="24"/>
          <w:szCs w:val="22"/>
        </w:rPr>
      </w:pPr>
      <w:r w:rsidRPr="003C10A3">
        <w:rPr>
          <w:rFonts w:ascii="Times New Roman" w:hAnsi="Times New Roman"/>
          <w:sz w:val="24"/>
          <w:szCs w:val="22"/>
        </w:rPr>
        <w:t xml:space="preserve">FinCEN requests that it not be required to display the expiration date so that the regulations </w:t>
      </w:r>
      <w:r w:rsidR="00F4766C">
        <w:rPr>
          <w:rFonts w:ascii="Times New Roman" w:hAnsi="Times New Roman"/>
          <w:sz w:val="24"/>
          <w:szCs w:val="22"/>
        </w:rPr>
        <w:t xml:space="preserve">and the optional certification form </w:t>
      </w:r>
      <w:r w:rsidRPr="003C10A3">
        <w:rPr>
          <w:rFonts w:ascii="Times New Roman" w:hAnsi="Times New Roman"/>
          <w:sz w:val="24"/>
          <w:szCs w:val="22"/>
        </w:rPr>
        <w:t>will not have to be amended for the new expiration date every three years.</w:t>
      </w:r>
    </w:p>
    <w:p w:rsidRPr="00611C78" w:rsidR="00522794" w:rsidP="00C926CE" w:rsidRDefault="00522794" w14:paraId="7BCED438" w14:textId="77777777">
      <w:pPr>
        <w:widowControl/>
        <w:spacing w:before="187"/>
        <w:rPr>
          <w:rFonts w:ascii="Times New Roman" w:hAnsi="Times New Roman"/>
          <w:sz w:val="24"/>
          <w:szCs w:val="22"/>
        </w:rPr>
      </w:pPr>
      <w:r w:rsidRPr="00611C78">
        <w:rPr>
          <w:rFonts w:ascii="Times New Roman" w:hAnsi="Times New Roman"/>
          <w:sz w:val="24"/>
          <w:szCs w:val="22"/>
        </w:rPr>
        <w:t xml:space="preserve">18.  </w:t>
      </w:r>
      <w:r w:rsidRPr="00522794">
        <w:rPr>
          <w:rFonts w:ascii="Times New Roman" w:hAnsi="Times New Roman"/>
          <w:sz w:val="24"/>
          <w:szCs w:val="22"/>
          <w:u w:val="single"/>
        </w:rPr>
        <w:t>Exceptions to the certification statement</w:t>
      </w:r>
      <w:r w:rsidR="00C26A03">
        <w:rPr>
          <w:rFonts w:ascii="Times New Roman" w:hAnsi="Times New Roman"/>
          <w:sz w:val="24"/>
          <w:szCs w:val="22"/>
          <w:u w:val="single"/>
        </w:rPr>
        <w:t>.</w:t>
      </w:r>
    </w:p>
    <w:p w:rsidRPr="00611C78" w:rsidR="00522794" w:rsidP="00C926CE" w:rsidRDefault="00522794" w14:paraId="48B07330" w14:textId="77777777">
      <w:pPr>
        <w:widowControl/>
        <w:spacing w:before="187"/>
        <w:ind w:firstLine="720"/>
        <w:rPr>
          <w:rFonts w:ascii="Times New Roman" w:hAnsi="Times New Roman"/>
          <w:sz w:val="24"/>
          <w:szCs w:val="22"/>
        </w:rPr>
      </w:pPr>
      <w:r w:rsidRPr="00611C78">
        <w:rPr>
          <w:rFonts w:ascii="Times New Roman" w:hAnsi="Times New Roman"/>
          <w:sz w:val="24"/>
          <w:szCs w:val="22"/>
        </w:rPr>
        <w:t>There are no exceptions to the certification statement.</w:t>
      </w:r>
    </w:p>
    <w:sectPr w:rsidRPr="00611C78" w:rsidR="00522794" w:rsidSect="006B186B">
      <w:endnotePr>
        <w:numFmt w:val="decimal"/>
      </w:endnotePr>
      <w:type w:val="continuous"/>
      <w:pgSz w:w="12240" w:h="15840"/>
      <w:pgMar w:top="1440" w:right="1080" w:bottom="1440" w:left="108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DDB8B" w14:textId="77777777" w:rsidR="001413DD" w:rsidRDefault="001413DD">
      <w:r>
        <w:separator/>
      </w:r>
    </w:p>
    <w:p w14:paraId="353C2403" w14:textId="77777777" w:rsidR="001413DD" w:rsidRDefault="001413DD"/>
  </w:endnote>
  <w:endnote w:type="continuationSeparator" w:id="0">
    <w:p w14:paraId="739B645A" w14:textId="77777777" w:rsidR="001413DD" w:rsidRDefault="001413DD">
      <w:r>
        <w:continuationSeparator/>
      </w:r>
    </w:p>
    <w:p w14:paraId="2B65B9BF" w14:textId="77777777" w:rsidR="001413DD" w:rsidRDefault="001413DD"/>
  </w:endnote>
  <w:endnote w:type="continuationNotice" w:id="1">
    <w:p w14:paraId="52A14EFC" w14:textId="77777777" w:rsidR="001413DD" w:rsidRDefault="001413DD"/>
    <w:p w14:paraId="1160055F" w14:textId="77777777" w:rsidR="001413DD" w:rsidRDefault="00141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8E22" w14:textId="77777777" w:rsidR="006B186B" w:rsidRDefault="006B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55044"/>
      <w:docPartObj>
        <w:docPartGallery w:val="Page Numbers (Bottom of Page)"/>
        <w:docPartUnique/>
      </w:docPartObj>
    </w:sdtPr>
    <w:sdtEndPr>
      <w:rPr>
        <w:rFonts w:ascii="Times New Roman" w:hAnsi="Times New Roman"/>
        <w:noProof/>
        <w:sz w:val="24"/>
      </w:rPr>
    </w:sdtEndPr>
    <w:sdtContent>
      <w:p w14:paraId="5A15B547" w14:textId="30CE8B72" w:rsidR="00E5234A" w:rsidRPr="009E365C" w:rsidRDefault="00E5234A">
        <w:pPr>
          <w:pStyle w:val="Footer"/>
          <w:jc w:val="center"/>
          <w:rPr>
            <w:rFonts w:ascii="Times New Roman" w:hAnsi="Times New Roman"/>
            <w:sz w:val="24"/>
          </w:rPr>
        </w:pPr>
        <w:r w:rsidRPr="009E365C">
          <w:rPr>
            <w:rFonts w:ascii="Times New Roman" w:hAnsi="Times New Roman"/>
            <w:sz w:val="24"/>
          </w:rPr>
          <w:fldChar w:fldCharType="begin"/>
        </w:r>
        <w:r w:rsidRPr="009E365C">
          <w:rPr>
            <w:rFonts w:ascii="Times New Roman" w:hAnsi="Times New Roman"/>
            <w:sz w:val="24"/>
          </w:rPr>
          <w:instrText xml:space="preserve"> PAGE   \* MERGEFORMAT </w:instrText>
        </w:r>
        <w:r w:rsidRPr="009E365C">
          <w:rPr>
            <w:rFonts w:ascii="Times New Roman" w:hAnsi="Times New Roman"/>
            <w:sz w:val="24"/>
          </w:rPr>
          <w:fldChar w:fldCharType="separate"/>
        </w:r>
        <w:r w:rsidR="009C0964">
          <w:rPr>
            <w:rFonts w:ascii="Times New Roman" w:hAnsi="Times New Roman"/>
            <w:noProof/>
            <w:sz w:val="24"/>
          </w:rPr>
          <w:t>7</w:t>
        </w:r>
        <w:r w:rsidRPr="009E365C">
          <w:rPr>
            <w:rFonts w:ascii="Times New Roman" w:hAnsi="Times New Roman"/>
            <w:noProof/>
            <w:sz w:val="24"/>
          </w:rPr>
          <w:fldChar w:fldCharType="end"/>
        </w:r>
      </w:p>
    </w:sdtContent>
  </w:sdt>
  <w:p w14:paraId="0DD841DB" w14:textId="77777777" w:rsidR="00CC635C" w:rsidRPr="00F74CE8" w:rsidRDefault="00CC6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DA50" w14:textId="77777777" w:rsidR="006B186B" w:rsidRDefault="006B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7ABB4" w14:textId="77777777" w:rsidR="001413DD" w:rsidRDefault="001413DD">
      <w:r>
        <w:separator/>
      </w:r>
    </w:p>
    <w:p w14:paraId="0FA2D1A4" w14:textId="77777777" w:rsidR="001413DD" w:rsidRDefault="001413DD"/>
  </w:footnote>
  <w:footnote w:type="continuationSeparator" w:id="0">
    <w:p w14:paraId="68F974C3" w14:textId="77777777" w:rsidR="001413DD" w:rsidRDefault="001413DD">
      <w:r>
        <w:continuationSeparator/>
      </w:r>
    </w:p>
    <w:p w14:paraId="45013EEC" w14:textId="77777777" w:rsidR="001413DD" w:rsidRDefault="001413DD"/>
  </w:footnote>
  <w:footnote w:type="continuationNotice" w:id="1">
    <w:p w14:paraId="7D3A7176" w14:textId="77777777" w:rsidR="001413DD" w:rsidRDefault="001413DD"/>
    <w:p w14:paraId="461FB34E" w14:textId="77777777" w:rsidR="001413DD" w:rsidRDefault="001413DD"/>
  </w:footnote>
  <w:footnote w:id="2">
    <w:p w14:paraId="6156CBD2" w14:textId="77777777" w:rsidR="0035191E" w:rsidRPr="00DF7F8B" w:rsidRDefault="0035191E" w:rsidP="0035191E">
      <w:pPr>
        <w:pStyle w:val="FootnoteText"/>
        <w:rPr>
          <w:rFonts w:ascii="Times New Roman" w:hAnsi="Times New Roman" w:cs="Times New Roman"/>
        </w:rPr>
      </w:pPr>
      <w:r w:rsidRPr="00ED67D7">
        <w:rPr>
          <w:rStyle w:val="FootnoteReference"/>
          <w:rFonts w:ascii="Times New Roman" w:hAnsi="Times New Roman" w:cs="Times New Roman"/>
          <w:vertAlign w:val="superscript"/>
        </w:rPr>
        <w:footnoteRef/>
      </w:r>
      <w:r w:rsidRPr="00ED67D7">
        <w:rPr>
          <w:rFonts w:ascii="Times New Roman" w:hAnsi="Times New Roman" w:cs="Times New Roman"/>
          <w:vertAlign w:val="superscript"/>
        </w:rPr>
        <w:t xml:space="preserve"> </w:t>
      </w:r>
      <w:r w:rsidRPr="00DF7F8B">
        <w:rPr>
          <w:rFonts w:ascii="Times New Roman" w:hAnsi="Times New Roman" w:cs="Times New Roman"/>
        </w:rPr>
        <w:t>The AML Act was enacted as Division F, §§ 6001-6511, of the William M. (Mac) Thornberry National</w:t>
      </w:r>
    </w:p>
    <w:p w14:paraId="59D625F5" w14:textId="77777777" w:rsidR="0035191E" w:rsidRPr="00DF7F8B" w:rsidRDefault="0035191E" w:rsidP="0035191E">
      <w:pPr>
        <w:pStyle w:val="FootnoteText"/>
        <w:rPr>
          <w:rFonts w:ascii="Times New Roman" w:hAnsi="Times New Roman" w:cs="Times New Roman"/>
        </w:rPr>
      </w:pPr>
      <w:r w:rsidRPr="00DF7F8B">
        <w:rPr>
          <w:rFonts w:ascii="Times New Roman" w:hAnsi="Times New Roman" w:cs="Times New Roman"/>
        </w:rPr>
        <w:t>Defense Authorization Act for Fiscal Year 2021, Pub. L. 116-283, 134 Stat 3388 (2021).</w:t>
      </w:r>
    </w:p>
  </w:footnote>
  <w:footnote w:id="3">
    <w:p w14:paraId="077B0CB6" w14:textId="77777777" w:rsidR="0035191E" w:rsidRPr="00DF7F8B" w:rsidRDefault="0035191E" w:rsidP="0035191E">
      <w:pPr>
        <w:pStyle w:val="FootnoteText"/>
        <w:rPr>
          <w:rFonts w:ascii="Times New Roman" w:hAnsi="Times New Roman" w:cs="Times New Roman"/>
        </w:rPr>
      </w:pPr>
      <w:r w:rsidRPr="00ED67D7">
        <w:rPr>
          <w:rStyle w:val="FootnoteReference"/>
          <w:rFonts w:ascii="Times New Roman" w:hAnsi="Times New Roman" w:cs="Times New Roman"/>
          <w:vertAlign w:val="superscript"/>
        </w:rPr>
        <w:footnoteRef/>
      </w:r>
      <w:r w:rsidRPr="00ED67D7">
        <w:rPr>
          <w:rFonts w:ascii="Times New Roman" w:hAnsi="Times New Roman" w:cs="Times New Roman"/>
          <w:vertAlign w:val="superscript"/>
        </w:rPr>
        <w:t xml:space="preserve"> </w:t>
      </w:r>
      <w:r w:rsidRPr="00DF7F8B">
        <w:rPr>
          <w:rFonts w:ascii="Times New Roman" w:hAnsi="Times New Roman" w:cs="Times New Roman"/>
        </w:rPr>
        <w:t>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DF7F8B">
        <w:rPr>
          <w:rFonts w:ascii="Times New Roman" w:hAnsi="Times New Roman" w:cs="Times New Roman"/>
          <w:color w:val="1F497D"/>
        </w:rPr>
        <w:t xml:space="preserve"> </w:t>
      </w:r>
    </w:p>
  </w:footnote>
  <w:footnote w:id="4">
    <w:p w14:paraId="16A35A64" w14:textId="2AB87007" w:rsidR="0035191E" w:rsidRPr="00565B7E" w:rsidRDefault="0035191E" w:rsidP="0035191E">
      <w:pPr>
        <w:pStyle w:val="FootnoteText"/>
        <w:rPr>
          <w:rFonts w:ascii="Times New Roman" w:hAnsi="Times New Roman" w:cs="Times New Roman"/>
        </w:rPr>
      </w:pPr>
      <w:r w:rsidRPr="00ED67D7">
        <w:rPr>
          <w:rStyle w:val="FootnoteReference"/>
          <w:rFonts w:ascii="Times New Roman" w:hAnsi="Times New Roman" w:cs="Times New Roman"/>
          <w:vertAlign w:val="superscript"/>
        </w:rPr>
        <w:footnoteRef/>
      </w:r>
      <w:r w:rsidRPr="00DF7F8B">
        <w:rPr>
          <w:rFonts w:ascii="Times New Roman" w:hAnsi="Times New Roman" w:cs="Times New Roman"/>
        </w:rPr>
        <w:t xml:space="preserve"> Treasury Order 180-01</w:t>
      </w:r>
      <w:r w:rsidR="006A0BD7">
        <w:rPr>
          <w:rFonts w:ascii="Times New Roman" w:hAnsi="Times New Roman" w:cs="Times New Roman"/>
        </w:rPr>
        <w:t>.</w:t>
      </w:r>
    </w:p>
  </w:footnote>
  <w:footnote w:id="5">
    <w:p w14:paraId="13CF719E" w14:textId="77777777" w:rsidR="00191E80" w:rsidRPr="00191E80" w:rsidRDefault="00191E80" w:rsidP="00191E80">
      <w:pPr>
        <w:shd w:val="clear" w:color="auto" w:fill="FFFFFF"/>
        <w:rPr>
          <w:rFonts w:ascii="Times New Roman" w:hAnsi="Times New Roman"/>
          <w:szCs w:val="20"/>
        </w:rPr>
      </w:pPr>
      <w:r w:rsidRPr="00ED67D7">
        <w:rPr>
          <w:rStyle w:val="FootnoteReference"/>
          <w:rFonts w:ascii="Times New Roman" w:hAnsi="Times New Roman"/>
          <w:vertAlign w:val="superscript"/>
        </w:rPr>
        <w:footnoteRef/>
      </w:r>
      <w:r w:rsidRPr="00ED67D7">
        <w:rPr>
          <w:rFonts w:ascii="Times New Roman" w:hAnsi="Times New Roman"/>
          <w:vertAlign w:val="superscript"/>
        </w:rPr>
        <w:t xml:space="preserve"> </w:t>
      </w:r>
      <w:r w:rsidRPr="00191E80">
        <w:rPr>
          <w:rFonts w:ascii="Times New Roman" w:hAnsi="Times New Roman"/>
          <w:szCs w:val="20"/>
        </w:rPr>
        <w:t>A covered financial institution is any financial institution described in subparagraphs (A) through (G) of 31 U.S.C. 5312(a)(2), including an insured bank, as defined in section 3(h) of the </w:t>
      </w:r>
      <w:hyperlink r:id="rId1" w:history="1">
        <w:r w:rsidRPr="00191E80">
          <w:rPr>
            <w:rFonts w:ascii="Times New Roman" w:hAnsi="Times New Roman"/>
            <w:szCs w:val="20"/>
          </w:rPr>
          <w:t>Federal Deposit Insurance Act</w:t>
        </w:r>
      </w:hyperlink>
      <w:r w:rsidRPr="00191E80">
        <w:rPr>
          <w:rFonts w:ascii="Times New Roman" w:hAnsi="Times New Roman"/>
          <w:szCs w:val="20"/>
        </w:rPr>
        <w:t> (</w:t>
      </w:r>
      <w:hyperlink r:id="rId2" w:anchor="h" w:history="1">
        <w:r w:rsidRPr="00191E80">
          <w:rPr>
            <w:rFonts w:ascii="Times New Roman" w:hAnsi="Times New Roman"/>
            <w:szCs w:val="20"/>
          </w:rPr>
          <w:t>12 U.S.C. 1813(h)</w:t>
        </w:r>
      </w:hyperlink>
      <w:r w:rsidRPr="00191E80">
        <w:rPr>
          <w:rFonts w:ascii="Times New Roman" w:hAnsi="Times New Roman"/>
          <w:szCs w:val="20"/>
        </w:rPr>
        <w:t>)</w:t>
      </w:r>
      <w:bookmarkStart w:id="0" w:name="a_2_B"/>
      <w:bookmarkEnd w:id="0"/>
      <w:r w:rsidRPr="00191E80">
        <w:rPr>
          <w:rFonts w:ascii="Times New Roman" w:hAnsi="Times New Roman"/>
          <w:szCs w:val="20"/>
        </w:rPr>
        <w:t>; a commercial bank or trust company;</w:t>
      </w:r>
      <w:bookmarkStart w:id="1" w:name="a_2_C"/>
      <w:bookmarkEnd w:id="1"/>
      <w:r w:rsidRPr="00191E80">
        <w:rPr>
          <w:rFonts w:ascii="Times New Roman" w:hAnsi="Times New Roman"/>
          <w:szCs w:val="20"/>
        </w:rPr>
        <w:t xml:space="preserve"> a private banker</w:t>
      </w:r>
      <w:bookmarkStart w:id="2" w:name="a_2_D"/>
      <w:bookmarkEnd w:id="2"/>
      <w:r w:rsidRPr="00191E80">
        <w:rPr>
          <w:rFonts w:ascii="Times New Roman" w:hAnsi="Times New Roman"/>
          <w:szCs w:val="20"/>
        </w:rPr>
        <w:t>; an agency or branch of a foreign bank in the </w:t>
      </w:r>
      <w:hyperlink r:id="rId3" w:history="1">
        <w:r w:rsidRPr="00191E80">
          <w:rPr>
            <w:rFonts w:ascii="Times New Roman" w:hAnsi="Times New Roman"/>
            <w:szCs w:val="20"/>
          </w:rPr>
          <w:t>United States</w:t>
        </w:r>
      </w:hyperlink>
      <w:bookmarkStart w:id="3" w:name="a_2_E"/>
      <w:bookmarkEnd w:id="3"/>
      <w:r w:rsidRPr="00191E80">
        <w:rPr>
          <w:rFonts w:ascii="Times New Roman" w:hAnsi="Times New Roman"/>
          <w:szCs w:val="20"/>
        </w:rPr>
        <w:t>; any credit union;</w:t>
      </w:r>
      <w:bookmarkStart w:id="4" w:name="a_2_F"/>
      <w:bookmarkEnd w:id="4"/>
      <w:r w:rsidRPr="00191E80">
        <w:rPr>
          <w:rFonts w:ascii="Times New Roman" w:hAnsi="Times New Roman"/>
          <w:szCs w:val="20"/>
        </w:rPr>
        <w:t xml:space="preserve"> a thrift institution;</w:t>
      </w:r>
      <w:bookmarkStart w:id="5" w:name="a_2_G"/>
      <w:bookmarkEnd w:id="5"/>
      <w:r w:rsidRPr="00191E80">
        <w:rPr>
          <w:rFonts w:ascii="Times New Roman" w:hAnsi="Times New Roman"/>
          <w:szCs w:val="20"/>
        </w:rPr>
        <w:t xml:space="preserve"> and a broker or dealer registered with the Securities and Exchange Commission (SEC) under the </w:t>
      </w:r>
      <w:hyperlink r:id="rId4" w:history="1">
        <w:r w:rsidRPr="00191E80">
          <w:rPr>
            <w:rFonts w:ascii="Times New Roman" w:hAnsi="Times New Roman"/>
            <w:szCs w:val="20"/>
          </w:rPr>
          <w:t>Securities Exchange Act of 1934</w:t>
        </w:r>
      </w:hyperlink>
      <w:r w:rsidRPr="00191E80">
        <w:rPr>
          <w:rFonts w:ascii="Times New Roman" w:hAnsi="Times New Roman"/>
          <w:szCs w:val="20"/>
        </w:rPr>
        <w:t> (</w:t>
      </w:r>
      <w:hyperlink r:id="rId5" w:history="1">
        <w:r w:rsidRPr="00191E80">
          <w:rPr>
            <w:rFonts w:ascii="Times New Roman" w:hAnsi="Times New Roman"/>
            <w:szCs w:val="20"/>
          </w:rPr>
          <w:t>15 U.S.C. 78a</w:t>
        </w:r>
      </w:hyperlink>
      <w:r w:rsidRPr="00191E80">
        <w:rPr>
          <w:rFonts w:ascii="Times New Roman" w:hAnsi="Times New Roman"/>
          <w:szCs w:val="20"/>
        </w:rPr>
        <w:t> et seq.).  31 U.S.C. 5318(j)(1).</w:t>
      </w:r>
    </w:p>
  </w:footnote>
  <w:footnote w:id="6">
    <w:p w14:paraId="18467239"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vertAlign w:val="superscript"/>
        </w:rPr>
        <w:t xml:space="preserve"> </w:t>
      </w:r>
      <w:r w:rsidRPr="00247F7E">
        <w:rPr>
          <w:rFonts w:ascii="Times New Roman" w:hAnsi="Times New Roman" w:cs="Times New Roman"/>
          <w:i/>
        </w:rPr>
        <w:t>See</w:t>
      </w:r>
      <w:r w:rsidRPr="00247F7E">
        <w:rPr>
          <w:rFonts w:ascii="Times New Roman" w:hAnsi="Times New Roman" w:cs="Times New Roman"/>
        </w:rPr>
        <w:t xml:space="preserve"> </w:t>
      </w:r>
      <w:r w:rsidRPr="00247F7E">
        <w:rPr>
          <w:rFonts w:ascii="Times New Roman" w:hAnsi="Times New Roman" w:cs="Times New Roman"/>
          <w:shd w:val="clear" w:color="auto" w:fill="FFFFFF"/>
        </w:rPr>
        <w:t xml:space="preserve">31 CFR 1010.605(e)(2) for the definition of a covered financial institution for purposes of  31 CFR 1010.630: (i) an insured bank (as defined in section 3(h) of the Federal Deposit Insurance Act (12 U.S.C. 1813(h))); (ii) a commercial bank or trust company; (iii) a private banker; (iv) an agency or branch of a foreign bank in the United States; (v) a credit union; (vi) a savings association; (vii) a corporation acting under section 25A of the Federal Reserve Act (12 U.S.C. 611 </w:t>
      </w:r>
      <w:r w:rsidRPr="00247F7E">
        <w:rPr>
          <w:rFonts w:ascii="Times New Roman" w:hAnsi="Times New Roman" w:cs="Times New Roman"/>
          <w:i/>
          <w:shd w:val="clear" w:color="auto" w:fill="FFFFFF"/>
        </w:rPr>
        <w:t>et seq</w:t>
      </w:r>
      <w:r w:rsidRPr="00247F7E">
        <w:rPr>
          <w:rFonts w:ascii="Times New Roman" w:hAnsi="Times New Roman" w:cs="Times New Roman"/>
          <w:shd w:val="clear" w:color="auto" w:fill="FFFFFF"/>
        </w:rPr>
        <w:t xml:space="preserve">.); and (viii) a broker or dealer in securities registered, or required to be registered, with the Securities and Exchange Commission under the Securities Exchange Act of 1934 (15 U.S.C. 78a, </w:t>
      </w:r>
      <w:r w:rsidRPr="00247F7E">
        <w:rPr>
          <w:rFonts w:ascii="Times New Roman" w:hAnsi="Times New Roman" w:cs="Times New Roman"/>
          <w:i/>
          <w:shd w:val="clear" w:color="auto" w:fill="FFFFFF"/>
        </w:rPr>
        <w:t>et seq</w:t>
      </w:r>
      <w:r w:rsidRPr="00247F7E">
        <w:rPr>
          <w:rFonts w:ascii="Times New Roman" w:hAnsi="Times New Roman" w:cs="Times New Roman"/>
          <w:shd w:val="clear" w:color="auto" w:fill="FFFFFF"/>
        </w:rPr>
        <w:t>.), except persons who register pursuant to section 15(b)(11) of the Securities Exchange Act of 1934.</w:t>
      </w:r>
    </w:p>
  </w:footnote>
  <w:footnote w:id="7">
    <w:p w14:paraId="6198B48B"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vertAlign w:val="superscript"/>
        </w:rPr>
        <w:t xml:space="preserve"> </w:t>
      </w:r>
      <w:r w:rsidRPr="00247F7E">
        <w:rPr>
          <w:rFonts w:ascii="Times New Roman" w:hAnsi="Times New Roman" w:cs="Times New Roman"/>
        </w:rPr>
        <w:t>31 CFR 1010.605(c).  For purposes of 31 CFR 1010.630, a correspondent account is defined as an account established for a foreign bank to receive deposits from, or to make payments or other disbursements on behalf of, the foreign bank, or to handle other financial transactions related to such foreign bank.</w:t>
      </w:r>
    </w:p>
  </w:footnote>
  <w:footnote w:id="8">
    <w:p w14:paraId="3A532F68"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vertAlign w:val="superscript"/>
        </w:rPr>
        <w:t xml:space="preserve"> </w:t>
      </w:r>
      <w:r w:rsidRPr="00247F7E">
        <w:rPr>
          <w:rFonts w:ascii="Times New Roman" w:hAnsi="Times New Roman" w:cs="Times New Roman"/>
        </w:rPr>
        <w:t xml:space="preserve">31 CFR 1010.605(g).  </w:t>
      </w:r>
      <w:r w:rsidRPr="00247F7E">
        <w:rPr>
          <w:rStyle w:val="Emphasis"/>
          <w:rFonts w:ascii="Times New Roman" w:hAnsi="Times New Roman" w:cs="Times New Roman"/>
          <w:bCs/>
        </w:rPr>
        <w:t>Foreign shell bank</w:t>
      </w:r>
      <w:r w:rsidRPr="00247F7E">
        <w:rPr>
          <w:rFonts w:ascii="Times New Roman" w:hAnsi="Times New Roman" w:cs="Times New Roman"/>
        </w:rPr>
        <w:t xml:space="preserve"> means a foreign bank without a physical presence in any country.</w:t>
      </w:r>
    </w:p>
  </w:footnote>
  <w:footnote w:id="9">
    <w:p w14:paraId="244E8CBD"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vertAlign w:val="superscript"/>
        </w:rPr>
        <w:t xml:space="preserve"> </w:t>
      </w:r>
      <w:r w:rsidRPr="00247F7E">
        <w:rPr>
          <w:rFonts w:ascii="Times New Roman" w:hAnsi="Times New Roman" w:cs="Times New Roman"/>
        </w:rPr>
        <w:t>31 CFR 1010.100(u). A foreign bank is defined as a bank organized under foreign law, or an agency, branch or office located outside the United States of a bank. The term does not include an agent, agency, branch or office within the United States of a bank organized under foreign law.</w:t>
      </w:r>
    </w:p>
  </w:footnote>
  <w:footnote w:id="10">
    <w:p w14:paraId="7479EDF9"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vertAlign w:val="superscript"/>
        </w:rPr>
        <w:t xml:space="preserve"> </w:t>
      </w:r>
      <w:r w:rsidRPr="00247F7E">
        <w:rPr>
          <w:rFonts w:ascii="Times New Roman" w:hAnsi="Times New Roman" w:cs="Times New Roman"/>
        </w:rPr>
        <w:t>31 CFR 1010.630(a)(1)(iii) clarifies that covered financial institutions are not prohibited from providing correspondent account or banking services to a regulated affiliate.</w:t>
      </w:r>
    </w:p>
  </w:footnote>
  <w:footnote w:id="11">
    <w:p w14:paraId="04AB55F5" w14:textId="77777777" w:rsidR="00184088" w:rsidRPr="00247F7E" w:rsidRDefault="00184088" w:rsidP="00184088">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rPr>
        <w:t xml:space="preserve"> According to 31 CFR 1010.630(a)(2)(iii), </w:t>
      </w:r>
      <w:r w:rsidRPr="00247F7E">
        <w:rPr>
          <w:rStyle w:val="Emphasis"/>
          <w:rFonts w:ascii="Times New Roman" w:hAnsi="Times New Roman" w:cs="Times New Roman"/>
        </w:rPr>
        <w:t>publicly traded</w:t>
      </w:r>
      <w:r w:rsidRPr="00247F7E">
        <w:rPr>
          <w:rFonts w:ascii="Times New Roman" w:hAnsi="Times New Roman" w:cs="Times New Roman"/>
        </w:rPr>
        <w:t xml:space="preserve"> refers to shares that are traded on an exchange or on an organized over-the-counter market that is regulated by a “foreign securities authority” as defined in section 3(a)(50) of the Securities Exchange Act of 1934 (15 U.S.C. 78C(a)(50)). </w:t>
      </w:r>
    </w:p>
  </w:footnote>
  <w:footnote w:id="12">
    <w:p w14:paraId="3C0D4C14" w14:textId="77777777" w:rsidR="00247F7E" w:rsidRPr="00247F7E" w:rsidRDefault="00247F7E" w:rsidP="00247F7E">
      <w:pPr>
        <w:pStyle w:val="FootnoteText"/>
        <w:rPr>
          <w:rFonts w:ascii="Times New Roman" w:hAnsi="Times New Roman" w:cs="Times New Roman"/>
        </w:rPr>
      </w:pPr>
      <w:r w:rsidRPr="00247F7E">
        <w:rPr>
          <w:rStyle w:val="FootnoteReference"/>
          <w:rFonts w:ascii="Times New Roman" w:hAnsi="Times New Roman" w:cs="Times New Roman"/>
          <w:vertAlign w:val="superscript"/>
        </w:rPr>
        <w:footnoteRef/>
      </w:r>
      <w:r w:rsidRPr="00247F7E">
        <w:rPr>
          <w:rFonts w:ascii="Times New Roman" w:hAnsi="Times New Roman" w:cs="Times New Roman"/>
        </w:rPr>
        <w:t xml:space="preserve"> According to 31 CFR 1010.630(2)(ii), a covered financial institution is not required to maintain records of the owner of a non-publicly traded foreign bank if the foreign bank is required to file with the Federal Reserve Board a Form FR-Y that identifies the current owners of the foreign bank.</w:t>
      </w:r>
    </w:p>
  </w:footnote>
  <w:footnote w:id="13">
    <w:p w14:paraId="652C7E52" w14:textId="77777777" w:rsidR="00184088" w:rsidRPr="008F2203" w:rsidRDefault="00184088" w:rsidP="00184088">
      <w:pPr>
        <w:pStyle w:val="FootnoteText"/>
        <w:rPr>
          <w:rFonts w:ascii="Times New Roman" w:hAnsi="Times New Roman" w:cs="Times New Roman"/>
        </w:rPr>
      </w:pPr>
      <w:r w:rsidRPr="008F2203">
        <w:rPr>
          <w:rStyle w:val="FootnoteReference"/>
          <w:rFonts w:ascii="Times New Roman" w:hAnsi="Times New Roman" w:cs="Times New Roman"/>
          <w:vertAlign w:val="superscript"/>
        </w:rPr>
        <w:footnoteRef/>
      </w:r>
      <w:r w:rsidRPr="008F2203">
        <w:rPr>
          <w:rFonts w:ascii="Times New Roman" w:hAnsi="Times New Roman" w:cs="Times New Roman"/>
          <w:vertAlign w:val="superscript"/>
        </w:rPr>
        <w:t xml:space="preserve"> </w:t>
      </w:r>
      <w:r w:rsidRPr="008F2203">
        <w:rPr>
          <w:rFonts w:ascii="Times New Roman" w:hAnsi="Times New Roman" w:cs="Times New Roman"/>
        </w:rPr>
        <w:t xml:space="preserve">Available at </w:t>
      </w:r>
      <w:r w:rsidRPr="008F2203">
        <w:rPr>
          <w:rFonts w:ascii="Times New Roman" w:hAnsi="Times New Roman" w:cs="Times New Roman"/>
          <w:i/>
        </w:rPr>
        <w:t xml:space="preserve"> </w:t>
      </w:r>
      <w:hyperlink r:id="rId6" w:history="1">
        <w:r w:rsidRPr="008F2203">
          <w:rPr>
            <w:rStyle w:val="Hyperlink"/>
            <w:rFonts w:ascii="Times New Roman" w:eastAsia="MS Mincho" w:hAnsi="Times New Roman" w:cs="Times New Roman"/>
            <w:bCs/>
          </w:rPr>
          <w:t>https://www.fincen.gov/sites/default/files/shared/Certification%20Regarding%20Correspondent%20Accounts%20for%20Foreign%20Banks.pdf</w:t>
        </w:r>
      </w:hyperlink>
    </w:p>
  </w:footnote>
  <w:footnote w:id="14">
    <w:p w14:paraId="76F6EE92" w14:textId="77777777" w:rsidR="005320D9" w:rsidRDefault="005320D9" w:rsidP="005320D9">
      <w:pPr>
        <w:pStyle w:val="FootnoteText"/>
      </w:pPr>
      <w:r w:rsidRPr="00680EF6">
        <w:rPr>
          <w:rStyle w:val="FootnoteReference"/>
          <w:rFonts w:ascii="Times New Roman" w:hAnsi="Times New Roman" w:cs="Times New Roman"/>
          <w:vertAlign w:val="superscript"/>
        </w:rPr>
        <w:footnoteRef/>
      </w:r>
      <w:r w:rsidRPr="00680EF6">
        <w:rPr>
          <w:rFonts w:ascii="Times New Roman" w:hAnsi="Times New Roman" w:cs="Times New Roman"/>
        </w:rPr>
        <w:t xml:space="preserve"> </w:t>
      </w:r>
      <w:r w:rsidR="003C10A3" w:rsidRPr="003C10A3">
        <w:rPr>
          <w:rFonts w:ascii="Times New Roman" w:hAnsi="Times New Roman" w:cs="Times New Roman"/>
        </w:rPr>
        <w:t>87 FR 7919</w:t>
      </w:r>
      <w:r w:rsidRPr="00680EF6">
        <w:rPr>
          <w:rFonts w:ascii="Times New Roman" w:hAnsi="Times New Roman" w:cs="Times New Roman"/>
        </w:rPr>
        <w:t xml:space="preserve"> at </w:t>
      </w:r>
      <w:hyperlink r:id="rId7" w:history="1">
        <w:r w:rsidR="003C10A3" w:rsidRPr="00CA1E11">
          <w:rPr>
            <w:rStyle w:val="Hyperlink"/>
            <w:rFonts w:ascii="Times New Roman" w:hAnsi="Times New Roman" w:cs="Times New Roman"/>
          </w:rPr>
          <w:t>https://www.federalregister.gov/documents/2022/02/10/2022-02885/agency-information-collection-activities-proposed-renewal-comment-request-renewal-without-change-of</w:t>
        </w:r>
      </w:hyperlink>
      <w:r w:rsidR="003C10A3">
        <w:rPr>
          <w:rFonts w:ascii="Times New Roman" w:hAnsi="Times New Roman" w:cs="Times New Roman"/>
        </w:rPr>
        <w:t xml:space="preserve">. </w:t>
      </w:r>
    </w:p>
  </w:footnote>
  <w:footnote w:id="15">
    <w:p w14:paraId="7A2B4E9F" w14:textId="77777777" w:rsidR="00D12D22" w:rsidRPr="006A08F8" w:rsidRDefault="00D12D22" w:rsidP="00D12D22">
      <w:pPr>
        <w:pStyle w:val="CommentText"/>
        <w:rPr>
          <w:rFonts w:ascii="Times New Roman" w:hAnsi="Times New Roman"/>
        </w:rPr>
      </w:pPr>
      <w:r w:rsidRPr="006A08F8">
        <w:rPr>
          <w:rStyle w:val="FootnoteReference"/>
          <w:rFonts w:ascii="Times New Roman" w:hAnsi="Times New Roman"/>
          <w:vertAlign w:val="superscript"/>
        </w:rPr>
        <w:footnoteRef/>
      </w:r>
      <w:r w:rsidRPr="006A08F8">
        <w:rPr>
          <w:rFonts w:ascii="Times New Roman" w:hAnsi="Times New Roman"/>
          <w:vertAlign w:val="superscript"/>
        </w:rPr>
        <w:t xml:space="preserve"> </w:t>
      </w:r>
      <w:r w:rsidRPr="006A08F8">
        <w:rPr>
          <w:rFonts w:ascii="Times New Roman" w:hAnsi="Times New Roman"/>
        </w:rPr>
        <w:t>Data are from the Federal Reserve’s Structured Data for U.S. Banking Offices (</w:t>
      </w:r>
      <w:r w:rsidRPr="006A08F8">
        <w:rPr>
          <w:rFonts w:ascii="Times New Roman" w:hAnsi="Times New Roman"/>
          <w:i/>
          <w:iCs/>
        </w:rPr>
        <w:t>see</w:t>
      </w:r>
      <w:r w:rsidRPr="006A08F8">
        <w:rPr>
          <w:rFonts w:ascii="Times New Roman" w:hAnsi="Times New Roman"/>
        </w:rPr>
        <w:t xml:space="preserve"> </w:t>
      </w:r>
      <w:hyperlink r:id="rId8" w:history="1">
        <w:r w:rsidRPr="006A08F8">
          <w:rPr>
            <w:rStyle w:val="Hyperlink"/>
            <w:rFonts w:ascii="Times New Roman" w:hAnsi="Times New Roman"/>
          </w:rPr>
          <w:t>FRB: Structure Data for U.S. Banking Offices of Foreign Entities (federalreserve.gov)</w:t>
        </w:r>
      </w:hyperlink>
      <w:r w:rsidRPr="006A08F8">
        <w:rPr>
          <w:rFonts w:ascii="Times New Roman" w:hAnsi="Times New Roman"/>
        </w:rPr>
        <w:t xml:space="preserve">) and quarterly call report bank data (specifically, Schedule RC-E: Deposit liabilities, line 5: liabilities of banks in foreign countries) from the Financial Institution Retrieval Data System (FINDRS).  Using these two sources, FinCEN determines that as of Q3 2021, approximately 5,164 banking organizations (national and state banks, trusts, thrifts and savings and loans, branches and agencies of foreign banking organizations, representative offices, Edge Act corporations, and agreement corporations) will be affected by this rule </w:t>
      </w:r>
      <w:r w:rsidR="000F2DE0">
        <w:rPr>
          <w:rFonts w:ascii="Times New Roman" w:hAnsi="Times New Roman"/>
        </w:rPr>
        <w:t xml:space="preserve">in </w:t>
      </w:r>
      <w:r w:rsidRPr="006A08F8">
        <w:rPr>
          <w:rFonts w:ascii="Times New Roman" w:hAnsi="Times New Roman"/>
        </w:rPr>
        <w:t xml:space="preserve">any given year.  Specifically, we determine that there are approximately: 190 branches and agencies of foreign banks; 115 representative offices, Edge Act corporations, and agreement corporations; and 4,859 U.S. banks (national and state chartered, trusts, savings and loans, thrifts) that report values for deposit liabilities of banks in foreign countries.  Deposit liabilities in a foreign country is an indication that a bank maintains at least one correspondent account with a foreign financial institution. </w:t>
      </w:r>
    </w:p>
  </w:footnote>
  <w:footnote w:id="16">
    <w:p w14:paraId="6A742611" w14:textId="77777777" w:rsidR="00D12D22" w:rsidRPr="006A08F8" w:rsidRDefault="00D12D22" w:rsidP="00D12D22">
      <w:pPr>
        <w:pStyle w:val="FootnoteText"/>
        <w:rPr>
          <w:rFonts w:ascii="Times New Roman" w:hAnsi="Times New Roman" w:cs="Times New Roman"/>
        </w:rPr>
      </w:pPr>
      <w:r w:rsidRPr="006A08F8">
        <w:rPr>
          <w:rStyle w:val="FootnoteReference"/>
          <w:rFonts w:ascii="Times New Roman" w:hAnsi="Times New Roman" w:cs="Times New Roman"/>
          <w:vertAlign w:val="superscript"/>
        </w:rPr>
        <w:footnoteRef/>
      </w:r>
      <w:r w:rsidRPr="006A08F8">
        <w:rPr>
          <w:rFonts w:ascii="Times New Roman" w:hAnsi="Times New Roman" w:cs="Times New Roman"/>
          <w:vertAlign w:val="superscript"/>
        </w:rPr>
        <w:t xml:space="preserve"> </w:t>
      </w:r>
      <w:r w:rsidRPr="006A08F8">
        <w:rPr>
          <w:rFonts w:ascii="Times New Roman" w:hAnsi="Times New Roman" w:cs="Times New Roman"/>
        </w:rPr>
        <w:t>According to the Securities and Exchange Commission (SEC), as of March 31, 2021, there were 3,532 brokers or dealers in securities registered with the SEC.  FinCEN conservatively estimates that each of these brokers or dealers in securities maintain at least one correspondent account with a foreign financial institution.</w:t>
      </w:r>
    </w:p>
  </w:footnote>
  <w:footnote w:id="17">
    <w:p w14:paraId="04E54135" w14:textId="77777777" w:rsidR="00AB19B7" w:rsidRPr="006A08F8" w:rsidRDefault="00AB19B7">
      <w:pPr>
        <w:pStyle w:val="FootnoteText"/>
        <w:rPr>
          <w:rFonts w:ascii="Times New Roman" w:hAnsi="Times New Roman" w:cs="Times New Roman"/>
        </w:rPr>
      </w:pPr>
      <w:r w:rsidRPr="006A08F8">
        <w:rPr>
          <w:rStyle w:val="FootnoteReference"/>
          <w:rFonts w:ascii="Times New Roman" w:hAnsi="Times New Roman" w:cs="Times New Roman"/>
          <w:vertAlign w:val="superscript"/>
        </w:rPr>
        <w:footnoteRef/>
      </w:r>
      <w:r w:rsidRPr="006A08F8">
        <w:rPr>
          <w:rFonts w:ascii="Times New Roman" w:hAnsi="Times New Roman" w:cs="Times New Roman"/>
          <w:vertAlign w:val="superscript"/>
        </w:rPr>
        <w:t xml:space="preserve"> </w:t>
      </w:r>
      <w:r w:rsidRPr="006A08F8">
        <w:rPr>
          <w:rFonts w:ascii="Times New Roman" w:hAnsi="Times New Roman" w:cs="Times New Roman"/>
        </w:rPr>
        <w:t>FinCEN estimates that the annual hourly burden for a covered financial institution to obtain and maintain an initial certification form from a foreign bank for which it maintains a correspondent account is 15 hours.  This estimate covers the burden to a covered financial institution to:  (i) obtain assurances from the foreign bank that it is not providing banking services, directly or indirectly, to a foreign shell bank; (ii) obtain ownership information from the foreign bank, if necessary; (iii) obtain the name of an agent based in the United States who has agreed to accept service of legal process for records regarding such correspondent account; (iv) review all documentation submitted by the foreign bank; and (v) maintain records of all documentation associated with the certification process for the foreign bank.</w:t>
      </w:r>
    </w:p>
  </w:footnote>
  <w:footnote w:id="18">
    <w:p w14:paraId="6A03385D" w14:textId="77777777" w:rsidR="00AB19B7" w:rsidRPr="006A08F8" w:rsidRDefault="00AB19B7">
      <w:pPr>
        <w:pStyle w:val="FootnoteText"/>
        <w:rPr>
          <w:rFonts w:ascii="Times New Roman" w:hAnsi="Times New Roman" w:cs="Times New Roman"/>
          <w:vertAlign w:val="superscript"/>
        </w:rPr>
      </w:pPr>
      <w:r w:rsidRPr="006A08F8">
        <w:rPr>
          <w:rStyle w:val="FootnoteReference"/>
          <w:rFonts w:ascii="Times New Roman" w:hAnsi="Times New Roman" w:cs="Times New Roman"/>
          <w:vertAlign w:val="superscript"/>
        </w:rPr>
        <w:footnoteRef/>
      </w:r>
      <w:r w:rsidRPr="006A08F8">
        <w:rPr>
          <w:rFonts w:ascii="Times New Roman" w:hAnsi="Times New Roman" w:cs="Times New Roman"/>
          <w:vertAlign w:val="superscript"/>
        </w:rPr>
        <w:t xml:space="preserve"> </w:t>
      </w:r>
      <w:r w:rsidRPr="006A08F8">
        <w:rPr>
          <w:rFonts w:ascii="Times New Roman" w:hAnsi="Times New Roman" w:cs="Times New Roman"/>
        </w:rPr>
        <w:t>FinCEN estimates the annual hourly burden for a covered financial institution to obtain and maintain a recertification form from a foreign bank for which it maintains a correspondent account is also 15 hours.</w:t>
      </w:r>
      <w:r w:rsidRPr="006A08F8" w:rsidDel="00D90933">
        <w:rPr>
          <w:rFonts w:ascii="Times New Roman" w:hAnsi="Times New Roman" w:cs="Times New Roman"/>
        </w:rPr>
        <w:t xml:space="preserve"> </w:t>
      </w:r>
      <w:r w:rsidRPr="006A08F8">
        <w:rPr>
          <w:rFonts w:ascii="Times New Roman" w:hAnsi="Times New Roman" w:cs="Times New Roman"/>
        </w:rPr>
        <w:t xml:space="preserve"> FinCEN believes the hourly burden estimate for a recertification is the same as for a certification because the covered financial institution can use the same certification form to reconfirm all of the information required in the initial certification.</w:t>
      </w:r>
    </w:p>
  </w:footnote>
  <w:footnote w:id="19">
    <w:p w14:paraId="189624C6" w14:textId="77777777" w:rsidR="00D12D22" w:rsidRPr="00621010" w:rsidRDefault="00D12D22" w:rsidP="00D12D22">
      <w:pPr>
        <w:pStyle w:val="FootnoteText"/>
        <w:rPr>
          <w:rFonts w:ascii="Times New Roman" w:hAnsi="Times New Roman" w:cs="Times New Roman"/>
        </w:rPr>
      </w:pPr>
      <w:r w:rsidRPr="00621010">
        <w:rPr>
          <w:rStyle w:val="FootnoteReference"/>
          <w:rFonts w:ascii="Times New Roman" w:hAnsi="Times New Roman" w:cs="Times New Roman"/>
          <w:vertAlign w:val="superscript"/>
        </w:rPr>
        <w:footnoteRef/>
      </w:r>
      <w:r w:rsidRPr="00621010">
        <w:rPr>
          <w:rFonts w:ascii="Times New Roman" w:hAnsi="Times New Roman" w:cs="Times New Roman"/>
          <w:vertAlign w:val="superscript"/>
        </w:rPr>
        <w:t xml:space="preserve"> </w:t>
      </w:r>
      <w:r w:rsidRPr="00621010">
        <w:rPr>
          <w:rFonts w:ascii="Times New Roman" w:hAnsi="Times New Roman" w:cs="Times New Roman"/>
          <w:i/>
        </w:rPr>
        <w:t xml:space="preserve">See </w:t>
      </w:r>
      <w:r w:rsidR="00F4766C" w:rsidRPr="00621010">
        <w:rPr>
          <w:rFonts w:ascii="Times New Roman" w:hAnsi="Times New Roman" w:cs="Times New Roman"/>
          <w:i/>
          <w:szCs w:val="22"/>
        </w:rPr>
        <w:t>supra</w:t>
      </w:r>
      <w:r w:rsidR="00F4766C">
        <w:rPr>
          <w:rFonts w:ascii="Times New Roman" w:hAnsi="Times New Roman" w:cs="Times New Roman"/>
          <w:szCs w:val="22"/>
        </w:rPr>
        <w:t xml:space="preserve"> note 1</w:t>
      </w:r>
      <w:r w:rsidR="009D11CE">
        <w:rPr>
          <w:rFonts w:ascii="Times New Roman" w:hAnsi="Times New Roman" w:cs="Times New Roman"/>
          <w:szCs w:val="22"/>
        </w:rPr>
        <w:t>3</w:t>
      </w:r>
      <w:r w:rsidR="00F4766C">
        <w:rPr>
          <w:rFonts w:ascii="Times New Roman" w:hAnsi="Times New Roman" w:cs="Times New Roman"/>
          <w:szCs w:val="22"/>
        </w:rPr>
        <w:t>.</w:t>
      </w:r>
    </w:p>
  </w:footnote>
  <w:footnote w:id="20">
    <w:p w14:paraId="530D835D" w14:textId="77777777" w:rsidR="00D12D22" w:rsidRDefault="00D12D22" w:rsidP="00D12D22">
      <w:pPr>
        <w:pStyle w:val="FootnoteText"/>
      </w:pPr>
      <w:r w:rsidRPr="00621010">
        <w:rPr>
          <w:rStyle w:val="FootnoteReference"/>
          <w:rFonts w:ascii="Times New Roman" w:hAnsi="Times New Roman" w:cs="Times New Roman"/>
          <w:vertAlign w:val="superscript"/>
        </w:rPr>
        <w:footnoteRef/>
      </w:r>
      <w:r w:rsidRPr="00621010">
        <w:rPr>
          <w:rFonts w:ascii="Times New Roman" w:hAnsi="Times New Roman" w:cs="Times New Roman"/>
          <w:vertAlign w:val="superscript"/>
        </w:rPr>
        <w:t xml:space="preserve"> </w:t>
      </w:r>
      <w:r w:rsidRPr="00680EF6">
        <w:rPr>
          <w:rFonts w:ascii="Times New Roman" w:hAnsi="Times New Roman" w:cs="Times New Roman"/>
          <w:i/>
        </w:rPr>
        <w:t xml:space="preserve">See </w:t>
      </w:r>
      <w:r w:rsidR="00F4766C" w:rsidRPr="00680EF6">
        <w:rPr>
          <w:rFonts w:ascii="Times New Roman" w:hAnsi="Times New Roman" w:cs="Times New Roman"/>
          <w:i/>
        </w:rPr>
        <w:t xml:space="preserve">supra </w:t>
      </w:r>
      <w:r w:rsidR="00F4766C">
        <w:rPr>
          <w:rFonts w:ascii="Times New Roman" w:hAnsi="Times New Roman" w:cs="Times New Roman"/>
        </w:rPr>
        <w:t>note 1</w:t>
      </w:r>
      <w:r w:rsidR="009D11CE">
        <w:rPr>
          <w:rFonts w:ascii="Times New Roman" w:hAnsi="Times New Roman" w:cs="Times New Roman"/>
        </w:rPr>
        <w:t>3</w:t>
      </w:r>
      <w:r w:rsidR="00F4766C">
        <w:rPr>
          <w:rFonts w:ascii="Times New Roman" w:hAnsi="Times New Roman" w:cs="Times New Roman"/>
        </w:rPr>
        <w:t>.</w:t>
      </w:r>
    </w:p>
  </w:footnote>
  <w:footnote w:id="21">
    <w:p w14:paraId="487572E8" w14:textId="77777777" w:rsidR="00CA0D43" w:rsidRDefault="00CA0D43">
      <w:pPr>
        <w:pStyle w:val="FootnoteText"/>
      </w:pPr>
      <w:r w:rsidRPr="0005171F">
        <w:rPr>
          <w:rStyle w:val="FootnoteReference"/>
          <w:rFonts w:ascii="Times New Roman" w:hAnsi="Times New Roman" w:cs="Times New Roman"/>
          <w:vertAlign w:val="superscript"/>
        </w:rPr>
        <w:footnoteRef/>
      </w:r>
      <w:r w:rsidRPr="0005171F">
        <w:rPr>
          <w:rFonts w:ascii="Times New Roman" w:hAnsi="Times New Roman" w:cs="Times New Roman"/>
        </w:rPr>
        <w:t xml:space="preserve"> FinCEN estimated that 8,69</w:t>
      </w:r>
      <w:r w:rsidR="0005171F">
        <w:rPr>
          <w:rFonts w:ascii="Times New Roman" w:hAnsi="Times New Roman" w:cs="Times New Roman"/>
        </w:rPr>
        <w:t>6</w:t>
      </w:r>
      <w:r w:rsidRPr="0005171F">
        <w:rPr>
          <w:rFonts w:ascii="Times New Roman" w:hAnsi="Times New Roman" w:cs="Times New Roman"/>
        </w:rPr>
        <w:t xml:space="preserve"> covered financial institutions </w:t>
      </w:r>
      <w:r w:rsidR="0005171F">
        <w:rPr>
          <w:rFonts w:ascii="Times New Roman" w:hAnsi="Times New Roman" w:cs="Times New Roman"/>
        </w:rPr>
        <w:t xml:space="preserve">would </w:t>
      </w:r>
      <w:r w:rsidRPr="0005171F">
        <w:rPr>
          <w:rFonts w:ascii="Times New Roman" w:hAnsi="Times New Roman" w:cs="Times New Roman"/>
        </w:rPr>
        <w:t>obtain</w:t>
      </w:r>
      <w:r w:rsidR="0005171F">
        <w:rPr>
          <w:rFonts w:ascii="Times New Roman" w:hAnsi="Times New Roman" w:cs="Times New Roman"/>
        </w:rPr>
        <w:t xml:space="preserve"> and maintain</w:t>
      </w:r>
      <w:r w:rsidR="0005171F" w:rsidRPr="0005171F">
        <w:rPr>
          <w:rFonts w:ascii="Times New Roman" w:hAnsi="Times New Roman" w:cs="Times New Roman"/>
        </w:rPr>
        <w:t xml:space="preserve"> two </w:t>
      </w:r>
      <w:r w:rsidR="0005171F">
        <w:rPr>
          <w:rFonts w:ascii="Times New Roman" w:hAnsi="Times New Roman" w:cs="Times New Roman"/>
        </w:rPr>
        <w:t>forms per year (one certification</w:t>
      </w:r>
      <w:r w:rsidRPr="0005171F">
        <w:rPr>
          <w:rFonts w:ascii="Times New Roman" w:hAnsi="Times New Roman" w:cs="Times New Roman"/>
        </w:rPr>
        <w:t xml:space="preserve"> form and one recertification form</w:t>
      </w:r>
      <w:r w:rsidR="0005171F">
        <w:rPr>
          <w:rFonts w:ascii="Times New Roman" w:hAnsi="Times New Roman" w:cs="Times New Roman"/>
        </w:rPr>
        <w:t>)</w:t>
      </w:r>
      <w:r w:rsidRPr="0005171F">
        <w:rPr>
          <w:rFonts w:ascii="Times New Roman" w:hAnsi="Times New Roman" w:cs="Times New Roman"/>
        </w:rPr>
        <w:t xml:space="preserve">. </w:t>
      </w:r>
      <w:r w:rsidR="0005171F">
        <w:rPr>
          <w:rFonts w:ascii="Times New Roman" w:hAnsi="Times New Roman" w:cs="Times New Roman"/>
        </w:rPr>
        <w:t xml:space="preserve"> </w:t>
      </w:r>
      <w:r w:rsidR="0005171F" w:rsidRPr="0005171F">
        <w:rPr>
          <w:rFonts w:ascii="Times New Roman" w:hAnsi="Times New Roman" w:cs="Times New Roman"/>
        </w:rPr>
        <w:t>8,69</w:t>
      </w:r>
      <w:r w:rsidR="0005171F">
        <w:rPr>
          <w:rFonts w:ascii="Times New Roman" w:hAnsi="Times New Roman" w:cs="Times New Roman"/>
        </w:rPr>
        <w:t>6</w:t>
      </w:r>
      <w:r w:rsidRPr="0005171F">
        <w:rPr>
          <w:rFonts w:ascii="Times New Roman" w:hAnsi="Times New Roman" w:cs="Times New Roman"/>
        </w:rPr>
        <w:t xml:space="preserve"> covered financial </w:t>
      </w:r>
      <w:r w:rsidR="0005171F" w:rsidRPr="0005171F">
        <w:rPr>
          <w:rFonts w:ascii="Times New Roman" w:hAnsi="Times New Roman" w:cs="Times New Roman"/>
        </w:rPr>
        <w:t>institutions</w:t>
      </w:r>
      <w:r w:rsidRPr="0005171F">
        <w:rPr>
          <w:rFonts w:ascii="Times New Roman" w:hAnsi="Times New Roman" w:cs="Times New Roman"/>
        </w:rPr>
        <w:t xml:space="preserve"> multiplied by 2 forms per </w:t>
      </w:r>
      <w:r w:rsidR="0005171F" w:rsidRPr="0005171F">
        <w:rPr>
          <w:rFonts w:ascii="Times New Roman" w:hAnsi="Times New Roman" w:cs="Times New Roman"/>
        </w:rPr>
        <w:t>year equals 17,392 certification</w:t>
      </w:r>
      <w:r w:rsidRPr="0005171F">
        <w:rPr>
          <w:rFonts w:ascii="Times New Roman" w:hAnsi="Times New Roman" w:cs="Times New Roman"/>
        </w:rPr>
        <w:t xml:space="preserve"> and recertification forms obtained </w:t>
      </w:r>
      <w:r w:rsidR="0005171F">
        <w:rPr>
          <w:rFonts w:ascii="Times New Roman" w:hAnsi="Times New Roman" w:cs="Times New Roman"/>
        </w:rPr>
        <w:t xml:space="preserve">annually </w:t>
      </w:r>
      <w:r w:rsidRPr="0005171F">
        <w:rPr>
          <w:rFonts w:ascii="Times New Roman" w:hAnsi="Times New Roman" w:cs="Times New Roman"/>
        </w:rPr>
        <w:t>by covered financial</w:t>
      </w:r>
      <w:r w:rsidR="0005171F" w:rsidRPr="0005171F">
        <w:rPr>
          <w:rFonts w:ascii="Times New Roman" w:hAnsi="Times New Roman" w:cs="Times New Roman"/>
        </w:rPr>
        <w:t xml:space="preserve"> institutions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9784" w14:textId="77777777" w:rsidR="006B186B" w:rsidRDefault="006B1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8532" w14:textId="576D2D8C" w:rsidR="00CC635C" w:rsidRPr="00793C4D" w:rsidRDefault="00CC635C">
    <w:pPr>
      <w:spacing w:line="240" w:lineRule="exac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96DA" w14:textId="77777777" w:rsidR="006B186B" w:rsidRDefault="006B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46479"/>
    <w:multiLevelType w:val="hybridMultilevel"/>
    <w:tmpl w:val="A00C96CE"/>
    <w:lvl w:ilvl="0" w:tplc="7CB8231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44825"/>
    <w:multiLevelType w:val="hybridMultilevel"/>
    <w:tmpl w:val="3DF8AD4A"/>
    <w:lvl w:ilvl="0" w:tplc="41A24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7B134C"/>
    <w:multiLevelType w:val="hybridMultilevel"/>
    <w:tmpl w:val="CAB056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7D7132"/>
    <w:multiLevelType w:val="hybridMultilevel"/>
    <w:tmpl w:val="EE8609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29052A"/>
    <w:multiLevelType w:val="hybridMultilevel"/>
    <w:tmpl w:val="B4AA61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560390"/>
    <w:multiLevelType w:val="hybridMultilevel"/>
    <w:tmpl w:val="26A27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A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BA"/>
    <w:rsid w:val="00003FF7"/>
    <w:rsid w:val="00004044"/>
    <w:rsid w:val="00012CDD"/>
    <w:rsid w:val="000134E6"/>
    <w:rsid w:val="00034256"/>
    <w:rsid w:val="0005171F"/>
    <w:rsid w:val="000722AF"/>
    <w:rsid w:val="00091C22"/>
    <w:rsid w:val="000F2DE0"/>
    <w:rsid w:val="00114C50"/>
    <w:rsid w:val="0013195E"/>
    <w:rsid w:val="0013605A"/>
    <w:rsid w:val="001413DD"/>
    <w:rsid w:val="00155EB1"/>
    <w:rsid w:val="00161450"/>
    <w:rsid w:val="0016283F"/>
    <w:rsid w:val="00174A54"/>
    <w:rsid w:val="00184088"/>
    <w:rsid w:val="0018710C"/>
    <w:rsid w:val="00191E80"/>
    <w:rsid w:val="001B275B"/>
    <w:rsid w:val="001B2E92"/>
    <w:rsid w:val="001C6F21"/>
    <w:rsid w:val="002217E7"/>
    <w:rsid w:val="00227C2C"/>
    <w:rsid w:val="002417E4"/>
    <w:rsid w:val="00244F3F"/>
    <w:rsid w:val="00247F7E"/>
    <w:rsid w:val="00253694"/>
    <w:rsid w:val="002621C5"/>
    <w:rsid w:val="002A16F7"/>
    <w:rsid w:val="002B27FA"/>
    <w:rsid w:val="002B6EE1"/>
    <w:rsid w:val="002C1953"/>
    <w:rsid w:val="002E0399"/>
    <w:rsid w:val="002E4ECD"/>
    <w:rsid w:val="002F4C9A"/>
    <w:rsid w:val="00303184"/>
    <w:rsid w:val="0030376F"/>
    <w:rsid w:val="003234C0"/>
    <w:rsid w:val="003266A8"/>
    <w:rsid w:val="003300C5"/>
    <w:rsid w:val="003302C2"/>
    <w:rsid w:val="003311CA"/>
    <w:rsid w:val="00337122"/>
    <w:rsid w:val="0035191E"/>
    <w:rsid w:val="00352DFC"/>
    <w:rsid w:val="00353F78"/>
    <w:rsid w:val="00354BFE"/>
    <w:rsid w:val="00355F6A"/>
    <w:rsid w:val="003602FA"/>
    <w:rsid w:val="00367D22"/>
    <w:rsid w:val="003718C9"/>
    <w:rsid w:val="00374CD1"/>
    <w:rsid w:val="003C10A3"/>
    <w:rsid w:val="003C4B78"/>
    <w:rsid w:val="003D5989"/>
    <w:rsid w:val="003D78C7"/>
    <w:rsid w:val="003E3E18"/>
    <w:rsid w:val="0042511A"/>
    <w:rsid w:val="00457779"/>
    <w:rsid w:val="00472F9C"/>
    <w:rsid w:val="00474EC5"/>
    <w:rsid w:val="00490DAB"/>
    <w:rsid w:val="004C0101"/>
    <w:rsid w:val="004F1E9C"/>
    <w:rsid w:val="00505D59"/>
    <w:rsid w:val="00522794"/>
    <w:rsid w:val="005320D9"/>
    <w:rsid w:val="005325B3"/>
    <w:rsid w:val="00551C90"/>
    <w:rsid w:val="0056392F"/>
    <w:rsid w:val="00565F27"/>
    <w:rsid w:val="005A095E"/>
    <w:rsid w:val="005C4BEE"/>
    <w:rsid w:val="005C698B"/>
    <w:rsid w:val="005D7EB9"/>
    <w:rsid w:val="00621010"/>
    <w:rsid w:val="006356FD"/>
    <w:rsid w:val="00645829"/>
    <w:rsid w:val="00667473"/>
    <w:rsid w:val="00680EF6"/>
    <w:rsid w:val="00694F47"/>
    <w:rsid w:val="006A08F8"/>
    <w:rsid w:val="006A0BD7"/>
    <w:rsid w:val="006A2040"/>
    <w:rsid w:val="006B186B"/>
    <w:rsid w:val="006B2873"/>
    <w:rsid w:val="006B606A"/>
    <w:rsid w:val="006D7777"/>
    <w:rsid w:val="00711A2C"/>
    <w:rsid w:val="00730B15"/>
    <w:rsid w:val="00741D4C"/>
    <w:rsid w:val="007540D6"/>
    <w:rsid w:val="00761FD1"/>
    <w:rsid w:val="00793C4D"/>
    <w:rsid w:val="007B71B9"/>
    <w:rsid w:val="007D0281"/>
    <w:rsid w:val="007D508B"/>
    <w:rsid w:val="007D76CA"/>
    <w:rsid w:val="007E6D88"/>
    <w:rsid w:val="007F2C65"/>
    <w:rsid w:val="007F7084"/>
    <w:rsid w:val="00816117"/>
    <w:rsid w:val="008354E4"/>
    <w:rsid w:val="008425B9"/>
    <w:rsid w:val="008673E3"/>
    <w:rsid w:val="00874DF8"/>
    <w:rsid w:val="00877B78"/>
    <w:rsid w:val="00890821"/>
    <w:rsid w:val="008C19A7"/>
    <w:rsid w:val="008E253C"/>
    <w:rsid w:val="008F2203"/>
    <w:rsid w:val="009000B1"/>
    <w:rsid w:val="00904F61"/>
    <w:rsid w:val="00906899"/>
    <w:rsid w:val="0091543F"/>
    <w:rsid w:val="00916F04"/>
    <w:rsid w:val="009176D0"/>
    <w:rsid w:val="009424C0"/>
    <w:rsid w:val="009467D9"/>
    <w:rsid w:val="00954A5C"/>
    <w:rsid w:val="009568C8"/>
    <w:rsid w:val="009838FE"/>
    <w:rsid w:val="009A5716"/>
    <w:rsid w:val="009A6573"/>
    <w:rsid w:val="009B6406"/>
    <w:rsid w:val="009B67ED"/>
    <w:rsid w:val="009B6D7A"/>
    <w:rsid w:val="009C0964"/>
    <w:rsid w:val="009C29CA"/>
    <w:rsid w:val="009D11CE"/>
    <w:rsid w:val="009D298A"/>
    <w:rsid w:val="009E365C"/>
    <w:rsid w:val="009F3EE0"/>
    <w:rsid w:val="00A27C93"/>
    <w:rsid w:val="00A50743"/>
    <w:rsid w:val="00A8050F"/>
    <w:rsid w:val="00A81492"/>
    <w:rsid w:val="00A83682"/>
    <w:rsid w:val="00A86A18"/>
    <w:rsid w:val="00A87755"/>
    <w:rsid w:val="00A9369A"/>
    <w:rsid w:val="00AB19B7"/>
    <w:rsid w:val="00AD033B"/>
    <w:rsid w:val="00AD3157"/>
    <w:rsid w:val="00AE5D57"/>
    <w:rsid w:val="00AF5C3B"/>
    <w:rsid w:val="00B00942"/>
    <w:rsid w:val="00B22214"/>
    <w:rsid w:val="00B5746E"/>
    <w:rsid w:val="00B679AA"/>
    <w:rsid w:val="00B70E81"/>
    <w:rsid w:val="00B72D81"/>
    <w:rsid w:val="00B95353"/>
    <w:rsid w:val="00BB5087"/>
    <w:rsid w:val="00BD2CD1"/>
    <w:rsid w:val="00BE43FC"/>
    <w:rsid w:val="00BE7BDE"/>
    <w:rsid w:val="00C060BA"/>
    <w:rsid w:val="00C2390D"/>
    <w:rsid w:val="00C26A03"/>
    <w:rsid w:val="00C43584"/>
    <w:rsid w:val="00C46678"/>
    <w:rsid w:val="00C874D0"/>
    <w:rsid w:val="00C926CE"/>
    <w:rsid w:val="00CA0D43"/>
    <w:rsid w:val="00CB43A0"/>
    <w:rsid w:val="00CC11CC"/>
    <w:rsid w:val="00CC635C"/>
    <w:rsid w:val="00CD6604"/>
    <w:rsid w:val="00CE52B1"/>
    <w:rsid w:val="00D00718"/>
    <w:rsid w:val="00D12D22"/>
    <w:rsid w:val="00D14084"/>
    <w:rsid w:val="00D34DC5"/>
    <w:rsid w:val="00D453CB"/>
    <w:rsid w:val="00D66E5E"/>
    <w:rsid w:val="00D84A3E"/>
    <w:rsid w:val="00DB0AA1"/>
    <w:rsid w:val="00DC699E"/>
    <w:rsid w:val="00DD6AB4"/>
    <w:rsid w:val="00DE1FEE"/>
    <w:rsid w:val="00E368FA"/>
    <w:rsid w:val="00E5234A"/>
    <w:rsid w:val="00E84EA4"/>
    <w:rsid w:val="00E944CF"/>
    <w:rsid w:val="00EC47B4"/>
    <w:rsid w:val="00ED111F"/>
    <w:rsid w:val="00ED67D7"/>
    <w:rsid w:val="00EF63A4"/>
    <w:rsid w:val="00F063C9"/>
    <w:rsid w:val="00F20509"/>
    <w:rsid w:val="00F309F5"/>
    <w:rsid w:val="00F33D7D"/>
    <w:rsid w:val="00F36948"/>
    <w:rsid w:val="00F41812"/>
    <w:rsid w:val="00F4766C"/>
    <w:rsid w:val="00F7348E"/>
    <w:rsid w:val="00F74CE8"/>
    <w:rsid w:val="00F77EBB"/>
    <w:rsid w:val="00FA27A4"/>
    <w:rsid w:val="00FA3795"/>
    <w:rsid w:val="00FA4469"/>
    <w:rsid w:val="00FC1258"/>
    <w:rsid w:val="00FD1993"/>
    <w:rsid w:val="00FF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BCF22A"/>
  <w15:docId w15:val="{DCFFA14E-A60A-4ECC-8BA6-2D39B7F5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lang w:eastAsia="en-US"/>
    </w:rPr>
  </w:style>
  <w:style w:type="paragraph" w:styleId="Heading1">
    <w:name w:val="heading 1"/>
    <w:basedOn w:val="Normal"/>
    <w:next w:val="Normal"/>
    <w:link w:val="Heading1Char"/>
    <w:qFormat/>
    <w:rsid w:val="00241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417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qFormat/>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uiPriority w:val="99"/>
    <w:rsid w:val="002B27FA"/>
    <w:pPr>
      <w:tabs>
        <w:tab w:val="center" w:pos="4680"/>
        <w:tab w:val="right" w:pos="9360"/>
      </w:tabs>
    </w:pPr>
  </w:style>
  <w:style w:type="character" w:customStyle="1" w:styleId="HeaderChar">
    <w:name w:val="Header Char"/>
    <w:link w:val="Header"/>
    <w:uiPriority w:val="99"/>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rsid w:val="00CC635C"/>
    <w:rPr>
      <w:color w:val="0000FF"/>
      <w:u w:val="single"/>
    </w:rPr>
  </w:style>
  <w:style w:type="paragraph" w:customStyle="1" w:styleId="Default">
    <w:name w:val="Default"/>
    <w:rsid w:val="00CC635C"/>
    <w:pPr>
      <w:autoSpaceDE w:val="0"/>
      <w:autoSpaceDN w:val="0"/>
      <w:adjustRightInd w:val="0"/>
    </w:pPr>
    <w:rPr>
      <w:color w:val="000000"/>
      <w:sz w:val="24"/>
      <w:szCs w:val="24"/>
      <w:lang w:eastAsia="en-US"/>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FollowedHyperlink">
    <w:name w:val="FollowedHyperlink"/>
    <w:rsid w:val="009568C8"/>
    <w:rPr>
      <w:color w:val="954F72"/>
      <w:u w:val="single"/>
    </w:rPr>
  </w:style>
  <w:style w:type="paragraph" w:styleId="FootnoteText">
    <w:name w:val="footnote text"/>
    <w:aliases w:val="ft,Footnote Text Char Char,fn,Footnote Text Char Char Char Char Char Char Char Char Char Char Char Char Char Char Char Char Char,Footnote Text Char1 Char Char,Footnote Text Char Char Char Char,Style 15,Car,ALTS FOOTNOTE,Char,Fußnote"/>
    <w:basedOn w:val="Normal"/>
    <w:link w:val="FootnoteTextChar"/>
    <w:uiPriority w:val="99"/>
    <w:qFormat/>
    <w:rsid w:val="00174A54"/>
    <w:rPr>
      <w:rFonts w:ascii="Arial" w:hAnsi="Arial" w:cs="Arial"/>
      <w:szCs w:val="20"/>
    </w:rPr>
  </w:style>
  <w:style w:type="character" w:customStyle="1" w:styleId="FootnoteTextChar">
    <w:name w:val="Footnote Text Char"/>
    <w:aliases w:val="ft Char,Footnote Text Char Char Char,fn Char,Footnote Text Char Char Char Char Char Char Char Char Char Char Char Char Char Char Char Char Char Char,Footnote Text Char1 Char Char Char,Footnote Text Char Char Char Char Char,Car Char"/>
    <w:link w:val="FootnoteText"/>
    <w:uiPriority w:val="99"/>
    <w:rsid w:val="00174A54"/>
    <w:rPr>
      <w:rFonts w:ascii="Arial" w:hAnsi="Arial" w:cs="Arial"/>
      <w:lang w:eastAsia="en-US"/>
    </w:rPr>
  </w:style>
  <w:style w:type="character" w:styleId="CommentReference">
    <w:name w:val="annotation reference"/>
    <w:basedOn w:val="DefaultParagraphFont"/>
    <w:uiPriority w:val="99"/>
    <w:rsid w:val="00CC11CC"/>
    <w:rPr>
      <w:sz w:val="16"/>
      <w:szCs w:val="16"/>
    </w:rPr>
  </w:style>
  <w:style w:type="paragraph" w:styleId="CommentText">
    <w:name w:val="annotation text"/>
    <w:basedOn w:val="Normal"/>
    <w:link w:val="CommentTextChar"/>
    <w:uiPriority w:val="99"/>
    <w:rsid w:val="00CC11CC"/>
    <w:rPr>
      <w:szCs w:val="20"/>
    </w:rPr>
  </w:style>
  <w:style w:type="character" w:customStyle="1" w:styleId="CommentTextChar">
    <w:name w:val="Comment Text Char"/>
    <w:basedOn w:val="DefaultParagraphFont"/>
    <w:link w:val="CommentText"/>
    <w:uiPriority w:val="99"/>
    <w:rsid w:val="00CC11CC"/>
    <w:rPr>
      <w:rFonts w:ascii="Courier" w:hAnsi="Courier"/>
      <w:lang w:eastAsia="en-US"/>
    </w:rPr>
  </w:style>
  <w:style w:type="paragraph" w:styleId="CommentSubject">
    <w:name w:val="annotation subject"/>
    <w:basedOn w:val="CommentText"/>
    <w:next w:val="CommentText"/>
    <w:link w:val="CommentSubjectChar"/>
    <w:rsid w:val="00CC11CC"/>
    <w:rPr>
      <w:b/>
      <w:bCs/>
    </w:rPr>
  </w:style>
  <w:style w:type="character" w:customStyle="1" w:styleId="CommentSubjectChar">
    <w:name w:val="Comment Subject Char"/>
    <w:basedOn w:val="CommentTextChar"/>
    <w:link w:val="CommentSubject"/>
    <w:rsid w:val="00CC11CC"/>
    <w:rPr>
      <w:rFonts w:ascii="Courier" w:hAnsi="Courier"/>
      <w:b/>
      <w:bCs/>
      <w:lang w:eastAsia="en-US"/>
    </w:rPr>
  </w:style>
  <w:style w:type="paragraph" w:styleId="PlainText">
    <w:name w:val="Plain Text"/>
    <w:basedOn w:val="Normal"/>
    <w:link w:val="PlainTextChar"/>
    <w:rsid w:val="004F1E9C"/>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4F1E9C"/>
    <w:rPr>
      <w:rFonts w:ascii="Courier New" w:hAnsi="Courier New" w:cs="Courier New"/>
      <w:lang w:eastAsia="en-US"/>
    </w:rPr>
  </w:style>
  <w:style w:type="character" w:customStyle="1" w:styleId="Heading1Char">
    <w:name w:val="Heading 1 Char"/>
    <w:basedOn w:val="DefaultParagraphFont"/>
    <w:link w:val="Heading1"/>
    <w:rsid w:val="002417E4"/>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2417E4"/>
    <w:rPr>
      <w:rFonts w:asciiTheme="majorHAnsi" w:eastAsiaTheme="majorEastAsia" w:hAnsiTheme="majorHAnsi" w:cstheme="majorBidi"/>
      <w:color w:val="2E74B5" w:themeColor="accent1" w:themeShade="BF"/>
      <w:sz w:val="26"/>
      <w:szCs w:val="26"/>
      <w:lang w:eastAsia="en-US"/>
    </w:rPr>
  </w:style>
  <w:style w:type="table" w:customStyle="1" w:styleId="TableGrid1">
    <w:name w:val="Table Grid1"/>
    <w:basedOn w:val="TableNormal"/>
    <w:next w:val="TableGrid"/>
    <w:uiPriority w:val="39"/>
    <w:rsid w:val="005325B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32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5B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84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1/subtitle-B/chapter-X/part-1010/subpart-F/subject-group-ECFR38b4e037e434276/section-1010.630" TargetMode="External"/><Relationship Id="rId13" Type="http://schemas.openxmlformats.org/officeDocument/2006/relationships/header" Target="header2.xml"/><Relationship Id="rId1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31/subtitle-B/chapter-X/part-1010/subpart-F/subject-group-ECFR38b4e037e434276/section-1010.6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cfr.gov/current/title-31/subtitle-B/chapter-X/part-1010/subpart-F/subject-group-ECFR38b4e037e434276/section-1010.6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31/subtitle-B/chapter-X/part-1010/subpart-F/subject-group-ECFR38b4e037e434276/section-1010.63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ederalreserve.gov/releases/iba/202109/default.htm" TargetMode="External"/><Relationship Id="rId3" Type="http://schemas.openxmlformats.org/officeDocument/2006/relationships/hyperlink" Target="https://www.law.cornell.edu/definitions/uscode.php?width=840&amp;height=800&amp;iframe=true&amp;def_id=31-USC-2032517217-190712316&amp;term_occur=999&amp;term_src=" TargetMode="External"/><Relationship Id="rId7" Type="http://schemas.openxmlformats.org/officeDocument/2006/relationships/hyperlink" Target="https://www.federalregister.gov/documents/2022/02/10/2022-02885/agency-information-collection-activities-proposed-renewal-comment-request-renewal-without-change-of" TargetMode="External"/><Relationship Id="rId2" Type="http://schemas.openxmlformats.org/officeDocument/2006/relationships/hyperlink" Target="https://www.law.cornell.edu/uscode/text/12/1813" TargetMode="External"/><Relationship Id="rId1" Type="http://schemas.openxmlformats.org/officeDocument/2006/relationships/hyperlink" Target="https://www.law.cornell.edu/topn/bank_deposit_insurance_act" TargetMode="External"/><Relationship Id="rId6" Type="http://schemas.openxmlformats.org/officeDocument/2006/relationships/hyperlink" Target="https://www.fincen.gov/sites/default/files/shared/Certification%20Regarding%20Correspondent%20Accounts%20for%20Foreign%20Banks.pdf" TargetMode="External"/><Relationship Id="rId5" Type="http://schemas.openxmlformats.org/officeDocument/2006/relationships/hyperlink" Target="https://www.law.cornell.edu/uscode/text/15/78a" TargetMode="External"/><Relationship Id="rId4" Type="http://schemas.openxmlformats.org/officeDocument/2006/relationships/hyperlink" Target="https://www.law.cornell.edu/topn/securities_exchange_act_of_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1931-670C-4424-BB37-E9F7ADA0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1802</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13039</CharactersWithSpaces>
  <SharedDoc>false</SharedDoc>
  <HLinks>
    <vt:vector size="6" baseType="variant">
      <vt:variant>
        <vt:i4>1048682</vt:i4>
      </vt:variant>
      <vt:variant>
        <vt:i4>0</vt:i4>
      </vt:variant>
      <vt:variant>
        <vt:i4>0</vt:i4>
      </vt:variant>
      <vt:variant>
        <vt:i4>5</vt:i4>
      </vt:variant>
      <vt:variant>
        <vt:lpwstr>http://www.fincen.gov/statutes_regs/ChapterX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Stewart, Jaclyn</cp:lastModifiedBy>
  <cp:revision>5</cp:revision>
  <cp:lastPrinted>2018-10-01T11:23:00Z</cp:lastPrinted>
  <dcterms:created xsi:type="dcterms:W3CDTF">2022-04-18T18:58:00Z</dcterms:created>
  <dcterms:modified xsi:type="dcterms:W3CDTF">2022-04-18T19:07:00Z</dcterms:modified>
</cp:coreProperties>
</file>