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15D80" w:rsidR="00813F63" w:rsidP="00D53EF1" w:rsidRDefault="00813F63" w14:paraId="1B730B42" w14:textId="77777777">
      <w:pPr>
        <w:jc w:val="center"/>
        <w:rPr>
          <w:u w:val="single"/>
        </w:rPr>
      </w:pPr>
      <w:r w:rsidRPr="00C15D80">
        <w:rPr>
          <w:u w:val="single"/>
        </w:rPr>
        <w:t>Supporting Statement</w:t>
      </w:r>
    </w:p>
    <w:p w:rsidRPr="00C15D80" w:rsidR="00374CD1" w:rsidP="002506E3" w:rsidRDefault="00813F63" w14:paraId="7D639AFE" w14:textId="0BD3601B">
      <w:pPr>
        <w:jc w:val="center"/>
        <w:rPr>
          <w:u w:val="single"/>
        </w:rPr>
      </w:pPr>
      <w:r w:rsidRPr="00C15D80">
        <w:rPr>
          <w:u w:val="single"/>
        </w:rPr>
        <w:t>OMB Control Number 1506-0066</w:t>
      </w:r>
    </w:p>
    <w:p w:rsidRPr="00C15D80" w:rsidR="00374CD1" w:rsidP="002506E3" w:rsidRDefault="004C5E0D" w14:paraId="713DF3B6" w14:textId="0862CF25">
      <w:pPr>
        <w:pStyle w:val="BodyText"/>
      </w:pPr>
      <w:r w:rsidRPr="004C5E0D">
        <w:rPr>
          <w:bCs/>
        </w:rPr>
        <w:t xml:space="preserve">Reporting </w:t>
      </w:r>
      <w:r w:rsidR="002506E3">
        <w:rPr>
          <w:bCs/>
        </w:rPr>
        <w:t>O</w:t>
      </w:r>
      <w:r w:rsidRPr="004C5E0D">
        <w:rPr>
          <w:bCs/>
        </w:rPr>
        <w:t xml:space="preserve">bligations on </w:t>
      </w:r>
      <w:r w:rsidR="002506E3">
        <w:rPr>
          <w:bCs/>
        </w:rPr>
        <w:t>F</w:t>
      </w:r>
      <w:r w:rsidRPr="004C5E0D">
        <w:rPr>
          <w:bCs/>
        </w:rPr>
        <w:t xml:space="preserve">oreign </w:t>
      </w:r>
      <w:r w:rsidR="002506E3">
        <w:rPr>
          <w:bCs/>
        </w:rPr>
        <w:t>B</w:t>
      </w:r>
      <w:r w:rsidRPr="004C5E0D">
        <w:rPr>
          <w:bCs/>
        </w:rPr>
        <w:t xml:space="preserve">ank </w:t>
      </w:r>
      <w:r w:rsidR="002506E3">
        <w:rPr>
          <w:bCs/>
        </w:rPr>
        <w:t>R</w:t>
      </w:r>
      <w:r w:rsidRPr="004C5E0D">
        <w:rPr>
          <w:bCs/>
        </w:rPr>
        <w:t>elationships with Iranian-</w:t>
      </w:r>
      <w:r w:rsidR="002506E3">
        <w:rPr>
          <w:bCs/>
        </w:rPr>
        <w:t>L</w:t>
      </w:r>
      <w:r w:rsidRPr="004C5E0D">
        <w:rPr>
          <w:bCs/>
        </w:rPr>
        <w:t xml:space="preserve">inked </w:t>
      </w:r>
      <w:r w:rsidR="002506E3">
        <w:rPr>
          <w:bCs/>
        </w:rPr>
        <w:t>F</w:t>
      </w:r>
      <w:r w:rsidRPr="004C5E0D">
        <w:rPr>
          <w:bCs/>
        </w:rPr>
        <w:t xml:space="preserve">inancial </w:t>
      </w:r>
      <w:r w:rsidR="002506E3">
        <w:rPr>
          <w:bCs/>
        </w:rPr>
        <w:t>I</w:t>
      </w:r>
      <w:r w:rsidRPr="004C5E0D">
        <w:rPr>
          <w:bCs/>
        </w:rPr>
        <w:t xml:space="preserve">nstitutions </w:t>
      </w:r>
      <w:r w:rsidR="002506E3">
        <w:rPr>
          <w:bCs/>
        </w:rPr>
        <w:t>D</w:t>
      </w:r>
      <w:r w:rsidRPr="004C5E0D">
        <w:rPr>
          <w:bCs/>
        </w:rPr>
        <w:t>esignated under IEEPA and IRGC-</w:t>
      </w:r>
      <w:r w:rsidR="002506E3">
        <w:rPr>
          <w:bCs/>
        </w:rPr>
        <w:t>L</w:t>
      </w:r>
      <w:r w:rsidRPr="004C5E0D">
        <w:rPr>
          <w:bCs/>
        </w:rPr>
        <w:t xml:space="preserve">inked </w:t>
      </w:r>
      <w:r w:rsidR="002506E3">
        <w:rPr>
          <w:bCs/>
        </w:rPr>
        <w:t>P</w:t>
      </w:r>
      <w:r w:rsidRPr="004C5E0D">
        <w:rPr>
          <w:bCs/>
        </w:rPr>
        <w:t xml:space="preserve">ersons </w:t>
      </w:r>
      <w:r w:rsidR="002506E3">
        <w:rPr>
          <w:bCs/>
        </w:rPr>
        <w:t>D</w:t>
      </w:r>
      <w:r w:rsidRPr="004C5E0D">
        <w:rPr>
          <w:bCs/>
        </w:rPr>
        <w:t>esignated under IEEPA</w:t>
      </w:r>
      <w:r w:rsidRPr="004C5E0D" w:rsidDel="004C5E0D">
        <w:rPr>
          <w:bCs/>
        </w:rPr>
        <w:t xml:space="preserve"> </w:t>
      </w:r>
    </w:p>
    <w:p w:rsidRPr="00C15D80" w:rsidR="00374CD1" w:rsidRDefault="00374CD1" w14:paraId="70BB8D9E" w14:textId="77777777">
      <w:pPr>
        <w:tabs>
          <w:tab w:val="center" w:pos="4680"/>
        </w:tabs>
      </w:pPr>
      <w:r w:rsidRPr="00C15D80">
        <w:tab/>
      </w:r>
    </w:p>
    <w:p w:rsidRPr="00C15D80" w:rsidR="00447EA9" w:rsidP="00C15D80" w:rsidRDefault="00F871E7" w14:paraId="6634D404" w14:textId="77777777">
      <w:r w:rsidRPr="00C15D80">
        <w:t>1.</w:t>
      </w:r>
      <w:r w:rsidRPr="00C15D80" w:rsidR="00CC162B">
        <w:t xml:space="preserve"> </w:t>
      </w:r>
      <w:r w:rsidRPr="00C15D80">
        <w:t xml:space="preserve"> </w:t>
      </w:r>
      <w:r w:rsidRPr="00C15D80" w:rsidR="00374CD1">
        <w:rPr>
          <w:u w:val="single"/>
        </w:rPr>
        <w:t>Circumstances necessitating collection of information.</w:t>
      </w:r>
      <w:r w:rsidRPr="00C15D80" w:rsidR="00374CD1">
        <w:t xml:space="preserve">  </w:t>
      </w:r>
    </w:p>
    <w:p w:rsidR="00447EA9" w:rsidP="00447EA9" w:rsidRDefault="00447EA9" w14:paraId="13B693C5" w14:textId="4F966A28">
      <w:pPr>
        <w:ind w:left="450" w:firstLine="270"/>
      </w:pPr>
    </w:p>
    <w:p w:rsidRPr="0035191E" w:rsidR="002506E3" w:rsidP="002506E3" w:rsidRDefault="002506E3" w14:paraId="7762B001" w14:textId="2C29C41E">
      <w:pPr>
        <w:autoSpaceDE/>
        <w:autoSpaceDN/>
        <w:adjustRightInd/>
        <w:spacing w:before="2"/>
        <w:ind w:firstLine="720"/>
      </w:pPr>
      <w:r w:rsidRPr="0035191E">
        <w:t>The legislative framework generally referred to as the Bank Secrecy Act (BSA) consists of the Currency and F</w:t>
      </w:r>
      <w:r w:rsidR="00865FA0">
        <w:t>oreign</w:t>
      </w:r>
      <w:r w:rsidRPr="0035191E">
        <w:t xml:space="preserve"> Transactions Reporting Act of 1970, as amended by the Uniting and Strengthening America by Providing Appropriate Tools Required to Intercept and Obstruct Terrorism Act of 2001 (USA PATRIOT Act), Public Law 107–56 (October 26, 2001), and other legislation, including most recently the Anti-Money Laundering Act of 2020 (AML Act).</w:t>
      </w:r>
      <w:r w:rsidRPr="0035191E">
        <w:rPr>
          <w:rFonts w:eastAsia="Calibri"/>
          <w:vertAlign w:val="superscript"/>
        </w:rPr>
        <w:footnoteReference w:id="1"/>
      </w:r>
      <w:r w:rsidRPr="0035191E">
        <w:rPr>
          <w:rFonts w:eastAsia="Calibri"/>
        </w:rPr>
        <w:t xml:space="preserve">  </w:t>
      </w:r>
      <w:r w:rsidRPr="0035191E">
        <w:t xml:space="preserve">The BSA is codified at 12 U.S.C. 1829b, 12 U.S.C. 1951–1960, 31 U.S.C. 5311–5314 and 5316–5336, and includes notes thereto, with implementing regulations at 31 CFR Chapter X.  </w:t>
      </w:r>
    </w:p>
    <w:p w:rsidRPr="0035191E" w:rsidR="002506E3" w:rsidP="002506E3" w:rsidRDefault="002506E3" w14:paraId="200707A8" w14:textId="77777777">
      <w:pPr>
        <w:autoSpaceDE/>
        <w:autoSpaceDN/>
        <w:adjustRightInd/>
        <w:spacing w:before="2"/>
        <w:ind w:firstLine="720"/>
      </w:pPr>
    </w:p>
    <w:p w:rsidR="002506E3" w:rsidP="002506E3" w:rsidRDefault="002506E3" w14:paraId="48BD8415" w14:textId="77777777">
      <w:pPr>
        <w:ind w:firstLine="720"/>
        <w:rPr>
          <w:rFonts w:eastAsia="MS Mincho"/>
        </w:rPr>
      </w:pPr>
      <w:r w:rsidRPr="0035191E">
        <w:t xml:space="preserve">The BSA authorizes the Secretary of the Treasury (the “Secretary”), </w:t>
      </w:r>
      <w:r w:rsidRPr="0095470E">
        <w:rPr>
          <w:i/>
        </w:rPr>
        <w:t>inter alia</w:t>
      </w:r>
      <w:r w:rsidRPr="0035191E">
        <w:t>, to require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AML programs and compliance procedures.</w:t>
      </w:r>
      <w:r w:rsidRPr="0035191E">
        <w:rPr>
          <w:vertAlign w:val="superscript"/>
        </w:rPr>
        <w:footnoteReference w:id="2"/>
      </w:r>
      <w:r w:rsidRPr="0035191E">
        <w:t xml:space="preserve">  The authority of the Secretary to administer the BSA has been delegated to the Director of FinCEN.</w:t>
      </w:r>
      <w:r w:rsidRPr="0035191E">
        <w:rPr>
          <w:vertAlign w:val="superscript"/>
        </w:rPr>
        <w:footnoteReference w:id="3"/>
      </w:r>
      <w:r w:rsidRPr="0035191E">
        <w:t xml:space="preserve"> </w:t>
      </w:r>
    </w:p>
    <w:p w:rsidR="002506E3" w:rsidP="00447EA9" w:rsidRDefault="002506E3" w14:paraId="58736143" w14:textId="1574C1C8">
      <w:pPr>
        <w:ind w:left="450" w:firstLine="270"/>
      </w:pPr>
    </w:p>
    <w:p w:rsidR="00A61B3C" w:rsidP="00A61B3C" w:rsidRDefault="00700DD2" w14:paraId="28BB41A1" w14:textId="60AE9232">
      <w:pPr>
        <w:shd w:val="clear" w:color="auto" w:fill="FFFFFF"/>
        <w:ind w:firstLine="720"/>
        <w:rPr>
          <w:rFonts w:eastAsia="MS Mincho"/>
          <w:bCs/>
        </w:rPr>
      </w:pPr>
      <w:r w:rsidRPr="005D53AA">
        <w:t>The Comprehensive Iran Sanctions, Accountability, and Divestment Act of 2010 (CISADA) amended the Iran Sanctions Act of 1996 by expanding economic sanctions against Iran</w:t>
      </w:r>
      <w:r w:rsidRPr="005D53AA">
        <w:rPr>
          <w:shd w:val="clear" w:color="auto" w:fill="FFFFFF"/>
        </w:rPr>
        <w:t xml:space="preserve">.  </w:t>
      </w:r>
      <w:r w:rsidRPr="005D53AA">
        <w:t>To comply with the Congressional mandate to prescribe regulations under section 104(e) of CISADA and consistent with its statutory mission under 31 U.S.C. 310, FinCEN issued a regulation requiring a U.S. bank</w:t>
      </w:r>
      <w:r w:rsidRPr="00700DD2">
        <w:rPr>
          <w:rStyle w:val="FootnoteReference"/>
          <w:rFonts w:eastAsia="MS Mincho"/>
          <w:bCs/>
          <w:vertAlign w:val="superscript"/>
        </w:rPr>
        <w:footnoteReference w:id="4"/>
      </w:r>
      <w:r w:rsidRPr="00700DD2">
        <w:rPr>
          <w:vertAlign w:val="superscript"/>
        </w:rPr>
        <w:t xml:space="preserve"> </w:t>
      </w:r>
      <w:r w:rsidRPr="005D53AA">
        <w:t>that maintains a correspondent account</w:t>
      </w:r>
      <w:r w:rsidRPr="00700DD2">
        <w:rPr>
          <w:rStyle w:val="FootnoteReference"/>
          <w:rFonts w:eastAsia="MS Mincho"/>
          <w:bCs/>
          <w:vertAlign w:val="superscript"/>
        </w:rPr>
        <w:footnoteReference w:id="5"/>
      </w:r>
      <w:r w:rsidRPr="00700DD2">
        <w:rPr>
          <w:vertAlign w:val="superscript"/>
        </w:rPr>
        <w:t xml:space="preserve"> </w:t>
      </w:r>
      <w:r w:rsidRPr="005D53AA">
        <w:t xml:space="preserve">for a specified foreign </w:t>
      </w:r>
      <w:r w:rsidRPr="005D53AA">
        <w:lastRenderedPageBreak/>
        <w:t>bank</w:t>
      </w:r>
      <w:r w:rsidRPr="00700DD2">
        <w:rPr>
          <w:rStyle w:val="FootnoteReference"/>
          <w:rFonts w:eastAsia="MS Mincho"/>
          <w:bCs/>
          <w:vertAlign w:val="superscript"/>
        </w:rPr>
        <w:footnoteReference w:id="6"/>
      </w:r>
      <w:r w:rsidRPr="00700DD2">
        <w:rPr>
          <w:vertAlign w:val="superscript"/>
        </w:rPr>
        <w:t xml:space="preserve"> </w:t>
      </w:r>
      <w:r w:rsidRPr="005D53AA">
        <w:t>to ask of the foreign bank, and report to FinCEN, certain information about transactions or other financial services provided by that foreign bank.</w:t>
      </w:r>
      <w:r w:rsidRPr="005D53AA">
        <w:rPr>
          <w:i/>
          <w:iCs/>
        </w:rPr>
        <w:t xml:space="preserve">  </w:t>
      </w:r>
      <w:r w:rsidRPr="005D53AA">
        <w:t>Under the regulation, U.S. banks are only required to report this information to FinCEN upon receiving a specific written request from FinCEN (“CISADA Request”).  The regulation implementing section 104(e) of CISADA appears at 31 CFR 1060.300.</w:t>
      </w:r>
      <w:r w:rsidRPr="005D53AA">
        <w:rPr>
          <w:rFonts w:eastAsia="MS Mincho"/>
          <w:bCs/>
        </w:rPr>
        <w:t xml:space="preserve">  </w:t>
      </w:r>
    </w:p>
    <w:p w:rsidRPr="00A61B3C" w:rsidR="00700DD2" w:rsidP="00A61B3C" w:rsidRDefault="00700DD2" w14:paraId="27DF314C" w14:textId="34213B13">
      <w:pPr>
        <w:shd w:val="clear" w:color="auto" w:fill="FFFFFF"/>
        <w:ind w:firstLine="720"/>
        <w:rPr>
          <w:rFonts w:eastAsia="MS Mincho"/>
          <w:bCs/>
          <w:u w:val="single"/>
        </w:rPr>
      </w:pPr>
    </w:p>
    <w:p w:rsidR="00700DD2" w:rsidP="00700DD2" w:rsidRDefault="00700DD2" w14:paraId="3873014F" w14:textId="4C802150">
      <w:pPr>
        <w:shd w:val="clear" w:color="auto" w:fill="FFFFFF"/>
        <w:ind w:firstLine="720"/>
        <w:rPr>
          <w:rFonts w:eastAsia="MS Mincho"/>
          <w:bCs/>
        </w:rPr>
      </w:pPr>
      <w:r w:rsidRPr="005D53AA">
        <w:rPr>
          <w:rFonts w:eastAsia="MS Mincho"/>
          <w:bCs/>
        </w:rPr>
        <w:t xml:space="preserve">Upon receiving a CISADA Request, a U.S. bank that maintains a correspondent account for a specified foreign bank is required under 31 CFR 1060.300(a) to inquire of the foreign bank, and report to FinCEN: (i) any correspondent account maintained by such foreign bank for an Iranian-linked financial institution designated under </w:t>
      </w:r>
      <w:r w:rsidR="0031109D">
        <w:rPr>
          <w:rFonts w:eastAsia="MS Mincho"/>
          <w:bCs/>
        </w:rPr>
        <w:t>the International Emergency Economic Powers Act (</w:t>
      </w:r>
      <w:r w:rsidRPr="005D53AA">
        <w:rPr>
          <w:rFonts w:eastAsia="MS Mincho"/>
          <w:bCs/>
        </w:rPr>
        <w:t>IEEPA</w:t>
      </w:r>
      <w:r w:rsidR="0031109D">
        <w:rPr>
          <w:rFonts w:eastAsia="MS Mincho"/>
          <w:bCs/>
        </w:rPr>
        <w:t>)</w:t>
      </w:r>
      <w:r w:rsidRPr="0031109D">
        <w:rPr>
          <w:rFonts w:eastAsia="MS Mincho"/>
          <w:bCs/>
          <w:vertAlign w:val="superscript"/>
        </w:rPr>
        <w:t xml:space="preserve"> </w:t>
      </w:r>
      <w:r w:rsidRPr="005D53AA">
        <w:rPr>
          <w:rFonts w:eastAsia="MS Mincho"/>
          <w:bCs/>
        </w:rPr>
        <w:t>(“Iranian-linked Financial Institution”)</w:t>
      </w:r>
      <w:r w:rsidRPr="00A61B3C">
        <w:rPr>
          <w:rStyle w:val="FootnoteReference"/>
          <w:rFonts w:eastAsia="MS Mincho"/>
          <w:bCs/>
          <w:vertAlign w:val="superscript"/>
        </w:rPr>
        <w:footnoteReference w:id="7"/>
      </w:r>
      <w:r w:rsidRPr="005D53AA">
        <w:rPr>
          <w:rFonts w:eastAsia="MS Mincho"/>
          <w:bCs/>
        </w:rPr>
        <w:t xml:space="preserve">; (ii) any direct or indirect transfer of funds for or on behalf of an Iranian-linked Financial Institution processed by such foreign bank within the preceding 90 calendar days, other than through a correspondent account; (iii) and any direct or indirect transfer of funds for or on behalf of an </w:t>
      </w:r>
      <w:r w:rsidR="00FA58C2">
        <w:rPr>
          <w:rFonts w:eastAsia="MS Mincho"/>
          <w:bCs/>
        </w:rPr>
        <w:t>Islamic</w:t>
      </w:r>
      <w:r w:rsidR="00265677">
        <w:rPr>
          <w:rFonts w:eastAsia="MS Mincho"/>
          <w:bCs/>
        </w:rPr>
        <w:t xml:space="preserve"> Revolutionary Guard Corps</w:t>
      </w:r>
      <w:r w:rsidR="00B0107D">
        <w:rPr>
          <w:rFonts w:eastAsia="MS Mincho"/>
          <w:bCs/>
        </w:rPr>
        <w:t xml:space="preserve"> (</w:t>
      </w:r>
      <w:r w:rsidRPr="005D53AA">
        <w:rPr>
          <w:rFonts w:eastAsia="MS Mincho"/>
          <w:bCs/>
        </w:rPr>
        <w:t>IRGC</w:t>
      </w:r>
      <w:r w:rsidR="00B0107D">
        <w:rPr>
          <w:rFonts w:eastAsia="MS Mincho"/>
          <w:bCs/>
        </w:rPr>
        <w:t>)</w:t>
      </w:r>
      <w:r w:rsidRPr="005D53AA">
        <w:rPr>
          <w:rFonts w:eastAsia="MS Mincho"/>
          <w:bCs/>
        </w:rPr>
        <w:t>-linked person designated under IEEPA (“IRGC-linked Person”)</w:t>
      </w:r>
      <w:r w:rsidRPr="00A61B3C">
        <w:rPr>
          <w:rStyle w:val="FootnoteReference"/>
          <w:rFonts w:eastAsia="MS Mincho"/>
          <w:bCs/>
          <w:vertAlign w:val="superscript"/>
        </w:rPr>
        <w:footnoteReference w:id="8"/>
      </w:r>
      <w:r w:rsidRPr="00A61B3C">
        <w:rPr>
          <w:rFonts w:eastAsia="MS Mincho"/>
          <w:bCs/>
          <w:vertAlign w:val="superscript"/>
        </w:rPr>
        <w:t xml:space="preserve"> </w:t>
      </w:r>
      <w:r w:rsidRPr="005D53AA">
        <w:rPr>
          <w:rFonts w:eastAsia="MS Mincho"/>
          <w:bCs/>
        </w:rPr>
        <w:t>processed by such foreign bank within the preceding 90 calendar days.</w:t>
      </w:r>
    </w:p>
    <w:p w:rsidRPr="005D53AA" w:rsidR="00A61B3C" w:rsidP="00A61B3C" w:rsidRDefault="00A61B3C" w14:paraId="47372702" w14:textId="7F67D67B">
      <w:pPr>
        <w:shd w:val="clear" w:color="auto" w:fill="FFFFFF"/>
      </w:pPr>
    </w:p>
    <w:p w:rsidR="00700DD2" w:rsidP="00700DD2" w:rsidRDefault="00700DD2" w14:paraId="3F010F1C" w14:textId="0B2D641E">
      <w:pPr>
        <w:shd w:val="clear" w:color="auto" w:fill="FFFFFF"/>
        <w:ind w:firstLine="720"/>
      </w:pPr>
      <w:r w:rsidRPr="005D53AA">
        <w:t>FinCEN has developed an optional certification form</w:t>
      </w:r>
      <w:r w:rsidRPr="00A61B3C">
        <w:rPr>
          <w:rStyle w:val="FootnoteReference"/>
          <w:vertAlign w:val="superscript"/>
        </w:rPr>
        <w:footnoteReference w:id="9"/>
      </w:r>
      <w:r w:rsidRPr="005D53AA">
        <w:t xml:space="preserve"> that includes a request to the foreign bank for information required under 31 CFR 1060.300.  U.S. banks may use the certification form to obtain the necessary information from the foreign bank.</w:t>
      </w:r>
    </w:p>
    <w:p w:rsidRPr="00A61B3C" w:rsidR="00700DD2" w:rsidP="00A61B3C" w:rsidRDefault="00700DD2" w14:paraId="7550C6B8" w14:textId="4EEEC43C">
      <w:pPr>
        <w:shd w:val="clear" w:color="auto" w:fill="FFFFFF"/>
        <w:rPr>
          <w:color w:val="000000"/>
        </w:rPr>
      </w:pPr>
    </w:p>
    <w:p w:rsidRPr="00C15D80" w:rsidR="00374CD1" w:rsidP="00A61B3C" w:rsidRDefault="00700DD2" w14:paraId="5E4F98C6" w14:textId="1B7B27CE">
      <w:pPr>
        <w:pStyle w:val="NormalWeb"/>
        <w:shd w:val="clear" w:color="auto" w:fill="FFFFFF"/>
        <w:spacing w:before="0" w:beforeAutospacing="0" w:after="0" w:afterAutospacing="0"/>
        <w:ind w:firstLine="720"/>
      </w:pPr>
      <w:r w:rsidRPr="005D53AA">
        <w:rPr>
          <w:rFonts w:eastAsia="MS Mincho"/>
          <w:bCs/>
        </w:rPr>
        <w:t xml:space="preserve">31 CFR 1060.300(d) requires that U.S. </w:t>
      </w:r>
      <w:r w:rsidRPr="005D53AA">
        <w:t>banks maintain a copy of any report filed and the original or any business record equivalent of any supporting documentation for a report, including a foreign bank certification or other responses to a FinCEN inquiry pursuant to 31 CFR 1060.300, for a period five years.</w:t>
      </w:r>
    </w:p>
    <w:p w:rsidRPr="00C15D80" w:rsidR="00374CD1" w:rsidRDefault="00374CD1" w14:paraId="2EA4C437" w14:textId="77777777"/>
    <w:p w:rsidRPr="00C15D80" w:rsidR="00447EA9" w:rsidP="00C15D80" w:rsidRDefault="00F871E7" w14:paraId="0208351F" w14:textId="77777777">
      <w:pPr>
        <w:rPr>
          <w:u w:val="single"/>
        </w:rPr>
      </w:pPr>
      <w:r w:rsidRPr="00C15D80">
        <w:t>2.</w:t>
      </w:r>
      <w:r w:rsidRPr="00C15D80" w:rsidR="00CC162B">
        <w:t xml:space="preserve"> </w:t>
      </w:r>
      <w:r w:rsidRPr="00C15D80">
        <w:t xml:space="preserve"> </w:t>
      </w:r>
      <w:r w:rsidRPr="00C15D80" w:rsidR="00447EA9">
        <w:rPr>
          <w:u w:val="single"/>
        </w:rPr>
        <w:t xml:space="preserve">Method of </w:t>
      </w:r>
      <w:r w:rsidRPr="00C15D80" w:rsidR="00A63FF8">
        <w:rPr>
          <w:u w:val="single"/>
        </w:rPr>
        <w:t>c</w:t>
      </w:r>
      <w:r w:rsidRPr="00C15D80" w:rsidR="00447EA9">
        <w:rPr>
          <w:u w:val="single"/>
        </w:rPr>
        <w:t xml:space="preserve">ollection and </w:t>
      </w:r>
      <w:r w:rsidRPr="00C15D80" w:rsidR="00A63FF8">
        <w:rPr>
          <w:u w:val="single"/>
        </w:rPr>
        <w:t>u</w:t>
      </w:r>
      <w:r w:rsidRPr="00C15D80" w:rsidR="00374CD1">
        <w:rPr>
          <w:u w:val="single"/>
        </w:rPr>
        <w:t xml:space="preserve">se of data.  </w:t>
      </w:r>
    </w:p>
    <w:p w:rsidR="00447EA9" w:rsidP="00447EA9" w:rsidRDefault="00447EA9" w14:paraId="0FEA9026" w14:textId="3929BCA2">
      <w:pPr>
        <w:ind w:left="720"/>
      </w:pPr>
    </w:p>
    <w:p w:rsidR="002730CC" w:rsidP="004C3456" w:rsidRDefault="002730CC" w14:paraId="113656D1" w14:textId="68BB568B">
      <w:pPr>
        <w:ind w:firstLine="720"/>
      </w:pPr>
      <w:r>
        <w:t>T</w:t>
      </w:r>
      <w:r w:rsidRPr="00B80077">
        <w:t xml:space="preserve">here are no specific methods required to collect information in response to </w:t>
      </w:r>
      <w:r w:rsidRPr="00C15D80">
        <w:rPr>
          <w:iCs/>
        </w:rPr>
        <w:t>CISADA</w:t>
      </w:r>
      <w:r w:rsidRPr="00B80077">
        <w:t xml:space="preserve"> requests. </w:t>
      </w:r>
      <w:r w:rsidR="004C3456">
        <w:t xml:space="preserve"> </w:t>
      </w:r>
      <w:r w:rsidR="00A81A45">
        <w:t xml:space="preserve">FinCEN will specify the format and manner to report the information. </w:t>
      </w:r>
      <w:r w:rsidR="00A55B4E">
        <w:t xml:space="preserve"> </w:t>
      </w:r>
      <w:r w:rsidR="00A81A45">
        <w:t>Typically FinCEN has required that CISADA responses be submitted via the Secure Information Sharing System</w:t>
      </w:r>
      <w:r w:rsidR="004B55AA">
        <w:t xml:space="preserve"> (SISS)</w:t>
      </w:r>
      <w:r w:rsidR="00A81A45">
        <w:t xml:space="preserve">.  </w:t>
      </w:r>
      <w:r w:rsidRPr="00B80077">
        <w:t xml:space="preserve">FinCEN has developed an optional certification form that includes a request to the foreign bank for information required under 31 CFR 1060.300.  U.S. banks may use the </w:t>
      </w:r>
      <w:r w:rsidRPr="00B80077">
        <w:lastRenderedPageBreak/>
        <w:t xml:space="preserve">certification form to obtain the necessary information from the foreign bank.  If applicable, FinCEN </w:t>
      </w:r>
      <w:r>
        <w:t>may specifically request</w:t>
      </w:r>
      <w:r w:rsidRPr="00B80077">
        <w:t xml:space="preserve"> confirmation that the U.S. bank does not maintain a corresponden</w:t>
      </w:r>
      <w:r>
        <w:t>t account for the foreign bank(s).</w:t>
      </w:r>
    </w:p>
    <w:p w:rsidR="002730CC" w:rsidP="004C3456" w:rsidRDefault="002730CC" w14:paraId="627829B8" w14:textId="1E76B57C">
      <w:pPr>
        <w:ind w:firstLine="720"/>
      </w:pPr>
    </w:p>
    <w:p w:rsidR="002730CC" w:rsidP="004C3456" w:rsidRDefault="002730CC" w14:paraId="4B1D06E6" w14:textId="071EC1E4">
      <w:pPr>
        <w:ind w:firstLine="720"/>
      </w:pPr>
      <w:r w:rsidRPr="002730CC">
        <w:t>The information collected and retained assists Federal, state and local law enforcement in tracing the proceeds of criminal or illegal activity and in identifying, investigating, and prosecuting individuals and entities involved in a variety of financial crimes.</w:t>
      </w:r>
    </w:p>
    <w:p w:rsidRPr="00C15D80" w:rsidR="002730CC" w:rsidP="00447EA9" w:rsidRDefault="002730CC" w14:paraId="3A419FC0" w14:textId="77777777">
      <w:pPr>
        <w:ind w:left="720"/>
      </w:pPr>
    </w:p>
    <w:p w:rsidRPr="00C15D80" w:rsidR="001F4A9F" w:rsidP="00C15D80" w:rsidRDefault="00907833" w14:paraId="34A8C9E4" w14:textId="01B35E8F">
      <w:pPr>
        <w:ind w:firstLine="720"/>
      </w:pPr>
      <w:r w:rsidRPr="00C15D80">
        <w:rPr>
          <w:iCs/>
        </w:rPr>
        <w:t xml:space="preserve">Any </w:t>
      </w:r>
      <w:r w:rsidRPr="00C15D80" w:rsidR="00D15F61">
        <w:rPr>
          <w:iCs/>
        </w:rPr>
        <w:t>information received will be used to provide FinCEN with information from U.S. banks regarding the nature of foreign bank activities that may be relevant to CISADA.  Based on the reports, immediate action may be taken under section 104(c) of CISADA or</w:t>
      </w:r>
      <w:r w:rsidR="00130642">
        <w:rPr>
          <w:iCs/>
        </w:rPr>
        <w:t xml:space="preserve"> </w:t>
      </w:r>
      <w:r w:rsidRPr="00C15D80" w:rsidR="00D15F61">
        <w:rPr>
          <w:iCs/>
        </w:rPr>
        <w:t xml:space="preserve">there may be consultation with foreign banks that maintain correspondent accounts for </w:t>
      </w:r>
      <w:r w:rsidRPr="00C15D80" w:rsidR="00D15F61">
        <w:t xml:space="preserve">Iranian-linked </w:t>
      </w:r>
      <w:r w:rsidR="009E4A47">
        <w:t>F</w:t>
      </w:r>
      <w:r w:rsidRPr="00C15D80" w:rsidR="009E4A47">
        <w:t xml:space="preserve">inancial </w:t>
      </w:r>
      <w:r w:rsidR="009E4A47">
        <w:t>I</w:t>
      </w:r>
      <w:r w:rsidRPr="00C15D80" w:rsidR="00D15F61">
        <w:t>nstitutions</w:t>
      </w:r>
      <w:r w:rsidRPr="00C15D80" w:rsidR="009025AE">
        <w:t>;</w:t>
      </w:r>
      <w:r w:rsidRPr="00C15D80" w:rsidR="00D15F61">
        <w:t xml:space="preserve"> that have processed one or more transfers of funds for or on behalf of, directly or indirectly, an Iranian-linked </w:t>
      </w:r>
      <w:r w:rsidR="00C30DF6">
        <w:t>F</w:t>
      </w:r>
      <w:r w:rsidRPr="00C15D80" w:rsidR="00D15F61">
        <w:t xml:space="preserve">inancial </w:t>
      </w:r>
      <w:r w:rsidR="00C30DF6">
        <w:t>I</w:t>
      </w:r>
      <w:r w:rsidRPr="00C15D80" w:rsidR="00D15F61">
        <w:t xml:space="preserve">nstitution or an IRGC-linked </w:t>
      </w:r>
      <w:r w:rsidR="00C30DF6">
        <w:t>P</w:t>
      </w:r>
      <w:r w:rsidRPr="00C15D80" w:rsidR="00D15F61">
        <w:t>erson</w:t>
      </w:r>
      <w:r w:rsidRPr="00C15D80" w:rsidR="009025AE">
        <w:t>;</w:t>
      </w:r>
      <w:r w:rsidRPr="00C15D80" w:rsidR="00D15F61">
        <w:t xml:space="preserve"> or that have been unwilling to respond to inquiries from the banks at which the foreign banks maintain correspondent accounts</w:t>
      </w:r>
      <w:r w:rsidRPr="00C15D80" w:rsidR="00D15F61">
        <w:rPr>
          <w:iCs/>
        </w:rPr>
        <w:t>.</w:t>
      </w:r>
      <w:r w:rsidRPr="00C15D80" w:rsidDel="00D15F61" w:rsidR="00D15F61">
        <w:t xml:space="preserve"> </w:t>
      </w:r>
    </w:p>
    <w:p w:rsidRPr="00C15D80" w:rsidR="00374CD1" w:rsidRDefault="00374CD1" w14:paraId="4A55F044" w14:textId="77777777">
      <w:pPr>
        <w:ind w:left="360"/>
      </w:pPr>
    </w:p>
    <w:p w:rsidRPr="00C15D80" w:rsidR="00447EA9" w:rsidP="00C15D80" w:rsidRDefault="00F871E7" w14:paraId="5DEF42A2" w14:textId="77777777">
      <w:r w:rsidRPr="00C15D80">
        <w:t>3.</w:t>
      </w:r>
      <w:r w:rsidRPr="00C15D80" w:rsidR="00CC162B">
        <w:t xml:space="preserve"> </w:t>
      </w:r>
      <w:r w:rsidRPr="00C15D80">
        <w:t xml:space="preserve"> </w:t>
      </w:r>
      <w:r w:rsidRPr="00C15D80" w:rsidR="00374CD1">
        <w:rPr>
          <w:u w:val="single"/>
        </w:rPr>
        <w:t xml:space="preserve">Use of improved information technology to reduce burden. </w:t>
      </w:r>
      <w:r w:rsidRPr="00C15D80" w:rsidR="00374CD1">
        <w:t xml:space="preserve"> </w:t>
      </w:r>
    </w:p>
    <w:p w:rsidRPr="00C15D80" w:rsidR="00447EA9" w:rsidP="00447EA9" w:rsidRDefault="00447EA9" w14:paraId="3EDC2A33" w14:textId="77777777">
      <w:pPr>
        <w:ind w:left="720"/>
      </w:pPr>
    </w:p>
    <w:p w:rsidR="00374CD1" w:rsidP="00247195" w:rsidRDefault="00A55B4E" w14:paraId="3A58CE37" w14:textId="524BA06C">
      <w:pPr>
        <w:ind w:firstLine="720"/>
      </w:pPr>
      <w:r>
        <w:t>As noted above, t</w:t>
      </w:r>
      <w:r w:rsidRPr="00B80077">
        <w:t xml:space="preserve">here are no specific methods required to collect information in response to </w:t>
      </w:r>
      <w:r w:rsidRPr="00C15D80">
        <w:rPr>
          <w:iCs/>
        </w:rPr>
        <w:t>CISADA</w:t>
      </w:r>
      <w:r w:rsidRPr="00B80077">
        <w:t xml:space="preserve"> requests. </w:t>
      </w:r>
      <w:r>
        <w:t xml:space="preserve"> FinCEN will specify the format and manner to report the information.  Typically FinCEN has required that CISADA responses be submitted via the </w:t>
      </w:r>
      <w:r w:rsidR="004B55AA">
        <w:t>SISS</w:t>
      </w:r>
      <w:r>
        <w:t xml:space="preserve">.  </w:t>
      </w:r>
      <w:r w:rsidRPr="00B80077">
        <w:t>FinCEN has developed an optional certification form that includes a request to the foreign bank for information required under 31 CFR 1060.300.  U.S. banks may use the certification form to obtain the necessary information from the foreign bank</w:t>
      </w:r>
      <w:r w:rsidR="00247195">
        <w:t>.</w:t>
      </w:r>
    </w:p>
    <w:p w:rsidRPr="00C15D80" w:rsidR="00247195" w:rsidP="00247195" w:rsidRDefault="00247195" w14:paraId="1CA2086F" w14:textId="77777777">
      <w:pPr>
        <w:ind w:firstLine="720"/>
      </w:pPr>
    </w:p>
    <w:p w:rsidRPr="00C15D80" w:rsidR="00447EA9" w:rsidP="00C15D80" w:rsidRDefault="00F871E7" w14:paraId="7BEBE307" w14:textId="77777777">
      <w:r w:rsidRPr="00C15D80">
        <w:t>4.</w:t>
      </w:r>
      <w:r w:rsidRPr="00C15D80" w:rsidR="00CC162B">
        <w:t xml:space="preserve"> </w:t>
      </w:r>
      <w:r w:rsidRPr="00C15D80">
        <w:t xml:space="preserve"> </w:t>
      </w:r>
      <w:r w:rsidRPr="00C15D80" w:rsidR="00374CD1">
        <w:rPr>
          <w:u w:val="single"/>
        </w:rPr>
        <w:t>Efforts to identify duplication.</w:t>
      </w:r>
      <w:r w:rsidRPr="00C15D80" w:rsidR="00374CD1">
        <w:t xml:space="preserve">  </w:t>
      </w:r>
    </w:p>
    <w:p w:rsidRPr="00C15D80" w:rsidR="00447EA9" w:rsidP="00447EA9" w:rsidRDefault="00447EA9" w14:paraId="23717596" w14:textId="77777777">
      <w:pPr>
        <w:ind w:left="720"/>
        <w:rPr>
          <w:u w:val="single"/>
        </w:rPr>
      </w:pPr>
    </w:p>
    <w:p w:rsidRPr="00C15D80" w:rsidR="00374CD1" w:rsidP="00C15D80" w:rsidRDefault="004C5E0D" w14:paraId="52B8C0A6" w14:textId="6BCD5866">
      <w:pPr>
        <w:ind w:firstLine="720"/>
      </w:pPr>
      <w:r w:rsidRPr="004C5E0D">
        <w:t>There is no similar information available; thus there is no duplication.</w:t>
      </w:r>
    </w:p>
    <w:p w:rsidRPr="00C15D80" w:rsidR="00374CD1" w:rsidRDefault="00374CD1" w14:paraId="14C3933F" w14:textId="77777777"/>
    <w:p w:rsidRPr="00C15D80" w:rsidR="00447EA9" w:rsidP="00C15D80" w:rsidRDefault="00F871E7" w14:paraId="2DF4A3CA" w14:textId="77777777">
      <w:r w:rsidRPr="00C15D80">
        <w:t>5.</w:t>
      </w:r>
      <w:r w:rsidRPr="00C15D80" w:rsidR="00CC162B">
        <w:t xml:space="preserve"> </w:t>
      </w:r>
      <w:r w:rsidRPr="00C15D80">
        <w:t xml:space="preserve"> </w:t>
      </w:r>
      <w:r w:rsidRPr="00C15D80" w:rsidR="00374CD1">
        <w:rPr>
          <w:u w:val="single"/>
        </w:rPr>
        <w:t>Methods to minimize burden on small businesses or other small entities.</w:t>
      </w:r>
      <w:r w:rsidRPr="00C15D80" w:rsidR="00374CD1">
        <w:t xml:space="preserve">  </w:t>
      </w:r>
    </w:p>
    <w:p w:rsidRPr="00C15D80" w:rsidR="00447EA9" w:rsidP="00447EA9" w:rsidRDefault="00447EA9" w14:paraId="1D3C564D" w14:textId="77777777">
      <w:pPr>
        <w:ind w:left="720"/>
        <w:rPr>
          <w:u w:val="single"/>
        </w:rPr>
      </w:pPr>
    </w:p>
    <w:p w:rsidR="00374CD1" w:rsidP="00D56702" w:rsidRDefault="00247195" w14:paraId="4BFEC2EA" w14:textId="693184C2">
      <w:pPr>
        <w:ind w:firstLine="720"/>
      </w:pPr>
      <w:r w:rsidRPr="00B80077">
        <w:t xml:space="preserve">FinCEN has developed an optional certification form that includes a request to the foreign bank for information required under 31 CFR 1060.300.  U.S. banks may use the certification form to obtain the necessary information from the foreign bank.  </w:t>
      </w:r>
      <w:r>
        <w:t>In addition, financial institutions that maintain correspondent accounts with foreign banks are generally large institutions.</w:t>
      </w:r>
    </w:p>
    <w:p w:rsidR="00247195" w:rsidRDefault="00247195" w14:paraId="5C5573BD" w14:textId="1366EC91"/>
    <w:p w:rsidRPr="00C15D80" w:rsidR="00247195" w:rsidRDefault="00247195" w14:paraId="6E8E26DA" w14:textId="77777777">
      <w:pPr>
        <w:sectPr w:rsidRPr="00C15D80" w:rsidR="00247195" w:rsidSect="002B27FA">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1440" w:footer="1440" w:gutter="0"/>
          <w:cols w:space="720"/>
          <w:noEndnote/>
        </w:sectPr>
      </w:pPr>
    </w:p>
    <w:p w:rsidRPr="00C15D80" w:rsidR="00447EA9" w:rsidP="00C15D80" w:rsidRDefault="00F871E7" w14:paraId="0788799B" w14:textId="2863EFB1">
      <w:r w:rsidRPr="00C15D80">
        <w:t>6.</w:t>
      </w:r>
      <w:r w:rsidRPr="00C15D80" w:rsidR="00CC162B">
        <w:t xml:space="preserve"> </w:t>
      </w:r>
      <w:r w:rsidRPr="00C15D80">
        <w:t xml:space="preserve"> </w:t>
      </w:r>
      <w:r w:rsidRPr="00130642" w:rsidR="00130642">
        <w:rPr>
          <w:u w:val="single"/>
        </w:rPr>
        <w:t>Consequences to the Federal government of not collecting the information.</w:t>
      </w:r>
      <w:r w:rsidRPr="00C15D80" w:rsidR="00374CD1">
        <w:t xml:space="preserve">  </w:t>
      </w:r>
    </w:p>
    <w:p w:rsidRPr="00C15D80" w:rsidR="00447EA9" w:rsidP="00447EA9" w:rsidRDefault="00447EA9" w14:paraId="19ADE6AF" w14:textId="77777777">
      <w:pPr>
        <w:ind w:left="720"/>
        <w:rPr>
          <w:u w:val="single"/>
        </w:rPr>
      </w:pPr>
    </w:p>
    <w:p w:rsidRPr="00C15D80" w:rsidR="00374CD1" w:rsidP="00C15D80" w:rsidRDefault="009B6DA7" w14:paraId="3F7783F7" w14:textId="1ADF2663">
      <w:pPr>
        <w:ind w:firstLine="720"/>
      </w:pPr>
      <w:r w:rsidRPr="00AA6051">
        <w:rPr>
          <w:szCs w:val="22"/>
        </w:rPr>
        <w:t>The Federal government requires reporting of this information only upon request.</w:t>
      </w:r>
      <w:r w:rsidRPr="00C15D80" w:rsidR="00D15F61">
        <w:t xml:space="preserve"> FinCEN require</w:t>
      </w:r>
      <w:r w:rsidRPr="00C15D80" w:rsidR="00907833">
        <w:t>s</w:t>
      </w:r>
      <w:r w:rsidRPr="00C15D80" w:rsidR="00D15F61">
        <w:t xml:space="preserve"> reports from those banks that maintain correspondent accounts for the specific foreign banks that are of interest for purposes of CISADA implementation.</w:t>
      </w:r>
      <w:r w:rsidRPr="00C15D80" w:rsidR="00374CD1">
        <w:t xml:space="preserve">  </w:t>
      </w:r>
      <w:r>
        <w:t>A failure to collect the required</w:t>
      </w:r>
      <w:r w:rsidRPr="009B6DA7">
        <w:t xml:space="preserve"> information could hamper FinCEN and law enforcement efforts to detect and deter </w:t>
      </w:r>
      <w:r w:rsidRPr="009B6DA7">
        <w:lastRenderedPageBreak/>
        <w:t>illegal activity while it is still ongoing and discernible. The timely reporting of this information provides law enforcement with important investigative leads in order to take appropriate action, including tracing criminal proceeds, gathering additional evidence, seizing funds, and stopping the movement of funds before criminal elements can change their schemes for disposing of the profits of illegal activity.</w:t>
      </w:r>
    </w:p>
    <w:p w:rsidRPr="00C15D80" w:rsidR="00374CD1" w:rsidRDefault="00374CD1" w14:paraId="670E8401" w14:textId="77777777"/>
    <w:p w:rsidRPr="00C15D80" w:rsidR="00E626FA" w:rsidP="00C15D80" w:rsidRDefault="00F871E7" w14:paraId="32EAFC12" w14:textId="2CB3A1C8">
      <w:r w:rsidRPr="00C15D80">
        <w:t>7.</w:t>
      </w:r>
      <w:r w:rsidRPr="00C15D80" w:rsidR="00CC162B">
        <w:t xml:space="preserve"> </w:t>
      </w:r>
      <w:r w:rsidRPr="00C15D80">
        <w:t xml:space="preserve"> </w:t>
      </w:r>
      <w:r w:rsidRPr="00130642" w:rsidR="00130642">
        <w:rPr>
          <w:u w:val="single"/>
        </w:rPr>
        <w:t>Special circumstances requiring data collection inconsistent with guidelines.</w:t>
      </w:r>
      <w:r w:rsidRPr="00C15D80" w:rsidR="00374CD1">
        <w:t xml:space="preserve">  </w:t>
      </w:r>
    </w:p>
    <w:p w:rsidRPr="00C15D80" w:rsidR="00E626FA" w:rsidP="00E626FA" w:rsidRDefault="00E626FA" w14:paraId="7BD512FB" w14:textId="77777777">
      <w:pPr>
        <w:ind w:left="720"/>
        <w:rPr>
          <w:u w:val="single"/>
        </w:rPr>
      </w:pPr>
    </w:p>
    <w:p w:rsidRPr="00C15D80" w:rsidR="00374CD1" w:rsidP="00CF5F26" w:rsidRDefault="004C5E0D" w14:paraId="38461C39" w14:textId="30148A4E">
      <w:pPr>
        <w:ind w:firstLine="720"/>
      </w:pPr>
      <w:r w:rsidRPr="004C5E0D">
        <w:t xml:space="preserve">Pursuant to 31 CFR 1010.430(d), all records that are required to be retained by 31 CFR Chapter X must be retained for a period of five years. </w:t>
      </w:r>
      <w:r w:rsidR="00247195">
        <w:t xml:space="preserve"> </w:t>
      </w:r>
      <w:r w:rsidRPr="004C5E0D">
        <w:t>The five year retention period ensures that law enforcement will have access to records for a reasonable period of time and allows for verification of compliance with specific requirements.</w:t>
      </w:r>
    </w:p>
    <w:p w:rsidRPr="00C15D80" w:rsidR="00374CD1" w:rsidRDefault="00374CD1" w14:paraId="74B5860E" w14:textId="77777777"/>
    <w:p w:rsidRPr="00C15D80" w:rsidR="00E626FA" w:rsidP="00CF5F26" w:rsidRDefault="00F871E7" w14:paraId="72E4AEA2" w14:textId="2A4B25E7">
      <w:pPr>
        <w:pStyle w:val="BodyText2"/>
      </w:pPr>
      <w:r w:rsidRPr="00C15D80">
        <w:t>8.</w:t>
      </w:r>
      <w:r w:rsidRPr="00C15D80" w:rsidR="00CC162B">
        <w:t xml:space="preserve"> </w:t>
      </w:r>
      <w:r w:rsidRPr="00C15D80">
        <w:t xml:space="preserve"> </w:t>
      </w:r>
      <w:r w:rsidRPr="00130642" w:rsidR="00130642">
        <w:rPr>
          <w:u w:val="single"/>
        </w:rPr>
        <w:t>Consultation with individuals outside of the agency on availability of data, frequency of collection, clarity of instructions and forms, and data elements.</w:t>
      </w:r>
      <w:r w:rsidRPr="00C15D80" w:rsidR="00374CD1">
        <w:t xml:space="preserve">  </w:t>
      </w:r>
    </w:p>
    <w:p w:rsidRPr="00C15D80" w:rsidR="00E626FA" w:rsidP="00E626FA" w:rsidRDefault="00E626FA" w14:paraId="4A0C7E41" w14:textId="77777777">
      <w:pPr>
        <w:pStyle w:val="BodyText2"/>
        <w:ind w:left="720"/>
        <w:rPr>
          <w:u w:val="single"/>
        </w:rPr>
      </w:pPr>
    </w:p>
    <w:p w:rsidR="0095470E" w:rsidP="0095470E" w:rsidRDefault="004C5E0D" w14:paraId="5A21B5D8" w14:textId="77777777">
      <w:pPr>
        <w:ind w:firstLine="720"/>
      </w:pPr>
      <w:r w:rsidRPr="004C5E0D">
        <w:t xml:space="preserve">The 60-day notice was published on </w:t>
      </w:r>
      <w:r>
        <w:t>February 16, 2022</w:t>
      </w:r>
      <w:r w:rsidRPr="004C5E0D">
        <w:t>.</w:t>
      </w:r>
      <w:r w:rsidRPr="0005324E" w:rsidR="0058348E">
        <w:rPr>
          <w:rStyle w:val="FootnoteReference"/>
          <w:vertAlign w:val="superscript"/>
        </w:rPr>
        <w:footnoteReference w:id="10"/>
      </w:r>
      <w:r w:rsidR="0058348E">
        <w:t xml:space="preserve"> </w:t>
      </w:r>
      <w:r w:rsidR="00F82E51">
        <w:t xml:space="preserve"> </w:t>
      </w:r>
      <w:r w:rsidRPr="004C5E0D">
        <w:t xml:space="preserve">The notice requested public comments on the proposed renewal, without change, of currently approved information collections relating to </w:t>
      </w:r>
      <w:r>
        <w:t>r</w:t>
      </w:r>
      <w:r w:rsidRPr="004C5E0D">
        <w:t>eporting obligations on foreign bank relationships with Iranian-linked financial institutions designated under IEEPA and IRGC-linked persons designated under IEEPA.</w:t>
      </w:r>
      <w:r w:rsidRPr="00C15D80" w:rsidR="001F4A9F">
        <w:t xml:space="preserve"> </w:t>
      </w:r>
      <w:r w:rsidRPr="00C15D80" w:rsidR="00C2374A">
        <w:t xml:space="preserve"> </w:t>
      </w:r>
      <w:r w:rsidR="0095470E">
        <w:rPr>
          <w:szCs w:val="20"/>
        </w:rPr>
        <w:t>In response to the notice, FinCEN received one comment that was not relevant to the regulation or corresponding burden.</w:t>
      </w:r>
    </w:p>
    <w:p w:rsidRPr="00C15D80" w:rsidR="00374CD1" w:rsidP="0095470E" w:rsidRDefault="00374CD1" w14:paraId="29D190FD" w14:textId="77777777"/>
    <w:p w:rsidRPr="00C15D80" w:rsidR="00C060BA" w:rsidP="00CF5F26" w:rsidRDefault="00F871E7" w14:paraId="67B40A02" w14:textId="77777777">
      <w:r w:rsidRPr="00C15D80">
        <w:t xml:space="preserve">9. </w:t>
      </w:r>
      <w:r w:rsidRPr="00C15D80" w:rsidR="00374CD1">
        <w:t xml:space="preserve"> </w:t>
      </w:r>
      <w:r w:rsidRPr="00C15D80" w:rsidR="00374CD1">
        <w:rPr>
          <w:u w:val="single"/>
        </w:rPr>
        <w:t>Explanation of decision to provide any payment or gift to respondents.</w:t>
      </w:r>
      <w:r w:rsidRPr="00C15D80" w:rsidR="00374CD1">
        <w:t xml:space="preserve">  </w:t>
      </w:r>
    </w:p>
    <w:p w:rsidRPr="00C15D80" w:rsidR="00C060BA" w:rsidRDefault="00C060BA" w14:paraId="00F0CF3D" w14:textId="77777777">
      <w:pPr>
        <w:ind w:firstLine="360"/>
      </w:pPr>
    </w:p>
    <w:p w:rsidRPr="00C15D80" w:rsidR="00374CD1" w:rsidP="00CF5F26" w:rsidRDefault="00E46A85" w14:paraId="314B08D7" w14:textId="04254ACD">
      <w:pPr>
        <w:ind w:firstLine="720"/>
      </w:pPr>
      <w:r w:rsidRPr="00C15D80">
        <w:t>No payments or gifts were made to respondents.</w:t>
      </w:r>
    </w:p>
    <w:p w:rsidRPr="00C15D80" w:rsidR="00F871E7" w:rsidP="00F871E7" w:rsidRDefault="00F871E7" w14:paraId="269EE3FE" w14:textId="77777777">
      <w:pPr>
        <w:pStyle w:val="BodyText2"/>
      </w:pPr>
    </w:p>
    <w:p w:rsidRPr="00C15D80" w:rsidR="00E626FA" w:rsidP="00CF5F26" w:rsidRDefault="00F871E7" w14:paraId="389D5BFB" w14:textId="77777777">
      <w:pPr>
        <w:pStyle w:val="BodyText2"/>
      </w:pPr>
      <w:r w:rsidRPr="00C15D80">
        <w:t>10.</w:t>
      </w:r>
      <w:r w:rsidRPr="00C15D80" w:rsidR="00CC162B">
        <w:t xml:space="preserve"> </w:t>
      </w:r>
      <w:r w:rsidRPr="00C15D80">
        <w:t xml:space="preserve"> </w:t>
      </w:r>
      <w:r w:rsidRPr="00C15D80" w:rsidR="00374CD1">
        <w:rPr>
          <w:u w:val="single"/>
        </w:rPr>
        <w:t>Assurance of confidentiality of responses.</w:t>
      </w:r>
      <w:r w:rsidRPr="00C15D80" w:rsidR="00374CD1">
        <w:t xml:space="preserve">  </w:t>
      </w:r>
    </w:p>
    <w:p w:rsidRPr="00C15D80" w:rsidR="00E626FA" w:rsidP="00E626FA" w:rsidRDefault="00E626FA" w14:paraId="07DE8012" w14:textId="77777777">
      <w:pPr>
        <w:pStyle w:val="BodyText2"/>
        <w:ind w:left="720"/>
        <w:rPr>
          <w:u w:val="single"/>
        </w:rPr>
      </w:pPr>
    </w:p>
    <w:p w:rsidRPr="002575CF" w:rsidR="00F733E7" w:rsidP="00F733E7" w:rsidRDefault="00F733E7" w14:paraId="488697A4" w14:textId="2F0D131A">
      <w:pPr>
        <w:tabs>
          <w:tab w:val="left" w:pos="0"/>
        </w:tabs>
        <w:rPr>
          <w:vertAlign w:val="superscript"/>
        </w:rPr>
      </w:pPr>
      <w:r>
        <w:tab/>
      </w:r>
      <w:r w:rsidRPr="001F7618">
        <w:t xml:space="preserve">The information collected under this requirement is made available to appropriate agencies and organizations as disclosed in FinCEN's Privacy Act System of Records Notice </w:t>
      </w:r>
      <w:r>
        <w:t xml:space="preserve">(SORN) </w:t>
      </w:r>
      <w:r w:rsidRPr="001F7618">
        <w:t>relating to BSA reports.</w:t>
      </w:r>
      <w:r w:rsidRPr="00174E5C">
        <w:rPr>
          <w:rStyle w:val="FootnoteReference"/>
          <w:vertAlign w:val="superscript"/>
        </w:rPr>
        <w:footnoteReference w:id="11"/>
      </w:r>
    </w:p>
    <w:p w:rsidRPr="00C15D80" w:rsidR="00F871E7" w:rsidP="00F871E7" w:rsidRDefault="00F871E7" w14:paraId="2A18E358" w14:textId="26F71962"/>
    <w:p w:rsidRPr="00C15D80" w:rsidR="00E626FA" w:rsidP="00CF5F26" w:rsidRDefault="00F871E7" w14:paraId="17D66CBB" w14:textId="77777777">
      <w:r w:rsidRPr="00C15D80">
        <w:t>11.</w:t>
      </w:r>
      <w:r w:rsidRPr="00C15D80" w:rsidR="00CC162B">
        <w:t xml:space="preserve"> </w:t>
      </w:r>
      <w:r w:rsidRPr="00C15D80">
        <w:t xml:space="preserve"> </w:t>
      </w:r>
      <w:r w:rsidRPr="00C15D80" w:rsidR="00374CD1">
        <w:rPr>
          <w:u w:val="single"/>
        </w:rPr>
        <w:t xml:space="preserve">Justification of sensitive questions. </w:t>
      </w:r>
      <w:r w:rsidRPr="00C15D80" w:rsidR="00374CD1">
        <w:t xml:space="preserve"> </w:t>
      </w:r>
    </w:p>
    <w:p w:rsidRPr="00C15D80" w:rsidR="00E626FA" w:rsidP="00E626FA" w:rsidRDefault="00E626FA" w14:paraId="1815F988" w14:textId="77777777">
      <w:pPr>
        <w:ind w:left="720"/>
        <w:rPr>
          <w:u w:val="single"/>
        </w:rPr>
      </w:pPr>
    </w:p>
    <w:p w:rsidRPr="00C15D80" w:rsidR="00E626FA" w:rsidP="00CF5F26" w:rsidRDefault="00F733E7" w14:paraId="1E12A7B5" w14:textId="0F80F1E0">
      <w:pPr>
        <w:ind w:firstLine="720"/>
      </w:pPr>
      <w:r w:rsidRPr="004A44F3">
        <w:t xml:space="preserve">There are no questions of a sensitive nature in the collection of information. </w:t>
      </w:r>
      <w:r>
        <w:t xml:space="preserve"> Any </w:t>
      </w:r>
      <w:r>
        <w:lastRenderedPageBreak/>
        <w:t>personally identifiable information collected under the BSA is strictly controlled as outlined in FinCEN’s SORN</w:t>
      </w:r>
      <w:r>
        <w:rPr>
          <w:color w:val="1F497D"/>
        </w:rPr>
        <w:t>.</w:t>
      </w:r>
      <w:r w:rsidRPr="00174E5C">
        <w:rPr>
          <w:rStyle w:val="FootnoteReference"/>
          <w:vertAlign w:val="superscript"/>
        </w:rPr>
        <w:footnoteReference w:id="12"/>
      </w:r>
    </w:p>
    <w:p w:rsidRPr="00C15D80" w:rsidR="00374CD1" w:rsidP="00E626FA" w:rsidRDefault="00374CD1" w14:paraId="4CB8814D" w14:textId="77777777">
      <w:pPr>
        <w:ind w:left="450"/>
      </w:pPr>
    </w:p>
    <w:p w:rsidR="00374CD1" w:rsidP="00CF5F26" w:rsidRDefault="00F871E7" w14:paraId="5D4549CD" w14:textId="012655AB">
      <w:pPr>
        <w:rPr>
          <w:u w:val="single"/>
        </w:rPr>
      </w:pPr>
      <w:r w:rsidRPr="00C15D80">
        <w:t>12</w:t>
      </w:r>
      <w:r w:rsidR="00D56702">
        <w:t xml:space="preserve">. </w:t>
      </w:r>
      <w:r w:rsidRPr="00C15D80" w:rsidR="00FF6060">
        <w:t xml:space="preserve"> </w:t>
      </w:r>
      <w:r w:rsidRPr="00C15D80" w:rsidR="00374CD1">
        <w:rPr>
          <w:u w:val="single"/>
        </w:rPr>
        <w:t xml:space="preserve">Estimated </w:t>
      </w:r>
      <w:r w:rsidR="005C1BCA">
        <w:rPr>
          <w:u w:val="single"/>
        </w:rPr>
        <w:t xml:space="preserve">annual hourly </w:t>
      </w:r>
      <w:r w:rsidRPr="00C15D80" w:rsidR="00374CD1">
        <w:rPr>
          <w:u w:val="single"/>
        </w:rPr>
        <w:t>burden.</w:t>
      </w:r>
    </w:p>
    <w:p w:rsidR="00E6342C" w:rsidP="00CF5F26" w:rsidRDefault="00E6342C" w14:paraId="27FB3726" w14:textId="141A1F81">
      <w:pPr>
        <w:rPr>
          <w:u w:val="single"/>
        </w:rPr>
      </w:pPr>
    </w:p>
    <w:p w:rsidRPr="005C1BCA" w:rsidR="00E6342C" w:rsidP="00CF5F26" w:rsidRDefault="00E6342C" w14:paraId="49375109" w14:textId="4C524849">
      <w:r w:rsidRPr="00E6342C">
        <w:rPr>
          <w:u w:val="single"/>
        </w:rPr>
        <w:t>Frequency:</w:t>
      </w:r>
      <w:r w:rsidRPr="005C1BCA">
        <w:t xml:space="preserve">  As required.</w:t>
      </w:r>
    </w:p>
    <w:p w:rsidR="00E6342C" w:rsidP="00CF5F26" w:rsidRDefault="00E6342C" w14:paraId="0BABE95F" w14:textId="3B5DD791">
      <w:pPr>
        <w:rPr>
          <w:u w:val="single"/>
        </w:rPr>
      </w:pPr>
    </w:p>
    <w:p w:rsidR="00E6342C" w:rsidP="00CF5F26" w:rsidRDefault="00E6342C" w14:paraId="1A239EF5" w14:textId="43F65604">
      <w:r w:rsidRPr="003D57B0">
        <w:rPr>
          <w:u w:val="single"/>
        </w:rPr>
        <w:t>Estimated Number of Potential Respondents:</w:t>
      </w:r>
      <w:r w:rsidRPr="00E6342C">
        <w:t xml:space="preserve">  5,164 banks.</w:t>
      </w:r>
      <w:r w:rsidRPr="00E6342C">
        <w:rPr>
          <w:vertAlign w:val="superscript"/>
        </w:rPr>
        <w:t xml:space="preserve"> </w:t>
      </w:r>
      <w:r w:rsidRPr="00E6342C">
        <w:rPr>
          <w:vertAlign w:val="superscript"/>
        </w:rPr>
        <w:footnoteReference w:id="13"/>
      </w:r>
    </w:p>
    <w:p w:rsidR="00E6342C" w:rsidP="00CF5F26" w:rsidRDefault="00E6342C" w14:paraId="5B4DEDBD" w14:textId="4431E1B5"/>
    <w:p w:rsidR="008A6A76" w:rsidP="00CF5F26" w:rsidRDefault="0005324E" w14:paraId="48ACAA87" w14:textId="5828888E">
      <w:r>
        <w:rPr>
          <w:b/>
        </w:rPr>
        <w:t xml:space="preserve">Table 1 - </w:t>
      </w:r>
      <w:r w:rsidRPr="005D53AA" w:rsidR="008A6A76">
        <w:rPr>
          <w:b/>
        </w:rPr>
        <w:t xml:space="preserve">Breakdown of the </w:t>
      </w:r>
      <w:r w:rsidR="00E23EF4">
        <w:rPr>
          <w:b/>
        </w:rPr>
        <w:t>e</w:t>
      </w:r>
      <w:r w:rsidRPr="005D53AA" w:rsidR="008A6A76">
        <w:rPr>
          <w:b/>
        </w:rPr>
        <w:t xml:space="preserve">stimated </w:t>
      </w:r>
      <w:r w:rsidR="00E23EF4">
        <w:rPr>
          <w:b/>
        </w:rPr>
        <w:t>n</w:t>
      </w:r>
      <w:r w:rsidRPr="005D53AA" w:rsidR="008A6A76">
        <w:rPr>
          <w:b/>
        </w:rPr>
        <w:t xml:space="preserve">umber of U.S. </w:t>
      </w:r>
      <w:r w:rsidR="00E23EF4">
        <w:rPr>
          <w:b/>
        </w:rPr>
        <w:t>b</w:t>
      </w:r>
      <w:r w:rsidRPr="005D53AA" w:rsidR="008A6A76">
        <w:rPr>
          <w:b/>
        </w:rPr>
        <w:t xml:space="preserve">anks that </w:t>
      </w:r>
      <w:r w:rsidR="00E23EF4">
        <w:rPr>
          <w:b/>
        </w:rPr>
        <w:t>h</w:t>
      </w:r>
      <w:r w:rsidRPr="005D53AA" w:rsidR="008A6A76">
        <w:rPr>
          <w:b/>
        </w:rPr>
        <w:t xml:space="preserve">ave a </w:t>
      </w:r>
      <w:r w:rsidR="00E23EF4">
        <w:rPr>
          <w:b/>
        </w:rPr>
        <w:t>c</w:t>
      </w:r>
      <w:r w:rsidRPr="005D53AA" w:rsidR="008A6A76">
        <w:rPr>
          <w:b/>
        </w:rPr>
        <w:t xml:space="preserve">orrespondent </w:t>
      </w:r>
      <w:r w:rsidR="00E23EF4">
        <w:rPr>
          <w:b/>
        </w:rPr>
        <w:t>a</w:t>
      </w:r>
      <w:r w:rsidRPr="005D53AA" w:rsidR="008A6A76">
        <w:rPr>
          <w:b/>
        </w:rPr>
        <w:t xml:space="preserve">ccount with a </w:t>
      </w:r>
      <w:r w:rsidR="00E23EF4">
        <w:rPr>
          <w:b/>
        </w:rPr>
        <w:t>s</w:t>
      </w:r>
      <w:r w:rsidRPr="005D53AA" w:rsidR="008A6A76">
        <w:rPr>
          <w:b/>
        </w:rPr>
        <w:t xml:space="preserve">pecified </w:t>
      </w:r>
      <w:r w:rsidR="00E23EF4">
        <w:rPr>
          <w:b/>
        </w:rPr>
        <w:t>f</w:t>
      </w:r>
      <w:r w:rsidRPr="005D53AA" w:rsidR="008A6A76">
        <w:rPr>
          <w:b/>
        </w:rPr>
        <w:t xml:space="preserve">oreign </w:t>
      </w:r>
      <w:r w:rsidR="00E23EF4">
        <w:rPr>
          <w:b/>
        </w:rPr>
        <w:t>b</w:t>
      </w:r>
      <w:r w:rsidRPr="005D53AA" w:rsidR="008A6A76">
        <w:rPr>
          <w:b/>
        </w:rPr>
        <w:t xml:space="preserve">ank, </w:t>
      </w:r>
      <w:r w:rsidR="00E23EF4">
        <w:rPr>
          <w:b/>
        </w:rPr>
        <w:t>v</w:t>
      </w:r>
      <w:r w:rsidRPr="005D53AA" w:rsidR="008A6A76">
        <w:rPr>
          <w:b/>
        </w:rPr>
        <w:t xml:space="preserve">ersus the </w:t>
      </w:r>
      <w:r w:rsidR="00E23EF4">
        <w:rPr>
          <w:b/>
        </w:rPr>
        <w:t>e</w:t>
      </w:r>
      <w:r w:rsidRPr="005D53AA" w:rsidR="008A6A76">
        <w:rPr>
          <w:b/>
        </w:rPr>
        <w:t xml:space="preserve">stimated </w:t>
      </w:r>
      <w:r w:rsidR="00E23EF4">
        <w:rPr>
          <w:b/>
        </w:rPr>
        <w:t>n</w:t>
      </w:r>
      <w:r w:rsidRPr="005D53AA" w:rsidR="008A6A76">
        <w:rPr>
          <w:b/>
        </w:rPr>
        <w:t xml:space="preserve">umber of </w:t>
      </w:r>
      <w:r w:rsidR="00E23EF4">
        <w:rPr>
          <w:b/>
        </w:rPr>
        <w:t>b</w:t>
      </w:r>
      <w:r w:rsidRPr="005D53AA" w:rsidR="008A6A76">
        <w:rPr>
          <w:b/>
        </w:rPr>
        <w:t xml:space="preserve">anks that </w:t>
      </w:r>
      <w:r w:rsidR="00E23EF4">
        <w:rPr>
          <w:b/>
        </w:rPr>
        <w:t>d</w:t>
      </w:r>
      <w:r w:rsidRPr="005D53AA" w:rsidR="008A6A76">
        <w:rPr>
          <w:b/>
        </w:rPr>
        <w:t xml:space="preserve">o </w:t>
      </w:r>
      <w:r w:rsidR="00E23EF4">
        <w:rPr>
          <w:b/>
        </w:rPr>
        <w:t>n</w:t>
      </w:r>
      <w:r w:rsidRPr="005D53AA" w:rsidR="008A6A76">
        <w:rPr>
          <w:b/>
        </w:rPr>
        <w:t xml:space="preserve">ot </w:t>
      </w:r>
      <w:r w:rsidR="00E23EF4">
        <w:rPr>
          <w:b/>
        </w:rPr>
        <w:t>h</w:t>
      </w:r>
      <w:r w:rsidRPr="005D53AA" w:rsidR="008A6A76">
        <w:rPr>
          <w:b/>
        </w:rPr>
        <w:t xml:space="preserve">ave a </w:t>
      </w:r>
      <w:r w:rsidR="00E23EF4">
        <w:rPr>
          <w:b/>
        </w:rPr>
        <w:t>c</w:t>
      </w:r>
      <w:r w:rsidRPr="005D53AA" w:rsidR="008A6A76">
        <w:rPr>
          <w:b/>
        </w:rPr>
        <w:t xml:space="preserve">orrespondent </w:t>
      </w:r>
      <w:r w:rsidR="00E23EF4">
        <w:rPr>
          <w:b/>
        </w:rPr>
        <w:t>a</w:t>
      </w:r>
      <w:r w:rsidRPr="005D53AA" w:rsidR="008A6A76">
        <w:rPr>
          <w:b/>
        </w:rPr>
        <w:t xml:space="preserve">ccount for a </w:t>
      </w:r>
      <w:r w:rsidR="00E23EF4">
        <w:rPr>
          <w:b/>
        </w:rPr>
        <w:t>s</w:t>
      </w:r>
      <w:r w:rsidRPr="005D53AA" w:rsidR="008A6A76">
        <w:rPr>
          <w:b/>
        </w:rPr>
        <w:t xml:space="preserve">pecified </w:t>
      </w:r>
      <w:r w:rsidR="00E23EF4">
        <w:rPr>
          <w:b/>
        </w:rPr>
        <w:t>f</w:t>
      </w:r>
      <w:r w:rsidRPr="005D53AA" w:rsidR="008A6A76">
        <w:rPr>
          <w:b/>
        </w:rPr>
        <w:t xml:space="preserve">oreign </w:t>
      </w:r>
      <w:r w:rsidR="00E23EF4">
        <w:rPr>
          <w:b/>
        </w:rPr>
        <w:t>b</w:t>
      </w:r>
      <w:r w:rsidRPr="005D53AA" w:rsidR="008A6A76">
        <w:rPr>
          <w:b/>
        </w:rPr>
        <w:t>ank</w:t>
      </w:r>
    </w:p>
    <w:tbl>
      <w:tblPr>
        <w:tblStyle w:val="TableGrid"/>
        <w:tblW w:w="0" w:type="auto"/>
        <w:tblLook w:val="04A0" w:firstRow="1" w:lastRow="0" w:firstColumn="1" w:lastColumn="0" w:noHBand="0" w:noVBand="1"/>
      </w:tblPr>
      <w:tblGrid>
        <w:gridCol w:w="2202"/>
        <w:gridCol w:w="2203"/>
        <w:gridCol w:w="2119"/>
      </w:tblGrid>
      <w:tr w:rsidRPr="00E6342C" w:rsidR="00E6342C" w:rsidTr="006E3A2E" w14:paraId="19DF9D36" w14:textId="77777777">
        <w:tc>
          <w:tcPr>
            <w:tcW w:w="2202" w:type="dxa"/>
            <w:shd w:val="clear" w:color="auto" w:fill="E7E6E6" w:themeFill="background2"/>
          </w:tcPr>
          <w:p w:rsidRPr="00E6342C" w:rsidR="00E6342C" w:rsidP="00E6342C" w:rsidRDefault="00E6342C" w14:paraId="7D3E0E83" w14:textId="77777777">
            <w:pPr>
              <w:rPr>
                <w:b/>
                <w:lang w:val="es-AR"/>
              </w:rPr>
            </w:pPr>
            <w:r w:rsidRPr="00E6342C">
              <w:rPr>
                <w:b/>
                <w:lang w:val="es-AR"/>
              </w:rPr>
              <w:t>Number of Reports from U.S. Banks that Maintain a Correspondent Account for a Specified Foreign Bank in a CISADA Request</w:t>
            </w:r>
            <w:r w:rsidRPr="00E6342C">
              <w:rPr>
                <w:b/>
                <w:vertAlign w:val="superscript"/>
                <w:lang w:val="es-AR"/>
              </w:rPr>
              <w:footnoteReference w:id="14"/>
            </w:r>
          </w:p>
        </w:tc>
        <w:tc>
          <w:tcPr>
            <w:tcW w:w="2203" w:type="dxa"/>
            <w:shd w:val="clear" w:color="auto" w:fill="E7E6E6" w:themeFill="background2"/>
          </w:tcPr>
          <w:p w:rsidRPr="00E6342C" w:rsidR="00E6342C" w:rsidP="00E6342C" w:rsidRDefault="00E6342C" w14:paraId="50BFAC2D" w14:textId="77777777">
            <w:pPr>
              <w:rPr>
                <w:b/>
                <w:lang w:val="es-AR"/>
              </w:rPr>
            </w:pPr>
            <w:r w:rsidRPr="00E6342C">
              <w:rPr>
                <w:b/>
                <w:lang w:val="es-AR"/>
              </w:rPr>
              <w:t xml:space="preserve">Number of Reports from U.S. Banks that Do Not Maintain a Correspondent Account for a </w:t>
            </w:r>
            <w:r w:rsidRPr="00E6342C">
              <w:rPr>
                <w:b/>
                <w:lang w:val="es-AR"/>
              </w:rPr>
              <w:br/>
              <w:t>Specified Foreign Bank in a CISADA Request</w:t>
            </w:r>
            <w:r w:rsidRPr="00E6342C">
              <w:rPr>
                <w:b/>
                <w:vertAlign w:val="superscript"/>
                <w:lang w:val="es-AR"/>
              </w:rPr>
              <w:footnoteReference w:id="15"/>
            </w:r>
          </w:p>
        </w:tc>
        <w:tc>
          <w:tcPr>
            <w:tcW w:w="2119" w:type="dxa"/>
            <w:shd w:val="clear" w:color="auto" w:fill="E7E6E6" w:themeFill="background2"/>
          </w:tcPr>
          <w:p w:rsidRPr="00E6342C" w:rsidR="00E6342C" w:rsidP="00E6342C" w:rsidRDefault="00E6342C" w14:paraId="643D2C76" w14:textId="77777777">
            <w:pPr>
              <w:rPr>
                <w:b/>
                <w:lang w:val="es-AR"/>
              </w:rPr>
            </w:pPr>
            <w:r w:rsidRPr="00E6342C">
              <w:rPr>
                <w:b/>
                <w:lang w:val="es-AR"/>
              </w:rPr>
              <w:t xml:space="preserve">Estimated Number of CISADA-Related Reports Submitted to FinCEN Annually as a Result of Inquiries under 31 CFR 1060.300 </w:t>
            </w:r>
          </w:p>
        </w:tc>
      </w:tr>
      <w:tr w:rsidRPr="00E6342C" w:rsidR="00E6342C" w:rsidTr="006E3A2E" w14:paraId="0EC79322" w14:textId="77777777">
        <w:tc>
          <w:tcPr>
            <w:tcW w:w="2202" w:type="dxa"/>
          </w:tcPr>
          <w:p w:rsidRPr="00E6342C" w:rsidR="00E6342C" w:rsidP="00E6342C" w:rsidRDefault="00E6342C" w14:paraId="329EDB23" w14:textId="77777777">
            <w:pPr>
              <w:rPr>
                <w:lang w:val="es-AR"/>
              </w:rPr>
            </w:pPr>
            <w:r w:rsidRPr="00E6342C">
              <w:rPr>
                <w:lang w:val="es-AR"/>
              </w:rPr>
              <w:t>520</w:t>
            </w:r>
          </w:p>
        </w:tc>
        <w:tc>
          <w:tcPr>
            <w:tcW w:w="2203" w:type="dxa"/>
          </w:tcPr>
          <w:p w:rsidRPr="00E6342C" w:rsidR="00E6342C" w:rsidP="00E6342C" w:rsidRDefault="00E6342C" w14:paraId="1349A23D" w14:textId="77777777">
            <w:pPr>
              <w:rPr>
                <w:lang w:val="es-AR"/>
              </w:rPr>
            </w:pPr>
            <w:r w:rsidRPr="00E6342C">
              <w:rPr>
                <w:lang w:val="es-AR"/>
              </w:rPr>
              <w:t>520</w:t>
            </w:r>
          </w:p>
        </w:tc>
        <w:tc>
          <w:tcPr>
            <w:tcW w:w="2119" w:type="dxa"/>
          </w:tcPr>
          <w:p w:rsidRPr="00E6342C" w:rsidR="00E6342C" w:rsidP="00E6342C" w:rsidRDefault="00E6342C" w14:paraId="0AE1AD72" w14:textId="77777777">
            <w:pPr>
              <w:rPr>
                <w:lang w:val="es-AR"/>
              </w:rPr>
            </w:pPr>
            <w:r w:rsidRPr="00E6342C">
              <w:rPr>
                <w:lang w:val="es-AR"/>
              </w:rPr>
              <w:t>1,040</w:t>
            </w:r>
          </w:p>
        </w:tc>
      </w:tr>
    </w:tbl>
    <w:p w:rsidRPr="00C15D80" w:rsidR="00E6342C" w:rsidP="00CF5F26" w:rsidRDefault="00E6342C" w14:paraId="3BB1B26B" w14:textId="77777777"/>
    <w:p w:rsidR="003D57B0" w:rsidP="003D57B0" w:rsidRDefault="003D57B0" w14:paraId="2F7E48AE" w14:textId="7382D182">
      <w:r w:rsidRPr="003F633A">
        <w:rPr>
          <w:u w:val="single"/>
        </w:rPr>
        <w:t>Estimated Number of Responses:</w:t>
      </w:r>
      <w:r w:rsidRPr="00E6342C">
        <w:t xml:space="preserve"> </w:t>
      </w:r>
      <w:r>
        <w:t xml:space="preserve"> </w:t>
      </w:r>
      <w:r w:rsidRPr="00E6342C">
        <w:t>1,040 responses.</w:t>
      </w:r>
    </w:p>
    <w:p w:rsidR="00561103" w:rsidP="00E23EF4" w:rsidRDefault="00561103" w14:paraId="3CAAC717" w14:textId="5C3FE530">
      <w:pPr>
        <w:spacing w:line="268" w:lineRule="exact"/>
        <w:jc w:val="both"/>
        <w:rPr>
          <w:b/>
        </w:rPr>
      </w:pPr>
    </w:p>
    <w:p w:rsidR="00CF622D" w:rsidP="00E23EF4" w:rsidRDefault="00CF622D" w14:paraId="1A485CDF" w14:textId="789E6FF3">
      <w:pPr>
        <w:spacing w:line="268" w:lineRule="exact"/>
        <w:jc w:val="both"/>
        <w:rPr>
          <w:b/>
        </w:rPr>
      </w:pPr>
    </w:p>
    <w:p w:rsidR="00CF622D" w:rsidP="00E23EF4" w:rsidRDefault="00CF622D" w14:paraId="7139B59C" w14:textId="3B49B40F">
      <w:pPr>
        <w:spacing w:line="268" w:lineRule="exact"/>
        <w:jc w:val="both"/>
        <w:rPr>
          <w:b/>
        </w:rPr>
      </w:pPr>
    </w:p>
    <w:p w:rsidR="00CF622D" w:rsidP="00E23EF4" w:rsidRDefault="00CF622D" w14:paraId="158D7965" w14:textId="29D40F95">
      <w:pPr>
        <w:spacing w:line="268" w:lineRule="exact"/>
        <w:jc w:val="both"/>
        <w:rPr>
          <w:b/>
        </w:rPr>
      </w:pPr>
    </w:p>
    <w:p w:rsidR="00CF622D" w:rsidP="00E23EF4" w:rsidRDefault="00CF622D" w14:paraId="47669FB2" w14:textId="290F0D4E">
      <w:pPr>
        <w:spacing w:line="268" w:lineRule="exact"/>
        <w:jc w:val="both"/>
        <w:rPr>
          <w:b/>
        </w:rPr>
      </w:pPr>
    </w:p>
    <w:p w:rsidR="00CF622D" w:rsidP="00E23EF4" w:rsidRDefault="00CF622D" w14:paraId="417E2D25" w14:textId="3BC5D606">
      <w:pPr>
        <w:spacing w:line="268" w:lineRule="exact"/>
        <w:jc w:val="both"/>
        <w:rPr>
          <w:b/>
        </w:rPr>
      </w:pPr>
    </w:p>
    <w:p w:rsidR="00CF622D" w:rsidP="00E23EF4" w:rsidRDefault="00CF622D" w14:paraId="2FB08729" w14:textId="77777777">
      <w:pPr>
        <w:spacing w:line="268" w:lineRule="exact"/>
        <w:jc w:val="both"/>
        <w:rPr>
          <w:b/>
        </w:rPr>
      </w:pPr>
      <w:bookmarkStart w:name="_GoBack" w:id="0"/>
      <w:bookmarkEnd w:id="0"/>
    </w:p>
    <w:p w:rsidR="008A6A76" w:rsidP="00E23EF4" w:rsidRDefault="0005324E" w14:paraId="4A55C7F4" w14:textId="29A511DB">
      <w:pPr>
        <w:spacing w:line="268" w:lineRule="exact"/>
        <w:jc w:val="both"/>
        <w:rPr>
          <w:szCs w:val="22"/>
        </w:rPr>
      </w:pPr>
      <w:r>
        <w:rPr>
          <w:b/>
        </w:rPr>
        <w:lastRenderedPageBreak/>
        <w:t xml:space="preserve">Table 2 - </w:t>
      </w:r>
      <w:r w:rsidRPr="005D53AA" w:rsidR="008A6A76">
        <w:rPr>
          <w:b/>
        </w:rPr>
        <w:t xml:space="preserve">Estimated </w:t>
      </w:r>
      <w:r w:rsidR="00D56702">
        <w:rPr>
          <w:b/>
        </w:rPr>
        <w:t>h</w:t>
      </w:r>
      <w:r w:rsidRPr="005D53AA" w:rsidR="008A6A76">
        <w:rPr>
          <w:b/>
        </w:rPr>
        <w:t xml:space="preserve">ourly </w:t>
      </w:r>
      <w:r w:rsidR="00D56702">
        <w:rPr>
          <w:b/>
        </w:rPr>
        <w:t>b</w:t>
      </w:r>
      <w:r w:rsidRPr="005D53AA" w:rsidR="008A6A76">
        <w:rPr>
          <w:b/>
        </w:rPr>
        <w:t xml:space="preserve">urden </w:t>
      </w:r>
      <w:r w:rsidR="00D56702">
        <w:rPr>
          <w:b/>
        </w:rPr>
        <w:t>a</w:t>
      </w:r>
      <w:r w:rsidRPr="005D53AA" w:rsidR="008A6A76">
        <w:rPr>
          <w:b/>
        </w:rPr>
        <w:t xml:space="preserve">ssociated with </w:t>
      </w:r>
      <w:r w:rsidR="00D56702">
        <w:rPr>
          <w:b/>
        </w:rPr>
        <w:t>c</w:t>
      </w:r>
      <w:r w:rsidRPr="005D53AA" w:rsidR="008A6A76">
        <w:rPr>
          <w:b/>
        </w:rPr>
        <w:t>omplying with 31 CFR 1060.300</w:t>
      </w:r>
    </w:p>
    <w:tbl>
      <w:tblPr>
        <w:tblStyle w:val="TableGrid"/>
        <w:tblW w:w="9450" w:type="dxa"/>
        <w:tblInd w:w="-5" w:type="dxa"/>
        <w:tblLook w:val="04A0" w:firstRow="1" w:lastRow="0" w:firstColumn="1" w:lastColumn="0" w:noHBand="0" w:noVBand="1"/>
      </w:tblPr>
      <w:tblGrid>
        <w:gridCol w:w="3493"/>
        <w:gridCol w:w="2248"/>
        <w:gridCol w:w="1915"/>
        <w:gridCol w:w="1794"/>
      </w:tblGrid>
      <w:tr w:rsidRPr="00E6342C" w:rsidR="00E6342C" w:rsidTr="006E3A2E" w14:paraId="1573625B" w14:textId="77777777">
        <w:trPr>
          <w:tblHeader/>
        </w:trPr>
        <w:tc>
          <w:tcPr>
            <w:tcW w:w="3493" w:type="dxa"/>
            <w:shd w:val="clear" w:color="auto" w:fill="F2F2F2" w:themeFill="background1" w:themeFillShade="F2"/>
            <w:vAlign w:val="center"/>
          </w:tcPr>
          <w:p w:rsidRPr="00E6342C" w:rsidR="00E6342C" w:rsidP="00E23EF4" w:rsidRDefault="00E6342C" w14:paraId="4B71A6A7" w14:textId="77777777">
            <w:pPr>
              <w:spacing w:line="268" w:lineRule="exact"/>
              <w:jc w:val="center"/>
              <w:rPr>
                <w:b/>
                <w:szCs w:val="22"/>
              </w:rPr>
            </w:pPr>
            <w:r w:rsidRPr="00E6342C">
              <w:rPr>
                <w:b/>
                <w:szCs w:val="22"/>
              </w:rPr>
              <w:t>Type of CISADA-Related Report</w:t>
            </w:r>
          </w:p>
        </w:tc>
        <w:tc>
          <w:tcPr>
            <w:tcW w:w="2248" w:type="dxa"/>
            <w:shd w:val="clear" w:color="auto" w:fill="F2F2F2" w:themeFill="background1" w:themeFillShade="F2"/>
          </w:tcPr>
          <w:p w:rsidRPr="00E6342C" w:rsidR="00E6342C" w:rsidP="00E23EF4" w:rsidRDefault="00E6342C" w14:paraId="621339AB" w14:textId="77777777">
            <w:pPr>
              <w:spacing w:line="268" w:lineRule="exact"/>
              <w:jc w:val="center"/>
              <w:rPr>
                <w:b/>
                <w:szCs w:val="22"/>
              </w:rPr>
            </w:pPr>
            <w:r w:rsidRPr="00E6342C">
              <w:rPr>
                <w:b/>
                <w:szCs w:val="22"/>
              </w:rPr>
              <w:t>Total Number of CISADA-Related Reports per Type</w:t>
            </w:r>
          </w:p>
        </w:tc>
        <w:tc>
          <w:tcPr>
            <w:tcW w:w="1915" w:type="dxa"/>
            <w:shd w:val="clear" w:color="auto" w:fill="F2F2F2" w:themeFill="background1" w:themeFillShade="F2"/>
            <w:vAlign w:val="center"/>
          </w:tcPr>
          <w:p w:rsidRPr="00E6342C" w:rsidR="00E6342C" w:rsidP="00E23EF4" w:rsidRDefault="00E6342C" w14:paraId="16984FA2" w14:textId="77777777">
            <w:pPr>
              <w:spacing w:line="268" w:lineRule="exact"/>
              <w:jc w:val="center"/>
              <w:rPr>
                <w:b/>
                <w:szCs w:val="22"/>
              </w:rPr>
            </w:pPr>
            <w:r w:rsidRPr="00E6342C">
              <w:rPr>
                <w:b/>
                <w:szCs w:val="22"/>
              </w:rPr>
              <w:t>Burden Hours per U.S. Bank</w:t>
            </w:r>
          </w:p>
        </w:tc>
        <w:tc>
          <w:tcPr>
            <w:tcW w:w="1794" w:type="dxa"/>
            <w:shd w:val="clear" w:color="auto" w:fill="F2F2F2" w:themeFill="background1" w:themeFillShade="F2"/>
            <w:vAlign w:val="center"/>
          </w:tcPr>
          <w:p w:rsidRPr="00E6342C" w:rsidR="00E6342C" w:rsidP="00E23EF4" w:rsidRDefault="00E6342C" w14:paraId="6C33ACA7" w14:textId="77777777">
            <w:pPr>
              <w:spacing w:line="268" w:lineRule="exact"/>
              <w:jc w:val="center"/>
              <w:rPr>
                <w:b/>
                <w:szCs w:val="22"/>
              </w:rPr>
            </w:pPr>
            <w:r w:rsidRPr="00E6342C">
              <w:rPr>
                <w:b/>
                <w:szCs w:val="22"/>
              </w:rPr>
              <w:t>Total Burden Hours per Type of CISADA-Related Report</w:t>
            </w:r>
          </w:p>
        </w:tc>
      </w:tr>
      <w:tr w:rsidRPr="00E6342C" w:rsidR="00E6342C" w:rsidTr="006E3A2E" w14:paraId="693D56ED" w14:textId="77777777">
        <w:trPr>
          <w:trHeight w:val="339"/>
        </w:trPr>
        <w:tc>
          <w:tcPr>
            <w:tcW w:w="3493" w:type="dxa"/>
            <w:vAlign w:val="center"/>
          </w:tcPr>
          <w:p w:rsidRPr="00E6342C" w:rsidR="00E6342C" w:rsidP="00174E5C" w:rsidRDefault="00E6342C" w14:paraId="0690EEE4" w14:textId="77777777">
            <w:pPr>
              <w:spacing w:line="268" w:lineRule="exact"/>
              <w:rPr>
                <w:szCs w:val="22"/>
              </w:rPr>
            </w:pPr>
            <w:r w:rsidRPr="00E6342C">
              <w:rPr>
                <w:szCs w:val="22"/>
              </w:rPr>
              <w:t>Inquire with a foreign bank for which the U.S. bank maintains a correspondent account, and report the foreign bank’s responses to FinCEN.</w:t>
            </w:r>
          </w:p>
        </w:tc>
        <w:tc>
          <w:tcPr>
            <w:tcW w:w="2248" w:type="dxa"/>
            <w:vAlign w:val="center"/>
          </w:tcPr>
          <w:p w:rsidRPr="00E6342C" w:rsidR="00E6342C" w:rsidP="00E6342C" w:rsidRDefault="00E6342C" w14:paraId="01294C4A" w14:textId="77777777">
            <w:pPr>
              <w:spacing w:line="268" w:lineRule="exact"/>
              <w:jc w:val="both"/>
              <w:rPr>
                <w:szCs w:val="22"/>
              </w:rPr>
            </w:pPr>
            <w:r w:rsidRPr="00E6342C">
              <w:rPr>
                <w:szCs w:val="22"/>
              </w:rPr>
              <w:t>520</w:t>
            </w:r>
          </w:p>
        </w:tc>
        <w:tc>
          <w:tcPr>
            <w:tcW w:w="1915" w:type="dxa"/>
            <w:vAlign w:val="center"/>
          </w:tcPr>
          <w:p w:rsidRPr="00E6342C" w:rsidR="00E6342C" w:rsidP="00E6342C" w:rsidRDefault="00E6342C" w14:paraId="286073D9" w14:textId="77777777">
            <w:pPr>
              <w:spacing w:line="268" w:lineRule="exact"/>
              <w:jc w:val="both"/>
              <w:rPr>
                <w:szCs w:val="22"/>
              </w:rPr>
            </w:pPr>
            <w:r w:rsidRPr="00E6342C">
              <w:rPr>
                <w:szCs w:val="22"/>
              </w:rPr>
              <w:t>3 hours</w:t>
            </w:r>
          </w:p>
        </w:tc>
        <w:tc>
          <w:tcPr>
            <w:tcW w:w="1794" w:type="dxa"/>
            <w:vAlign w:val="center"/>
          </w:tcPr>
          <w:p w:rsidRPr="00E6342C" w:rsidR="00E6342C" w:rsidP="00E6342C" w:rsidRDefault="00E6342C" w14:paraId="174911D2" w14:textId="77777777">
            <w:pPr>
              <w:spacing w:line="268" w:lineRule="exact"/>
              <w:jc w:val="both"/>
              <w:rPr>
                <w:szCs w:val="22"/>
              </w:rPr>
            </w:pPr>
            <w:r w:rsidRPr="00E6342C">
              <w:rPr>
                <w:szCs w:val="22"/>
              </w:rPr>
              <w:t>1,560</w:t>
            </w:r>
          </w:p>
        </w:tc>
      </w:tr>
      <w:tr w:rsidRPr="00E6342C" w:rsidR="00E6342C" w:rsidTr="006E3A2E" w14:paraId="421F8326" w14:textId="77777777">
        <w:trPr>
          <w:trHeight w:val="339"/>
        </w:trPr>
        <w:tc>
          <w:tcPr>
            <w:tcW w:w="3493" w:type="dxa"/>
            <w:vAlign w:val="center"/>
          </w:tcPr>
          <w:p w:rsidRPr="00E6342C" w:rsidR="00E6342C" w:rsidP="00174E5C" w:rsidRDefault="00E6342C" w14:paraId="713CBC0A" w14:textId="77777777">
            <w:pPr>
              <w:spacing w:line="268" w:lineRule="exact"/>
              <w:rPr>
                <w:szCs w:val="22"/>
              </w:rPr>
            </w:pPr>
            <w:r w:rsidRPr="00E6342C">
              <w:rPr>
                <w:szCs w:val="22"/>
              </w:rPr>
              <w:t>Report to FinCEN that the U.S. bank does not maintain a correspondent account for the specified foreign bank.</w:t>
            </w:r>
          </w:p>
        </w:tc>
        <w:tc>
          <w:tcPr>
            <w:tcW w:w="2248" w:type="dxa"/>
            <w:vAlign w:val="center"/>
          </w:tcPr>
          <w:p w:rsidRPr="00E6342C" w:rsidR="00E6342C" w:rsidP="00E6342C" w:rsidRDefault="00E6342C" w14:paraId="4206D068" w14:textId="77777777">
            <w:pPr>
              <w:spacing w:line="268" w:lineRule="exact"/>
              <w:jc w:val="both"/>
              <w:rPr>
                <w:szCs w:val="22"/>
              </w:rPr>
            </w:pPr>
            <w:r w:rsidRPr="00E6342C">
              <w:rPr>
                <w:szCs w:val="22"/>
              </w:rPr>
              <w:t>520</w:t>
            </w:r>
          </w:p>
        </w:tc>
        <w:tc>
          <w:tcPr>
            <w:tcW w:w="1915" w:type="dxa"/>
            <w:vAlign w:val="center"/>
          </w:tcPr>
          <w:p w:rsidRPr="00E6342C" w:rsidR="00E6342C" w:rsidP="00E6342C" w:rsidRDefault="00E6342C" w14:paraId="1A75FA87" w14:textId="77777777">
            <w:pPr>
              <w:spacing w:line="268" w:lineRule="exact"/>
              <w:jc w:val="both"/>
              <w:rPr>
                <w:szCs w:val="22"/>
              </w:rPr>
            </w:pPr>
            <w:r w:rsidRPr="00E6342C">
              <w:rPr>
                <w:szCs w:val="22"/>
              </w:rPr>
              <w:t>30 minutes</w:t>
            </w:r>
          </w:p>
        </w:tc>
        <w:tc>
          <w:tcPr>
            <w:tcW w:w="1794" w:type="dxa"/>
            <w:vAlign w:val="center"/>
          </w:tcPr>
          <w:p w:rsidRPr="00E6342C" w:rsidR="00E6342C" w:rsidP="00E6342C" w:rsidRDefault="00E6342C" w14:paraId="3B18D13A" w14:textId="77777777">
            <w:pPr>
              <w:spacing w:line="268" w:lineRule="exact"/>
              <w:jc w:val="both"/>
              <w:rPr>
                <w:szCs w:val="22"/>
              </w:rPr>
            </w:pPr>
            <w:r w:rsidRPr="00E6342C">
              <w:rPr>
                <w:szCs w:val="22"/>
              </w:rPr>
              <w:t>260</w:t>
            </w:r>
          </w:p>
        </w:tc>
      </w:tr>
      <w:tr w:rsidRPr="00E6342C" w:rsidR="00E6342C" w:rsidTr="006E3A2E" w14:paraId="663A9990" w14:textId="77777777">
        <w:trPr>
          <w:trHeight w:val="339"/>
        </w:trPr>
        <w:tc>
          <w:tcPr>
            <w:tcW w:w="7656" w:type="dxa"/>
            <w:gridSpan w:val="3"/>
          </w:tcPr>
          <w:p w:rsidRPr="00E6342C" w:rsidR="00E6342C" w:rsidP="00E6342C" w:rsidRDefault="00E6342C" w14:paraId="4DF723EB" w14:textId="77777777">
            <w:pPr>
              <w:spacing w:line="268" w:lineRule="exact"/>
              <w:jc w:val="both"/>
              <w:rPr>
                <w:b/>
                <w:szCs w:val="22"/>
              </w:rPr>
            </w:pPr>
            <w:r w:rsidRPr="00E6342C">
              <w:rPr>
                <w:b/>
                <w:szCs w:val="22"/>
              </w:rPr>
              <w:t>Total Burden Hours</w:t>
            </w:r>
          </w:p>
        </w:tc>
        <w:tc>
          <w:tcPr>
            <w:tcW w:w="1794" w:type="dxa"/>
            <w:vAlign w:val="center"/>
          </w:tcPr>
          <w:p w:rsidRPr="00E6342C" w:rsidR="00E6342C" w:rsidP="00E6342C" w:rsidRDefault="00E6342C" w14:paraId="1D29C36B" w14:textId="77777777">
            <w:pPr>
              <w:spacing w:line="268" w:lineRule="exact"/>
              <w:jc w:val="both"/>
              <w:rPr>
                <w:b/>
                <w:szCs w:val="22"/>
              </w:rPr>
            </w:pPr>
            <w:r w:rsidRPr="00E6342C">
              <w:rPr>
                <w:b/>
                <w:szCs w:val="22"/>
              </w:rPr>
              <w:t>1,820</w:t>
            </w:r>
          </w:p>
        </w:tc>
      </w:tr>
    </w:tbl>
    <w:p w:rsidR="003D57B0" w:rsidP="00F871E7" w:rsidRDefault="003D57B0" w14:paraId="70C01B15" w14:textId="77777777">
      <w:pPr>
        <w:rPr>
          <w:szCs w:val="22"/>
          <w:u w:val="single"/>
        </w:rPr>
      </w:pPr>
    </w:p>
    <w:p w:rsidR="00E6342C" w:rsidP="00F871E7" w:rsidRDefault="003D57B0" w14:paraId="7D41DC17" w14:textId="76FD5C05">
      <w:pPr>
        <w:rPr>
          <w:szCs w:val="22"/>
        </w:rPr>
      </w:pPr>
      <w:r w:rsidRPr="00D616F2">
        <w:rPr>
          <w:szCs w:val="22"/>
          <w:u w:val="single"/>
        </w:rPr>
        <w:t>Estimated Total Annual Burden Hours:</w:t>
      </w:r>
      <w:r w:rsidRPr="00AA6051">
        <w:rPr>
          <w:szCs w:val="22"/>
        </w:rPr>
        <w:t xml:space="preserve"> </w:t>
      </w:r>
      <w:r>
        <w:rPr>
          <w:szCs w:val="22"/>
        </w:rPr>
        <w:t xml:space="preserve"> 1,820</w:t>
      </w:r>
      <w:r w:rsidRPr="00AA6051">
        <w:rPr>
          <w:szCs w:val="22"/>
        </w:rPr>
        <w:t>.</w:t>
      </w:r>
    </w:p>
    <w:p w:rsidR="003D57B0" w:rsidP="00F871E7" w:rsidRDefault="003D57B0" w14:paraId="7CB62AAA" w14:textId="77777777"/>
    <w:p w:rsidR="005C1BCA" w:rsidP="00F871E7" w:rsidRDefault="005C1BCA" w14:paraId="36DFFD75" w14:textId="037F1374">
      <w:pPr>
        <w:rPr>
          <w:szCs w:val="22"/>
          <w:u w:val="single"/>
        </w:rPr>
      </w:pPr>
      <w:r w:rsidRPr="00D56702">
        <w:rPr>
          <w:szCs w:val="22"/>
        </w:rPr>
        <w:t xml:space="preserve">13. </w:t>
      </w:r>
      <w:r>
        <w:rPr>
          <w:szCs w:val="22"/>
          <w:u w:val="single"/>
        </w:rPr>
        <w:t>Estimated annual cost burden.</w:t>
      </w:r>
    </w:p>
    <w:p w:rsidR="005C1BCA" w:rsidP="00F871E7" w:rsidRDefault="005C1BCA" w14:paraId="55FA2E62" w14:textId="77777777">
      <w:pPr>
        <w:rPr>
          <w:szCs w:val="22"/>
          <w:u w:val="single"/>
        </w:rPr>
      </w:pPr>
    </w:p>
    <w:p w:rsidR="00037D70" w:rsidP="00F871E7" w:rsidRDefault="0005324E" w14:paraId="1C99C69A" w14:textId="23D3053B">
      <w:r>
        <w:rPr>
          <w:b/>
        </w:rPr>
        <w:t xml:space="preserve">Table 3 - </w:t>
      </w:r>
      <w:r w:rsidRPr="00037D70" w:rsidR="00037D70">
        <w:rPr>
          <w:b/>
        </w:rPr>
        <w:t>Total Cost of Traditional Annual PRA Burden</w:t>
      </w:r>
    </w:p>
    <w:tbl>
      <w:tblPr>
        <w:tblStyle w:val="TableGrid"/>
        <w:tblW w:w="9450" w:type="dxa"/>
        <w:tblInd w:w="-5" w:type="dxa"/>
        <w:tblLook w:val="04A0" w:firstRow="1" w:lastRow="0" w:firstColumn="1" w:lastColumn="0" w:noHBand="0" w:noVBand="1"/>
      </w:tblPr>
      <w:tblGrid>
        <w:gridCol w:w="3493"/>
        <w:gridCol w:w="2248"/>
        <w:gridCol w:w="1915"/>
        <w:gridCol w:w="1794"/>
      </w:tblGrid>
      <w:tr w:rsidRPr="005D53AA" w:rsidR="00037D70" w:rsidTr="006E3A2E" w14:paraId="6C287A69" w14:textId="77777777">
        <w:trPr>
          <w:tblHeader/>
        </w:trPr>
        <w:tc>
          <w:tcPr>
            <w:tcW w:w="3493" w:type="dxa"/>
            <w:shd w:val="clear" w:color="auto" w:fill="F2F2F2" w:themeFill="background1" w:themeFillShade="F2"/>
            <w:vAlign w:val="center"/>
          </w:tcPr>
          <w:p w:rsidRPr="005D53AA" w:rsidR="00037D70" w:rsidP="006E3A2E" w:rsidRDefault="00037D70" w14:paraId="7888B0F8" w14:textId="77777777">
            <w:pPr>
              <w:jc w:val="center"/>
              <w:rPr>
                <w:b/>
                <w:sz w:val="22"/>
                <w:szCs w:val="22"/>
              </w:rPr>
            </w:pPr>
            <w:r w:rsidRPr="005D53AA">
              <w:rPr>
                <w:b/>
                <w:sz w:val="22"/>
                <w:szCs w:val="22"/>
              </w:rPr>
              <w:t>Steps</w:t>
            </w:r>
          </w:p>
        </w:tc>
        <w:tc>
          <w:tcPr>
            <w:tcW w:w="2248" w:type="dxa"/>
            <w:shd w:val="clear" w:color="auto" w:fill="F2F2F2" w:themeFill="background1" w:themeFillShade="F2"/>
          </w:tcPr>
          <w:p w:rsidRPr="005D53AA" w:rsidR="00037D70" w:rsidP="006E3A2E" w:rsidRDefault="00037D70" w14:paraId="2EFA20BE" w14:textId="77777777">
            <w:pPr>
              <w:jc w:val="center"/>
              <w:rPr>
                <w:b/>
                <w:sz w:val="22"/>
                <w:szCs w:val="22"/>
              </w:rPr>
            </w:pPr>
            <w:r w:rsidRPr="005D53AA">
              <w:rPr>
                <w:b/>
                <w:sz w:val="22"/>
                <w:szCs w:val="22"/>
              </w:rPr>
              <w:t>Hourly Burden</w:t>
            </w:r>
          </w:p>
        </w:tc>
        <w:tc>
          <w:tcPr>
            <w:tcW w:w="1915" w:type="dxa"/>
            <w:shd w:val="clear" w:color="auto" w:fill="F2F2F2" w:themeFill="background1" w:themeFillShade="F2"/>
            <w:vAlign w:val="center"/>
          </w:tcPr>
          <w:p w:rsidRPr="005D53AA" w:rsidR="00037D70" w:rsidP="006E3A2E" w:rsidRDefault="00037D70" w14:paraId="4CC6DC3C" w14:textId="77777777">
            <w:pPr>
              <w:jc w:val="center"/>
              <w:rPr>
                <w:b/>
                <w:sz w:val="22"/>
                <w:szCs w:val="22"/>
              </w:rPr>
            </w:pPr>
            <w:r w:rsidRPr="005D53AA">
              <w:rPr>
                <w:b/>
                <w:sz w:val="22"/>
                <w:szCs w:val="22"/>
              </w:rPr>
              <w:t>Hourly Cost</w:t>
            </w:r>
          </w:p>
        </w:tc>
        <w:tc>
          <w:tcPr>
            <w:tcW w:w="1794" w:type="dxa"/>
            <w:shd w:val="clear" w:color="auto" w:fill="F2F2F2" w:themeFill="background1" w:themeFillShade="F2"/>
            <w:vAlign w:val="center"/>
          </w:tcPr>
          <w:p w:rsidRPr="005D53AA" w:rsidR="00037D70" w:rsidP="006E3A2E" w:rsidRDefault="00037D70" w14:paraId="03FBC104" w14:textId="77777777">
            <w:pPr>
              <w:jc w:val="center"/>
              <w:rPr>
                <w:b/>
                <w:sz w:val="22"/>
                <w:szCs w:val="22"/>
              </w:rPr>
            </w:pPr>
            <w:r w:rsidRPr="005D53AA">
              <w:rPr>
                <w:b/>
                <w:sz w:val="22"/>
                <w:szCs w:val="22"/>
              </w:rPr>
              <w:t>Total Cost</w:t>
            </w:r>
          </w:p>
        </w:tc>
      </w:tr>
      <w:tr w:rsidRPr="005D53AA" w:rsidR="00037D70" w:rsidTr="006E3A2E" w14:paraId="58CEEE29" w14:textId="77777777">
        <w:trPr>
          <w:trHeight w:val="339"/>
        </w:trPr>
        <w:tc>
          <w:tcPr>
            <w:tcW w:w="3493" w:type="dxa"/>
            <w:vAlign w:val="center"/>
          </w:tcPr>
          <w:p w:rsidRPr="005D53AA" w:rsidR="00037D70" w:rsidP="006E3A2E" w:rsidRDefault="00037D70" w14:paraId="67ED04AE" w14:textId="77777777">
            <w:pPr>
              <w:rPr>
                <w:sz w:val="22"/>
                <w:szCs w:val="22"/>
              </w:rPr>
            </w:pPr>
            <w:r w:rsidRPr="005D53AA">
              <w:rPr>
                <w:sz w:val="22"/>
                <w:szCs w:val="22"/>
              </w:rPr>
              <w:t>Inquire with a foreign bank for which the U.S. bank maintains a correspondent account, and report the foreign bank’s responses to FinCEN.</w:t>
            </w:r>
          </w:p>
        </w:tc>
        <w:tc>
          <w:tcPr>
            <w:tcW w:w="2248" w:type="dxa"/>
            <w:vAlign w:val="center"/>
          </w:tcPr>
          <w:p w:rsidRPr="005D53AA" w:rsidR="00037D70" w:rsidRDefault="00037D70" w14:paraId="0AD96ED7" w14:textId="49E89B9C">
            <w:pPr>
              <w:rPr>
                <w:sz w:val="22"/>
                <w:szCs w:val="22"/>
              </w:rPr>
            </w:pPr>
            <w:r w:rsidRPr="005D53AA">
              <w:rPr>
                <w:sz w:val="22"/>
                <w:szCs w:val="22"/>
              </w:rPr>
              <w:t>1,560</w:t>
            </w:r>
          </w:p>
        </w:tc>
        <w:tc>
          <w:tcPr>
            <w:tcW w:w="1915" w:type="dxa"/>
            <w:vAlign w:val="center"/>
          </w:tcPr>
          <w:p w:rsidRPr="005D53AA" w:rsidR="00037D70" w:rsidRDefault="00037D70" w14:paraId="527DE999" w14:textId="295488A4">
            <w:pPr>
              <w:rPr>
                <w:sz w:val="22"/>
                <w:szCs w:val="22"/>
              </w:rPr>
            </w:pPr>
            <w:r w:rsidRPr="005D53AA">
              <w:rPr>
                <w:sz w:val="22"/>
                <w:szCs w:val="22"/>
              </w:rPr>
              <w:t>$96.00</w:t>
            </w:r>
            <w:r w:rsidRPr="00037D70">
              <w:rPr>
                <w:sz w:val="22"/>
                <w:szCs w:val="22"/>
                <w:vertAlign w:val="superscript"/>
              </w:rPr>
              <w:footnoteReference w:id="16"/>
            </w:r>
          </w:p>
        </w:tc>
        <w:tc>
          <w:tcPr>
            <w:tcW w:w="1794" w:type="dxa"/>
            <w:vAlign w:val="center"/>
          </w:tcPr>
          <w:p w:rsidRPr="005D53AA" w:rsidR="00037D70" w:rsidP="006E3A2E" w:rsidRDefault="00037D70" w14:paraId="437774F7" w14:textId="77777777">
            <w:pPr>
              <w:jc w:val="right"/>
              <w:rPr>
                <w:sz w:val="22"/>
                <w:szCs w:val="22"/>
              </w:rPr>
            </w:pPr>
            <w:r w:rsidRPr="005D53AA">
              <w:rPr>
                <w:sz w:val="22"/>
                <w:szCs w:val="22"/>
              </w:rPr>
              <w:t>$149,760</w:t>
            </w:r>
          </w:p>
        </w:tc>
      </w:tr>
      <w:tr w:rsidRPr="005D53AA" w:rsidR="00037D70" w:rsidTr="006E3A2E" w14:paraId="7DEDF066" w14:textId="77777777">
        <w:trPr>
          <w:trHeight w:val="339"/>
        </w:trPr>
        <w:tc>
          <w:tcPr>
            <w:tcW w:w="3493" w:type="dxa"/>
            <w:vAlign w:val="center"/>
          </w:tcPr>
          <w:p w:rsidRPr="005D53AA" w:rsidR="00037D70" w:rsidP="006E3A2E" w:rsidRDefault="00037D70" w14:paraId="15939136" w14:textId="77777777">
            <w:pPr>
              <w:rPr>
                <w:sz w:val="22"/>
                <w:szCs w:val="22"/>
              </w:rPr>
            </w:pPr>
            <w:r w:rsidRPr="005D53AA">
              <w:rPr>
                <w:sz w:val="22"/>
                <w:szCs w:val="22"/>
              </w:rPr>
              <w:t>Report to FinCEN that the U.S. bank does not maintain a correspondent account for the specified foreign bank.</w:t>
            </w:r>
          </w:p>
        </w:tc>
        <w:tc>
          <w:tcPr>
            <w:tcW w:w="2248" w:type="dxa"/>
            <w:vAlign w:val="center"/>
          </w:tcPr>
          <w:p w:rsidRPr="005D53AA" w:rsidR="00037D70" w:rsidRDefault="00037D70" w14:paraId="593670D3" w14:textId="030A3612">
            <w:pPr>
              <w:rPr>
                <w:sz w:val="22"/>
                <w:szCs w:val="22"/>
              </w:rPr>
            </w:pPr>
            <w:r w:rsidRPr="005D53AA">
              <w:rPr>
                <w:sz w:val="22"/>
                <w:szCs w:val="22"/>
              </w:rPr>
              <w:t>260</w:t>
            </w:r>
          </w:p>
        </w:tc>
        <w:tc>
          <w:tcPr>
            <w:tcW w:w="1915" w:type="dxa"/>
            <w:vAlign w:val="center"/>
          </w:tcPr>
          <w:p w:rsidRPr="005D53AA" w:rsidR="00037D70" w:rsidRDefault="00037D70" w14:paraId="18932EF0" w14:textId="4C3B2104">
            <w:pPr>
              <w:rPr>
                <w:sz w:val="22"/>
                <w:szCs w:val="22"/>
              </w:rPr>
            </w:pPr>
            <w:r w:rsidRPr="005D53AA">
              <w:rPr>
                <w:sz w:val="22"/>
                <w:szCs w:val="22"/>
              </w:rPr>
              <w:t>$96.00</w:t>
            </w:r>
            <w:r w:rsidRPr="00037D70">
              <w:rPr>
                <w:sz w:val="22"/>
                <w:szCs w:val="22"/>
                <w:vertAlign w:val="superscript"/>
              </w:rPr>
              <w:footnoteReference w:id="17"/>
            </w:r>
          </w:p>
        </w:tc>
        <w:tc>
          <w:tcPr>
            <w:tcW w:w="1794" w:type="dxa"/>
            <w:vAlign w:val="center"/>
          </w:tcPr>
          <w:p w:rsidRPr="005D53AA" w:rsidR="00037D70" w:rsidP="006E3A2E" w:rsidRDefault="00037D70" w14:paraId="617C7052" w14:textId="77777777">
            <w:pPr>
              <w:jc w:val="right"/>
              <w:rPr>
                <w:sz w:val="22"/>
                <w:szCs w:val="22"/>
              </w:rPr>
            </w:pPr>
            <w:r w:rsidRPr="005D53AA">
              <w:rPr>
                <w:sz w:val="22"/>
                <w:szCs w:val="22"/>
              </w:rPr>
              <w:t>$24,960</w:t>
            </w:r>
          </w:p>
        </w:tc>
      </w:tr>
      <w:tr w:rsidRPr="005D53AA" w:rsidR="00037D70" w:rsidTr="006E3A2E" w14:paraId="0559335A" w14:textId="77777777">
        <w:trPr>
          <w:trHeight w:val="339"/>
        </w:trPr>
        <w:tc>
          <w:tcPr>
            <w:tcW w:w="7656" w:type="dxa"/>
            <w:gridSpan w:val="3"/>
          </w:tcPr>
          <w:p w:rsidRPr="005D53AA" w:rsidR="00037D70" w:rsidP="006E3A2E" w:rsidRDefault="00037D70" w14:paraId="2C2C6780" w14:textId="77777777">
            <w:pPr>
              <w:rPr>
                <w:b/>
                <w:sz w:val="22"/>
                <w:szCs w:val="22"/>
              </w:rPr>
            </w:pPr>
            <w:r w:rsidRPr="005D53AA">
              <w:rPr>
                <w:b/>
                <w:sz w:val="22"/>
                <w:szCs w:val="22"/>
              </w:rPr>
              <w:t>Total Cost</w:t>
            </w:r>
          </w:p>
        </w:tc>
        <w:tc>
          <w:tcPr>
            <w:tcW w:w="1794" w:type="dxa"/>
            <w:vAlign w:val="center"/>
          </w:tcPr>
          <w:p w:rsidRPr="005D53AA" w:rsidR="00037D70" w:rsidP="006E3A2E" w:rsidRDefault="00037D70" w14:paraId="3E8B6973" w14:textId="77777777">
            <w:pPr>
              <w:jc w:val="right"/>
              <w:rPr>
                <w:b/>
                <w:sz w:val="22"/>
                <w:szCs w:val="22"/>
              </w:rPr>
            </w:pPr>
            <w:r w:rsidRPr="005D53AA">
              <w:rPr>
                <w:b/>
                <w:sz w:val="22"/>
                <w:szCs w:val="22"/>
              </w:rPr>
              <w:t>$174,720</w:t>
            </w:r>
          </w:p>
        </w:tc>
      </w:tr>
    </w:tbl>
    <w:p w:rsidR="00037D70" w:rsidP="00F871E7" w:rsidRDefault="00037D70" w14:paraId="3A568CD7" w14:textId="3DAA1A8B"/>
    <w:p w:rsidR="003D57B0" w:rsidP="003D57B0" w:rsidRDefault="003D57B0" w14:paraId="38B1CDE6" w14:textId="77777777">
      <w:pPr>
        <w:rPr>
          <w:szCs w:val="22"/>
        </w:rPr>
      </w:pPr>
      <w:r w:rsidRPr="00D616F2">
        <w:rPr>
          <w:szCs w:val="22"/>
          <w:u w:val="single"/>
        </w:rPr>
        <w:t>Estimated Total Annual Cost:</w:t>
      </w:r>
      <w:r w:rsidRPr="00AA6051">
        <w:rPr>
          <w:szCs w:val="22"/>
        </w:rPr>
        <w:t xml:space="preserve"> $</w:t>
      </w:r>
      <w:r>
        <w:rPr>
          <w:szCs w:val="22"/>
        </w:rPr>
        <w:t>174,720</w:t>
      </w:r>
      <w:r w:rsidRPr="00AA6051">
        <w:rPr>
          <w:szCs w:val="22"/>
        </w:rPr>
        <w:t>.</w:t>
      </w:r>
    </w:p>
    <w:p w:rsidRPr="00C15D80" w:rsidR="00037D70" w:rsidP="00F871E7" w:rsidRDefault="00037D70" w14:paraId="41C91E89" w14:textId="2951EC03"/>
    <w:p w:rsidRPr="00C15D80" w:rsidR="00FF6060" w:rsidP="003D57B0" w:rsidRDefault="00D74A6E" w14:paraId="57851320" w14:textId="77777777">
      <w:pPr>
        <w:ind w:firstLine="720"/>
      </w:pPr>
      <w:r w:rsidRPr="00C15D80">
        <w:t>There are no non-labor costs associated with this collection of information.</w:t>
      </w:r>
    </w:p>
    <w:p w:rsidRPr="00C15D80" w:rsidR="00374CD1" w:rsidP="00813F63" w:rsidRDefault="00374CD1" w14:paraId="273B8E0A" w14:textId="77777777">
      <w:pPr>
        <w:ind w:left="360"/>
      </w:pPr>
    </w:p>
    <w:p w:rsidRPr="00C15D80" w:rsidR="00C060BA" w:rsidP="00CF5F26" w:rsidRDefault="00F871E7" w14:paraId="32C4E030" w14:textId="77777777">
      <w:r w:rsidRPr="00C15D80">
        <w:t>14.</w:t>
      </w:r>
      <w:r w:rsidRPr="00C15D80" w:rsidR="00CC162B">
        <w:t xml:space="preserve"> </w:t>
      </w:r>
      <w:r w:rsidRPr="00C15D80" w:rsidR="00374CD1">
        <w:t xml:space="preserve"> </w:t>
      </w:r>
      <w:r w:rsidRPr="00C15D80" w:rsidR="00374CD1">
        <w:rPr>
          <w:u w:val="single"/>
        </w:rPr>
        <w:t>Estimated annualized cost to the government.</w:t>
      </w:r>
      <w:r w:rsidRPr="00C15D80" w:rsidR="00374CD1">
        <w:t xml:space="preserve">  </w:t>
      </w:r>
    </w:p>
    <w:p w:rsidRPr="00C15D80" w:rsidR="00C060BA" w:rsidP="00813F63" w:rsidRDefault="00C060BA" w14:paraId="45D96103" w14:textId="77777777">
      <w:pPr>
        <w:ind w:left="360" w:firstLine="360"/>
      </w:pPr>
    </w:p>
    <w:p w:rsidRPr="00C15D80" w:rsidR="00F65941" w:rsidP="00CF5F26" w:rsidRDefault="00697E65" w14:paraId="3F6B862F" w14:textId="4B2A000B">
      <w:pPr>
        <w:ind w:firstLine="720"/>
        <w:rPr>
          <w:rStyle w:val="FootnoteReference"/>
          <w:vertAlign w:val="superscript"/>
        </w:rPr>
      </w:pPr>
      <w:r>
        <w:t>There is no cost to the Federal government.  The responses are submitted to Fin</w:t>
      </w:r>
      <w:r w:rsidR="00E55995">
        <w:t>C</w:t>
      </w:r>
      <w:r>
        <w:t xml:space="preserve">EN </w:t>
      </w:r>
      <w:r>
        <w:lastRenderedPageBreak/>
        <w:t xml:space="preserve">electronically via the </w:t>
      </w:r>
      <w:r w:rsidR="00B94D8C">
        <w:t>SISS</w:t>
      </w:r>
      <w:r>
        <w:t>.</w:t>
      </w:r>
      <w:r w:rsidRPr="00C15D80" w:rsidR="006F60B5">
        <w:t xml:space="preserve"> </w:t>
      </w:r>
    </w:p>
    <w:p w:rsidRPr="00C15D80" w:rsidR="001B275B" w:rsidP="00813F63" w:rsidRDefault="001B275B" w14:paraId="1B07879A" w14:textId="77777777">
      <w:pPr>
        <w:ind w:left="360"/>
      </w:pPr>
    </w:p>
    <w:p w:rsidRPr="00C15D80" w:rsidR="00C060BA" w:rsidP="00CF5F26" w:rsidRDefault="00F871E7" w14:paraId="0AE9E036" w14:textId="77777777">
      <w:r w:rsidRPr="00C15D80">
        <w:t>15.</w:t>
      </w:r>
      <w:r w:rsidRPr="00C15D80" w:rsidR="00CC162B">
        <w:t xml:space="preserve">  </w:t>
      </w:r>
      <w:r w:rsidRPr="00C15D80" w:rsidR="00374CD1">
        <w:rPr>
          <w:u w:val="single"/>
        </w:rPr>
        <w:t>Reasons for change in burden</w:t>
      </w:r>
      <w:r w:rsidRPr="00C15D80" w:rsidR="00374CD1">
        <w:t xml:space="preserve">.  </w:t>
      </w:r>
    </w:p>
    <w:p w:rsidRPr="00C15D80" w:rsidR="00C060BA" w:rsidP="00813F63" w:rsidRDefault="00C060BA" w14:paraId="494B331C" w14:textId="77777777">
      <w:pPr>
        <w:ind w:left="360" w:firstLine="360"/>
      </w:pPr>
    </w:p>
    <w:p w:rsidRPr="000F3BEC" w:rsidR="001B275B" w:rsidP="000F3BEC" w:rsidRDefault="000F2C5A" w14:paraId="64F49B8D" w14:textId="2912B3FD">
      <w:pPr>
        <w:ind w:firstLine="720"/>
      </w:pPr>
      <w:r w:rsidRPr="00F76D21">
        <w:t xml:space="preserve">The estimated total annual burden hours decreased by </w:t>
      </w:r>
      <w:r>
        <w:t>1,005 hours from 2,825</w:t>
      </w:r>
      <w:r w:rsidRPr="00F76D21">
        <w:t xml:space="preserve"> hours in</w:t>
      </w:r>
      <w:r>
        <w:t xml:space="preserve"> 2018 to 1,820 hours in 2022. </w:t>
      </w:r>
      <w:r w:rsidR="00E55995">
        <w:t xml:space="preserve"> </w:t>
      </w:r>
      <w:r w:rsidR="00010AE0">
        <w:rPr>
          <w:szCs w:val="22"/>
        </w:rPr>
        <w:t>T</w:t>
      </w:r>
      <w:r w:rsidR="0029429E">
        <w:rPr>
          <w:szCs w:val="22"/>
        </w:rPr>
        <w:t xml:space="preserve">he burden per CISADA-related report </w:t>
      </w:r>
      <w:r w:rsidR="00010AE0">
        <w:rPr>
          <w:szCs w:val="22"/>
        </w:rPr>
        <w:t xml:space="preserve">from U.S. banks that maintain correspondent accounts for specified foreign banks </w:t>
      </w:r>
      <w:r w:rsidR="0029429E">
        <w:rPr>
          <w:szCs w:val="22"/>
        </w:rPr>
        <w:t>remained at 3 hours per response. The</w:t>
      </w:r>
      <w:r w:rsidR="00920DE9">
        <w:rPr>
          <w:szCs w:val="22"/>
        </w:rPr>
        <w:t xml:space="preserve"> </w:t>
      </w:r>
      <w:r w:rsidR="0029429E">
        <w:rPr>
          <w:szCs w:val="22"/>
        </w:rPr>
        <w:t xml:space="preserve">burden per </w:t>
      </w:r>
      <w:r w:rsidR="00010AE0">
        <w:rPr>
          <w:szCs w:val="22"/>
        </w:rPr>
        <w:t xml:space="preserve">CISADA-related report from U.S. banks that do not maintain correspondent accounts for specified foreign banks </w:t>
      </w:r>
      <w:r w:rsidR="0029429E">
        <w:rPr>
          <w:szCs w:val="22"/>
        </w:rPr>
        <w:t>remained at 30 minutes per response.</w:t>
      </w:r>
      <w:r w:rsidRPr="00F76D21">
        <w:t xml:space="preserve"> </w:t>
      </w:r>
      <w:r w:rsidR="000F3BEC">
        <w:t xml:space="preserve"> </w:t>
      </w:r>
      <w:r w:rsidRPr="00F76D21">
        <w:t>T</w:t>
      </w:r>
      <w:r>
        <w:t>he reduction in burden is</w:t>
      </w:r>
      <w:r w:rsidRPr="00F76D21">
        <w:t xml:space="preserve"> a result of a </w:t>
      </w:r>
      <w:r w:rsidR="00842BA5">
        <w:t xml:space="preserve">combination of a decrease in the </w:t>
      </w:r>
      <w:r w:rsidR="00920DE9">
        <w:t xml:space="preserve">estimated </w:t>
      </w:r>
      <w:r w:rsidR="00842BA5">
        <w:t xml:space="preserve">total number of </w:t>
      </w:r>
      <w:r w:rsidR="00920DE9">
        <w:t>CISADA</w:t>
      </w:r>
      <w:r w:rsidR="00010AE0">
        <w:t>-related reports</w:t>
      </w:r>
      <w:r w:rsidR="00842BA5">
        <w:t xml:space="preserve"> from 1,150 in 2018 to 1,040 in 2022</w:t>
      </w:r>
      <w:r w:rsidR="000F3BEC">
        <w:t>,</w:t>
      </w:r>
      <w:r w:rsidR="00842BA5">
        <w:t xml:space="preserve"> and</w:t>
      </w:r>
      <w:r w:rsidR="0029429E">
        <w:t xml:space="preserve"> </w:t>
      </w:r>
      <w:r w:rsidR="00842BA5">
        <w:t xml:space="preserve">a decrease </w:t>
      </w:r>
      <w:r w:rsidR="000F3BEC">
        <w:t xml:space="preserve">in the estimated </w:t>
      </w:r>
      <w:r w:rsidR="00842BA5">
        <w:t xml:space="preserve">number of </w:t>
      </w:r>
      <w:r w:rsidR="00010AE0">
        <w:t xml:space="preserve">CISADA-related reports from U.S. banks that maintain correspondent accounts for specified foreign banks </w:t>
      </w:r>
      <w:r w:rsidR="00842BA5">
        <w:t xml:space="preserve">from 900 in 2018 to 520 in 2022. </w:t>
      </w:r>
      <w:r w:rsidR="00920DE9">
        <w:t xml:space="preserve"> </w:t>
      </w:r>
    </w:p>
    <w:p w:rsidRPr="00C15D80" w:rsidR="00F871E7" w:rsidP="00813F63" w:rsidRDefault="00F871E7" w14:paraId="17005D05" w14:textId="77777777">
      <w:pPr>
        <w:ind w:left="360"/>
      </w:pPr>
    </w:p>
    <w:p w:rsidRPr="00C15D80" w:rsidR="00C060BA" w:rsidP="00CF5F26" w:rsidRDefault="00F871E7" w14:paraId="03FD58C5" w14:textId="77777777">
      <w:r w:rsidRPr="00C15D80">
        <w:t>16.</w:t>
      </w:r>
      <w:r w:rsidRPr="00C15D80" w:rsidR="00CC162B">
        <w:t xml:space="preserve"> </w:t>
      </w:r>
      <w:r w:rsidRPr="00C15D80">
        <w:t xml:space="preserve"> </w:t>
      </w:r>
      <w:r w:rsidRPr="00C15D80" w:rsidR="00374CD1">
        <w:rPr>
          <w:u w:val="single"/>
        </w:rPr>
        <w:t>Plans for tabulation, statistical analysis and publication</w:t>
      </w:r>
      <w:r w:rsidRPr="00C15D80" w:rsidR="00374CD1">
        <w:t xml:space="preserve">.  </w:t>
      </w:r>
    </w:p>
    <w:p w:rsidRPr="00C15D80" w:rsidR="00C060BA" w:rsidP="00813F63" w:rsidRDefault="00C060BA" w14:paraId="294329C7" w14:textId="77777777">
      <w:pPr>
        <w:ind w:left="360" w:firstLine="360"/>
      </w:pPr>
    </w:p>
    <w:p w:rsidRPr="00C15D80" w:rsidR="001B275B" w:rsidP="00CF5F26" w:rsidRDefault="007B40CB" w14:paraId="10A67137" w14:textId="1543EE76">
      <w:pPr>
        <w:ind w:firstLine="720"/>
      </w:pPr>
      <w:r w:rsidRPr="007B40CB">
        <w:t>This collection of information will not be published.</w:t>
      </w:r>
    </w:p>
    <w:p w:rsidRPr="00C15D80" w:rsidR="00374CD1" w:rsidP="00813F63" w:rsidRDefault="00374CD1" w14:paraId="5C520E1D" w14:textId="77777777">
      <w:pPr>
        <w:ind w:left="360"/>
      </w:pPr>
    </w:p>
    <w:p w:rsidRPr="00C15D80" w:rsidR="00813F63" w:rsidP="00CF5F26" w:rsidRDefault="00F871E7" w14:paraId="52F46525" w14:textId="560F2D5E">
      <w:r w:rsidRPr="00C15D80">
        <w:t>17.</w:t>
      </w:r>
      <w:r w:rsidRPr="00C15D80" w:rsidR="00374CD1">
        <w:t xml:space="preserve"> </w:t>
      </w:r>
      <w:r w:rsidRPr="00C15D80" w:rsidR="00CC162B">
        <w:t xml:space="preserve"> </w:t>
      </w:r>
      <w:r w:rsidRPr="00130642" w:rsidR="00130642">
        <w:rPr>
          <w:u w:val="single"/>
        </w:rPr>
        <w:t>Request not to display the expiration date of the OMB control number.</w:t>
      </w:r>
      <w:r w:rsidRPr="00C15D80" w:rsidR="001B275B">
        <w:t xml:space="preserve">  </w:t>
      </w:r>
    </w:p>
    <w:p w:rsidRPr="00C15D80" w:rsidR="00D20B9A" w:rsidP="00813F63" w:rsidRDefault="00813F63" w14:paraId="04D92AE4" w14:textId="77777777">
      <w:pPr>
        <w:ind w:left="450"/>
      </w:pPr>
      <w:r w:rsidRPr="00C15D80">
        <w:tab/>
      </w:r>
    </w:p>
    <w:p w:rsidRPr="00C15D80" w:rsidR="00374CD1" w:rsidP="00CF5F26" w:rsidRDefault="007B40CB" w14:paraId="1A4F1644" w14:textId="514B1203">
      <w:pPr>
        <w:ind w:firstLine="720"/>
      </w:pPr>
      <w:r w:rsidRPr="007B40CB">
        <w:t xml:space="preserve">FinCEN requests that it not be required to display the expiration date so that the regulations </w:t>
      </w:r>
      <w:r w:rsidR="0005324E">
        <w:t xml:space="preserve">and </w:t>
      </w:r>
      <w:r w:rsidR="00A55390">
        <w:t>optional</w:t>
      </w:r>
      <w:r w:rsidR="0005324E">
        <w:t xml:space="preserve"> certification form </w:t>
      </w:r>
      <w:r w:rsidRPr="007B40CB">
        <w:t>will not have to be amended for the new expiration date every three years.</w:t>
      </w:r>
    </w:p>
    <w:p w:rsidRPr="00C15D80" w:rsidR="00F871E7" w:rsidP="00D20B9A" w:rsidRDefault="00F871E7" w14:paraId="6715F356" w14:textId="77777777">
      <w:pPr>
        <w:ind w:left="450" w:firstLine="270"/>
      </w:pPr>
    </w:p>
    <w:p w:rsidRPr="00C15D80" w:rsidR="00C060BA" w:rsidP="00CF5F26" w:rsidRDefault="00F871E7" w14:paraId="502512C4" w14:textId="77777777">
      <w:r w:rsidRPr="00C15D80">
        <w:t>18.</w:t>
      </w:r>
      <w:r w:rsidRPr="00C15D80" w:rsidR="00CC162B">
        <w:t xml:space="preserve"> </w:t>
      </w:r>
      <w:r w:rsidRPr="00C15D80" w:rsidR="00374CD1">
        <w:t xml:space="preserve"> </w:t>
      </w:r>
      <w:r w:rsidRPr="00C15D80" w:rsidR="00374CD1">
        <w:rPr>
          <w:u w:val="single"/>
        </w:rPr>
        <w:t>Exceptions to the certification statement</w:t>
      </w:r>
      <w:r w:rsidRPr="00C15D80" w:rsidR="00374CD1">
        <w:t xml:space="preserve">.  </w:t>
      </w:r>
    </w:p>
    <w:p w:rsidRPr="00C15D80" w:rsidR="00C060BA" w:rsidP="00CC71A2" w:rsidRDefault="00C060BA" w14:paraId="394DD1F4" w14:textId="77777777">
      <w:pPr>
        <w:ind w:firstLine="360"/>
      </w:pPr>
    </w:p>
    <w:p w:rsidRPr="00C15D80" w:rsidR="00374CD1" w:rsidP="006A4701" w:rsidRDefault="00767AA4" w14:paraId="797C54EE" w14:textId="77777777">
      <w:pPr>
        <w:ind w:firstLine="720"/>
      </w:pPr>
      <w:r w:rsidRPr="00C15D80">
        <w:t>There are no exceptions to the certification statement.</w:t>
      </w:r>
    </w:p>
    <w:sectPr w:rsidRPr="00C15D80" w:rsidR="00374CD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7AC59" w14:textId="77777777" w:rsidR="00091D49" w:rsidRDefault="00091D49">
      <w:r>
        <w:separator/>
      </w:r>
    </w:p>
  </w:endnote>
  <w:endnote w:type="continuationSeparator" w:id="0">
    <w:p w14:paraId="022D55A0" w14:textId="77777777" w:rsidR="00091D49" w:rsidRDefault="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C3149" w14:textId="77777777" w:rsidR="00D96418" w:rsidRDefault="00D96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EEA49" w14:textId="33C597FA" w:rsidR="00577798" w:rsidRPr="006A4701" w:rsidRDefault="00577798">
    <w:pPr>
      <w:pStyle w:val="Footer"/>
      <w:jc w:val="center"/>
    </w:pPr>
    <w:r w:rsidRPr="006A4701">
      <w:fldChar w:fldCharType="begin"/>
    </w:r>
    <w:r w:rsidRPr="006A4701">
      <w:instrText xml:space="preserve"> PAGE   \* MERGEFORMAT </w:instrText>
    </w:r>
    <w:r w:rsidRPr="006A4701">
      <w:fldChar w:fldCharType="separate"/>
    </w:r>
    <w:r w:rsidR="00CF622D">
      <w:rPr>
        <w:noProof/>
      </w:rPr>
      <w:t>7</w:t>
    </w:r>
    <w:r w:rsidRPr="006A4701">
      <w:fldChar w:fldCharType="end"/>
    </w:r>
  </w:p>
  <w:p w14:paraId="0D6EBD14" w14:textId="77777777" w:rsidR="00577798" w:rsidRDefault="005777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D058" w14:textId="77777777" w:rsidR="00D96418" w:rsidRDefault="00D96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4719E" w14:textId="77777777" w:rsidR="00091D49" w:rsidRDefault="00091D49">
      <w:r>
        <w:separator/>
      </w:r>
    </w:p>
  </w:footnote>
  <w:footnote w:type="continuationSeparator" w:id="0">
    <w:p w14:paraId="29A30A97" w14:textId="77777777" w:rsidR="00091D49" w:rsidRDefault="00091D49">
      <w:r>
        <w:continuationSeparator/>
      </w:r>
    </w:p>
  </w:footnote>
  <w:footnote w:id="1">
    <w:p w14:paraId="55229C15" w14:textId="77777777" w:rsidR="002506E3" w:rsidRPr="00531FC5" w:rsidRDefault="002506E3" w:rsidP="002506E3">
      <w:pPr>
        <w:pStyle w:val="FootnoteText"/>
        <w:rPr>
          <w:sz w:val="20"/>
        </w:rPr>
      </w:pPr>
      <w:r w:rsidRPr="00531FC5">
        <w:rPr>
          <w:rStyle w:val="FootnoteReference"/>
          <w:sz w:val="20"/>
          <w:vertAlign w:val="superscript"/>
        </w:rPr>
        <w:footnoteRef/>
      </w:r>
      <w:r w:rsidRPr="00531FC5">
        <w:rPr>
          <w:sz w:val="20"/>
          <w:vertAlign w:val="superscript"/>
        </w:rPr>
        <w:t xml:space="preserve"> </w:t>
      </w:r>
      <w:r w:rsidRPr="00531FC5">
        <w:rPr>
          <w:sz w:val="20"/>
        </w:rPr>
        <w:t>The AML Act was enacted as Division F, §§ 6001-6511, of the William M. (Mac) Thornberry National</w:t>
      </w:r>
    </w:p>
    <w:p w14:paraId="2BCAA7A6" w14:textId="77777777" w:rsidR="002506E3" w:rsidRPr="00531FC5" w:rsidRDefault="002506E3" w:rsidP="002506E3">
      <w:pPr>
        <w:pStyle w:val="FootnoteText"/>
        <w:rPr>
          <w:sz w:val="20"/>
        </w:rPr>
      </w:pPr>
      <w:r w:rsidRPr="00531FC5">
        <w:rPr>
          <w:sz w:val="20"/>
        </w:rPr>
        <w:t>Defense Authorization Act for Fiscal Year 2021, Pub. L. 116-283, 134 Stat 3388 (2021).</w:t>
      </w:r>
    </w:p>
  </w:footnote>
  <w:footnote w:id="2">
    <w:p w14:paraId="188E52DD" w14:textId="77777777" w:rsidR="002506E3" w:rsidRPr="00531FC5" w:rsidRDefault="002506E3" w:rsidP="002506E3">
      <w:pPr>
        <w:pStyle w:val="FootnoteText"/>
        <w:rPr>
          <w:sz w:val="20"/>
        </w:rPr>
      </w:pPr>
      <w:r w:rsidRPr="00531FC5">
        <w:rPr>
          <w:rStyle w:val="FootnoteReference"/>
          <w:sz w:val="20"/>
          <w:vertAlign w:val="superscript"/>
        </w:rPr>
        <w:footnoteRef/>
      </w:r>
      <w:r w:rsidRPr="00531FC5">
        <w:rPr>
          <w:sz w:val="20"/>
          <w:vertAlign w:val="superscript"/>
        </w:rPr>
        <w:t xml:space="preserve"> </w:t>
      </w:r>
      <w:r w:rsidRPr="00531FC5">
        <w:rPr>
          <w:sz w:val="20"/>
        </w:rPr>
        <w:t>Section 358 of the USA PATRIOT Act added language expanding the scope of the BSA to intelligence or counter-intelligence activities to protect against international terrorism.  Section 6101 of the AML Act added language further expanding the scope of the BSA but did not amend these longstanding purposes.</w:t>
      </w:r>
      <w:r w:rsidRPr="00531FC5">
        <w:rPr>
          <w:color w:val="1F497D"/>
          <w:sz w:val="20"/>
        </w:rPr>
        <w:t xml:space="preserve"> </w:t>
      </w:r>
    </w:p>
  </w:footnote>
  <w:footnote w:id="3">
    <w:p w14:paraId="270DADAC" w14:textId="6FE08BDE" w:rsidR="002506E3" w:rsidRPr="00531FC5" w:rsidRDefault="002506E3" w:rsidP="002506E3">
      <w:pPr>
        <w:pStyle w:val="FootnoteText"/>
        <w:rPr>
          <w:sz w:val="20"/>
        </w:rPr>
      </w:pPr>
      <w:r w:rsidRPr="00531FC5">
        <w:rPr>
          <w:rStyle w:val="FootnoteReference"/>
          <w:sz w:val="20"/>
          <w:vertAlign w:val="superscript"/>
        </w:rPr>
        <w:footnoteRef/>
      </w:r>
      <w:r w:rsidRPr="00531FC5">
        <w:rPr>
          <w:sz w:val="20"/>
        </w:rPr>
        <w:t xml:space="preserve"> Treasury Order 180-01. </w:t>
      </w:r>
    </w:p>
  </w:footnote>
  <w:footnote w:id="4">
    <w:p w14:paraId="6B35F8C3" w14:textId="3FE30B54" w:rsidR="00700DD2" w:rsidRPr="00E84ADA" w:rsidRDefault="00700DD2" w:rsidP="00700DD2">
      <w:pPr>
        <w:pStyle w:val="indent-1"/>
        <w:spacing w:before="0" w:beforeAutospacing="0" w:after="0" w:afterAutospacing="0"/>
        <w:rPr>
          <w:sz w:val="20"/>
          <w:szCs w:val="20"/>
        </w:rPr>
      </w:pPr>
      <w:r w:rsidRPr="00A61B3C">
        <w:rPr>
          <w:rStyle w:val="FootnoteReference"/>
          <w:sz w:val="20"/>
          <w:szCs w:val="20"/>
          <w:vertAlign w:val="superscript"/>
        </w:rPr>
        <w:footnoteRef/>
      </w:r>
      <w:r>
        <w:rPr>
          <w:i/>
          <w:sz w:val="20"/>
          <w:szCs w:val="20"/>
        </w:rPr>
        <w:t xml:space="preserve"> </w:t>
      </w:r>
      <w:r w:rsidRPr="00E84ADA">
        <w:rPr>
          <w:sz w:val="20"/>
          <w:szCs w:val="20"/>
        </w:rPr>
        <w:t>31 CFR 1010.100(d).  A bank is defined as each agent</w:t>
      </w:r>
      <w:r w:rsidRPr="00472137">
        <w:rPr>
          <w:sz w:val="20"/>
          <w:szCs w:val="20"/>
        </w:rPr>
        <w:t xml:space="preserve">, agency, branch or office within the United States of any person doing business in one or more of the capacities listed below: </w:t>
      </w:r>
      <w:r w:rsidRPr="00E84ADA">
        <w:rPr>
          <w:rStyle w:val="paren"/>
          <w:sz w:val="20"/>
          <w:szCs w:val="20"/>
        </w:rPr>
        <w:t>(</w:t>
      </w:r>
      <w:r w:rsidRPr="00E84ADA">
        <w:rPr>
          <w:rStyle w:val="paragraph-hierarchy"/>
          <w:sz w:val="20"/>
          <w:szCs w:val="20"/>
        </w:rPr>
        <w:t>1</w:t>
      </w:r>
      <w:r w:rsidRPr="00E84ADA">
        <w:rPr>
          <w:rStyle w:val="paren"/>
          <w:sz w:val="20"/>
          <w:szCs w:val="20"/>
        </w:rPr>
        <w:t>)</w:t>
      </w:r>
      <w:r w:rsidRPr="00135759">
        <w:rPr>
          <w:sz w:val="20"/>
          <w:szCs w:val="20"/>
        </w:rPr>
        <w:t xml:space="preserve"> </w:t>
      </w:r>
      <w:r>
        <w:rPr>
          <w:sz w:val="20"/>
          <w:szCs w:val="20"/>
        </w:rPr>
        <w:t>a</w:t>
      </w:r>
      <w:r w:rsidRPr="00135759">
        <w:rPr>
          <w:sz w:val="20"/>
          <w:szCs w:val="20"/>
        </w:rPr>
        <w:t xml:space="preserve"> commercial bank or trust company organized under the laws of any State or of the United States; </w:t>
      </w:r>
      <w:r w:rsidRPr="00210B0F">
        <w:rPr>
          <w:rStyle w:val="paren"/>
          <w:sz w:val="20"/>
          <w:szCs w:val="20"/>
        </w:rPr>
        <w:t>(</w:t>
      </w:r>
      <w:r w:rsidRPr="004845A5">
        <w:rPr>
          <w:rStyle w:val="paragraph-hierarchy"/>
          <w:sz w:val="20"/>
          <w:szCs w:val="20"/>
        </w:rPr>
        <w:t>2</w:t>
      </w:r>
      <w:r w:rsidRPr="004845A5">
        <w:rPr>
          <w:rStyle w:val="paren"/>
          <w:sz w:val="20"/>
          <w:szCs w:val="20"/>
        </w:rPr>
        <w:t>)</w:t>
      </w:r>
      <w:r w:rsidRPr="00C209F6">
        <w:rPr>
          <w:sz w:val="20"/>
          <w:szCs w:val="20"/>
        </w:rPr>
        <w:t xml:space="preserve"> </w:t>
      </w:r>
      <w:r>
        <w:rPr>
          <w:sz w:val="20"/>
          <w:szCs w:val="20"/>
        </w:rPr>
        <w:t>a</w:t>
      </w:r>
      <w:r w:rsidRPr="00C209F6">
        <w:rPr>
          <w:sz w:val="20"/>
          <w:szCs w:val="20"/>
        </w:rPr>
        <w:t xml:space="preserve"> private bank; </w:t>
      </w:r>
      <w:r w:rsidRPr="00F9777F">
        <w:rPr>
          <w:rStyle w:val="paren"/>
          <w:sz w:val="20"/>
          <w:szCs w:val="20"/>
        </w:rPr>
        <w:t>(</w:t>
      </w:r>
      <w:r w:rsidRPr="0069003C">
        <w:rPr>
          <w:rStyle w:val="paragraph-hierarchy"/>
          <w:sz w:val="20"/>
          <w:szCs w:val="20"/>
        </w:rPr>
        <w:t>3</w:t>
      </w:r>
      <w:r w:rsidRPr="0069003C">
        <w:rPr>
          <w:rStyle w:val="paren"/>
          <w:sz w:val="20"/>
          <w:szCs w:val="20"/>
        </w:rPr>
        <w:t>)</w:t>
      </w:r>
      <w:r w:rsidRPr="0069003C">
        <w:rPr>
          <w:sz w:val="20"/>
          <w:szCs w:val="20"/>
        </w:rPr>
        <w:t xml:space="preserve"> </w:t>
      </w:r>
      <w:r>
        <w:rPr>
          <w:sz w:val="20"/>
          <w:szCs w:val="20"/>
        </w:rPr>
        <w:t>a</w:t>
      </w:r>
      <w:r w:rsidRPr="0069003C">
        <w:rPr>
          <w:sz w:val="20"/>
          <w:szCs w:val="20"/>
        </w:rPr>
        <w:t xml:space="preserve"> savings and loan association or a building and loan association organized under the laws of any State or</w:t>
      </w:r>
      <w:r w:rsidRPr="00E0627C">
        <w:rPr>
          <w:sz w:val="20"/>
          <w:szCs w:val="20"/>
        </w:rPr>
        <w:t xml:space="preserve"> of the United States; </w:t>
      </w:r>
      <w:r w:rsidRPr="00472137">
        <w:rPr>
          <w:rStyle w:val="paren"/>
          <w:sz w:val="20"/>
          <w:szCs w:val="20"/>
        </w:rPr>
        <w:t>(</w:t>
      </w:r>
      <w:r w:rsidRPr="00472137">
        <w:rPr>
          <w:rStyle w:val="paragraph-hierarchy"/>
          <w:sz w:val="20"/>
          <w:szCs w:val="20"/>
        </w:rPr>
        <w:t>4</w:t>
      </w:r>
      <w:r w:rsidRPr="00472137">
        <w:rPr>
          <w:rStyle w:val="paren"/>
          <w:sz w:val="20"/>
          <w:szCs w:val="20"/>
        </w:rPr>
        <w:t>)</w:t>
      </w:r>
      <w:r w:rsidRPr="00472137">
        <w:rPr>
          <w:sz w:val="20"/>
          <w:szCs w:val="20"/>
        </w:rPr>
        <w:t xml:space="preserve"> </w:t>
      </w:r>
      <w:r>
        <w:rPr>
          <w:sz w:val="20"/>
          <w:szCs w:val="20"/>
        </w:rPr>
        <w:t>a</w:t>
      </w:r>
      <w:r w:rsidRPr="00472137">
        <w:rPr>
          <w:sz w:val="20"/>
          <w:szCs w:val="20"/>
        </w:rPr>
        <w:t xml:space="preserve">n insured institution as defined in section 401 of the National Housing Act; </w:t>
      </w:r>
      <w:r w:rsidRPr="00472137">
        <w:rPr>
          <w:rStyle w:val="paren"/>
          <w:sz w:val="20"/>
          <w:szCs w:val="20"/>
        </w:rPr>
        <w:t>(</w:t>
      </w:r>
      <w:r w:rsidRPr="00472137">
        <w:rPr>
          <w:rStyle w:val="paragraph-hierarchy"/>
          <w:sz w:val="20"/>
          <w:szCs w:val="20"/>
        </w:rPr>
        <w:t>5</w:t>
      </w:r>
      <w:r w:rsidRPr="00472137">
        <w:rPr>
          <w:rStyle w:val="paren"/>
          <w:sz w:val="20"/>
          <w:szCs w:val="20"/>
        </w:rPr>
        <w:t>)</w:t>
      </w:r>
      <w:r w:rsidRPr="00472137">
        <w:rPr>
          <w:sz w:val="20"/>
          <w:szCs w:val="20"/>
        </w:rPr>
        <w:t xml:space="preserve"> </w:t>
      </w:r>
      <w:r>
        <w:rPr>
          <w:sz w:val="20"/>
          <w:szCs w:val="20"/>
        </w:rPr>
        <w:t>a</w:t>
      </w:r>
      <w:r w:rsidRPr="00472137">
        <w:rPr>
          <w:sz w:val="20"/>
          <w:szCs w:val="20"/>
        </w:rPr>
        <w:t xml:space="preserve"> savings bank, industrial bank or other thrift institution; </w:t>
      </w:r>
      <w:r w:rsidRPr="00472137">
        <w:rPr>
          <w:rStyle w:val="paren"/>
          <w:sz w:val="20"/>
          <w:szCs w:val="20"/>
        </w:rPr>
        <w:t>(</w:t>
      </w:r>
      <w:r w:rsidRPr="00472137">
        <w:rPr>
          <w:rStyle w:val="paragraph-hierarchy"/>
          <w:sz w:val="20"/>
          <w:szCs w:val="20"/>
        </w:rPr>
        <w:t>6</w:t>
      </w:r>
      <w:r w:rsidRPr="00472137">
        <w:rPr>
          <w:rStyle w:val="paren"/>
          <w:sz w:val="20"/>
          <w:szCs w:val="20"/>
        </w:rPr>
        <w:t>)</w:t>
      </w:r>
      <w:r w:rsidRPr="00472137">
        <w:rPr>
          <w:sz w:val="20"/>
          <w:szCs w:val="20"/>
        </w:rPr>
        <w:t xml:space="preserve"> A credit union organized under the law of any State or of the United States; </w:t>
      </w:r>
      <w:r w:rsidRPr="00472137">
        <w:rPr>
          <w:rStyle w:val="paren"/>
          <w:sz w:val="20"/>
          <w:szCs w:val="20"/>
        </w:rPr>
        <w:t>(</w:t>
      </w:r>
      <w:r w:rsidRPr="00472137">
        <w:rPr>
          <w:rStyle w:val="paragraph-hierarchy"/>
          <w:sz w:val="20"/>
          <w:szCs w:val="20"/>
        </w:rPr>
        <w:t>7</w:t>
      </w:r>
      <w:r w:rsidRPr="00472137">
        <w:rPr>
          <w:rStyle w:val="paren"/>
          <w:sz w:val="20"/>
          <w:szCs w:val="20"/>
        </w:rPr>
        <w:t>)</w:t>
      </w:r>
      <w:r w:rsidRPr="00472137">
        <w:rPr>
          <w:sz w:val="20"/>
          <w:szCs w:val="20"/>
        </w:rPr>
        <w:t xml:space="preserve"> </w:t>
      </w:r>
      <w:r>
        <w:rPr>
          <w:sz w:val="20"/>
          <w:szCs w:val="20"/>
        </w:rPr>
        <w:t>a</w:t>
      </w:r>
      <w:r w:rsidRPr="00472137">
        <w:rPr>
          <w:sz w:val="20"/>
          <w:szCs w:val="20"/>
        </w:rPr>
        <w:t xml:space="preserve">ny other organization (except a money services business) chartered under the banking laws of any state and subject to the supervision of the bank supervisory authorities of a State; </w:t>
      </w:r>
      <w:r w:rsidRPr="00472137">
        <w:rPr>
          <w:rStyle w:val="paren"/>
          <w:sz w:val="20"/>
          <w:szCs w:val="20"/>
        </w:rPr>
        <w:t>(</w:t>
      </w:r>
      <w:r w:rsidRPr="00472137">
        <w:rPr>
          <w:rStyle w:val="paragraph-hierarchy"/>
          <w:sz w:val="20"/>
          <w:szCs w:val="20"/>
        </w:rPr>
        <w:t>8</w:t>
      </w:r>
      <w:r w:rsidRPr="00472137">
        <w:rPr>
          <w:rStyle w:val="paren"/>
          <w:sz w:val="20"/>
          <w:szCs w:val="20"/>
        </w:rPr>
        <w:t>)</w:t>
      </w:r>
      <w:r w:rsidRPr="00472137">
        <w:rPr>
          <w:sz w:val="20"/>
          <w:szCs w:val="20"/>
        </w:rPr>
        <w:t xml:space="preserve"> </w:t>
      </w:r>
      <w:r>
        <w:rPr>
          <w:sz w:val="20"/>
          <w:szCs w:val="20"/>
        </w:rPr>
        <w:t>a</w:t>
      </w:r>
      <w:r w:rsidRPr="00472137">
        <w:rPr>
          <w:sz w:val="20"/>
          <w:szCs w:val="20"/>
        </w:rPr>
        <w:t xml:space="preserve"> bank organized under foreign law; </w:t>
      </w:r>
      <w:r w:rsidRPr="00472137">
        <w:rPr>
          <w:rStyle w:val="paren"/>
          <w:sz w:val="20"/>
          <w:szCs w:val="20"/>
        </w:rPr>
        <w:t>(</w:t>
      </w:r>
      <w:r w:rsidRPr="00472137">
        <w:rPr>
          <w:rStyle w:val="paragraph-hierarchy"/>
          <w:sz w:val="20"/>
          <w:szCs w:val="20"/>
        </w:rPr>
        <w:t>9</w:t>
      </w:r>
      <w:r w:rsidRPr="00472137">
        <w:rPr>
          <w:rStyle w:val="paren"/>
          <w:sz w:val="20"/>
          <w:szCs w:val="20"/>
        </w:rPr>
        <w:t>)</w:t>
      </w:r>
      <w:r w:rsidRPr="00472137">
        <w:rPr>
          <w:sz w:val="20"/>
          <w:szCs w:val="20"/>
        </w:rPr>
        <w:t xml:space="preserve"> </w:t>
      </w:r>
      <w:r>
        <w:rPr>
          <w:sz w:val="20"/>
          <w:szCs w:val="20"/>
        </w:rPr>
        <w:t>a</w:t>
      </w:r>
      <w:r w:rsidRPr="00472137">
        <w:rPr>
          <w:sz w:val="20"/>
          <w:szCs w:val="20"/>
        </w:rPr>
        <w:t>ny national banking association or corporation acting under the provisions of section 25(a) of the Act of Dec. 23, 1913, as added by the Act of Dec. 24, 1919, ch. 18, 41 Stat. 378, as amended (</w:t>
      </w:r>
      <w:hyperlink r:id="rId1" w:tgtFrame="_blank" w:history="1">
        <w:r w:rsidRPr="00472137">
          <w:rPr>
            <w:rStyle w:val="Hyperlink"/>
            <w:sz w:val="20"/>
            <w:szCs w:val="20"/>
          </w:rPr>
          <w:t>12 U.S.C. 611-32</w:t>
        </w:r>
      </w:hyperlink>
      <w:r w:rsidRPr="00472137">
        <w:rPr>
          <w:sz w:val="20"/>
          <w:szCs w:val="20"/>
        </w:rPr>
        <w:t>).</w:t>
      </w:r>
      <w:r>
        <w:t xml:space="preserve"> </w:t>
      </w:r>
    </w:p>
  </w:footnote>
  <w:footnote w:id="5">
    <w:p w14:paraId="10954E93" w14:textId="77777777" w:rsidR="00700DD2" w:rsidRPr="00A61B3C" w:rsidRDefault="00700DD2" w:rsidP="00700DD2">
      <w:pPr>
        <w:pStyle w:val="FootnoteText"/>
        <w:rPr>
          <w:sz w:val="20"/>
        </w:rPr>
      </w:pPr>
      <w:r w:rsidRPr="00A61B3C">
        <w:rPr>
          <w:rStyle w:val="FootnoteReference"/>
          <w:sz w:val="20"/>
          <w:vertAlign w:val="superscript"/>
        </w:rPr>
        <w:footnoteRef/>
      </w:r>
      <w:r w:rsidRPr="00A61B3C">
        <w:rPr>
          <w:sz w:val="20"/>
          <w:vertAlign w:val="superscript"/>
        </w:rPr>
        <w:t xml:space="preserve"> </w:t>
      </w:r>
      <w:r w:rsidRPr="00A61B3C">
        <w:rPr>
          <w:sz w:val="20"/>
        </w:rPr>
        <w:t>31 CFR 1010.605(c)(1)(ii).  For purposes of 31 CFR 1010.630, a correspondent account is defined as an account established for a foreign bank to receive deposits from, or to make payments or other disbursements on behalf of, the foreign bank, or to handle other financial transactions related to such foreign bank.</w:t>
      </w:r>
    </w:p>
  </w:footnote>
  <w:footnote w:id="6">
    <w:p w14:paraId="4AF40916" w14:textId="77777777" w:rsidR="00700DD2" w:rsidRPr="00A61B3C" w:rsidRDefault="00700DD2" w:rsidP="00700DD2">
      <w:pPr>
        <w:pStyle w:val="FootnoteText"/>
        <w:rPr>
          <w:sz w:val="20"/>
        </w:rPr>
      </w:pPr>
      <w:r w:rsidRPr="00A61B3C">
        <w:rPr>
          <w:rStyle w:val="FootnoteReference"/>
          <w:sz w:val="20"/>
          <w:vertAlign w:val="superscript"/>
        </w:rPr>
        <w:footnoteRef/>
      </w:r>
      <w:r w:rsidRPr="00A61B3C">
        <w:rPr>
          <w:sz w:val="20"/>
          <w:vertAlign w:val="superscript"/>
        </w:rPr>
        <w:t xml:space="preserve"> </w:t>
      </w:r>
      <w:r w:rsidRPr="00A61B3C">
        <w:rPr>
          <w:sz w:val="20"/>
        </w:rPr>
        <w:t>31 CFR 1010.100(u).  A foreign bank is defined as a bank organized under foreign law, or an agency, branch or office located outside the United States of a bank.  The term does not include an agent, agency, branch or office within the United States of a bank organized under foreign law.</w:t>
      </w:r>
    </w:p>
  </w:footnote>
  <w:footnote w:id="7">
    <w:p w14:paraId="0F0D66DD" w14:textId="77777777" w:rsidR="00700DD2" w:rsidRPr="00A61B3C" w:rsidRDefault="00700DD2" w:rsidP="00700DD2">
      <w:pPr>
        <w:pStyle w:val="FootnoteText"/>
        <w:rPr>
          <w:sz w:val="20"/>
        </w:rPr>
      </w:pPr>
      <w:r w:rsidRPr="00A61B3C">
        <w:rPr>
          <w:rStyle w:val="FootnoteReference"/>
          <w:sz w:val="20"/>
          <w:vertAlign w:val="superscript"/>
        </w:rPr>
        <w:footnoteRef/>
      </w:r>
      <w:r w:rsidRPr="00A61B3C">
        <w:rPr>
          <w:sz w:val="20"/>
          <w:vertAlign w:val="superscript"/>
        </w:rPr>
        <w:t xml:space="preserve"> </w:t>
      </w:r>
      <w:r w:rsidRPr="00A61B3C">
        <w:rPr>
          <w:sz w:val="20"/>
        </w:rPr>
        <w:t>For purposes of</w:t>
      </w:r>
      <w:r w:rsidRPr="00A61B3C">
        <w:rPr>
          <w:rFonts w:eastAsia="MS Mincho"/>
          <w:bCs/>
          <w:sz w:val="20"/>
        </w:rPr>
        <w:t xml:space="preserve"> 31 CFR 1060.300, </w:t>
      </w:r>
      <w:r w:rsidRPr="00A61B3C">
        <w:rPr>
          <w:sz w:val="20"/>
        </w:rPr>
        <w:t>“Iranian-linked financial institution designated under IEEPA” means a financial institution designated by the U.S. Government pursuant to IEEPA (or listed in an annex to an Executive order issued pursuant to IEEPA) in connection with Iran's proliferation of weapons of mass destruction or delivery systems for weapons of mass destruction, or in connection with Iran's support for international terrorism.</w:t>
      </w:r>
    </w:p>
  </w:footnote>
  <w:footnote w:id="8">
    <w:p w14:paraId="102FE5E9" w14:textId="0E8471E4" w:rsidR="00700DD2" w:rsidRPr="00A61B3C" w:rsidRDefault="00700DD2" w:rsidP="00700DD2">
      <w:pPr>
        <w:pStyle w:val="FootnoteText"/>
        <w:rPr>
          <w:sz w:val="20"/>
        </w:rPr>
      </w:pPr>
      <w:r w:rsidRPr="00A61B3C">
        <w:rPr>
          <w:rStyle w:val="FootnoteReference"/>
          <w:sz w:val="20"/>
          <w:vertAlign w:val="superscript"/>
        </w:rPr>
        <w:footnoteRef/>
      </w:r>
      <w:r w:rsidRPr="00A61B3C">
        <w:rPr>
          <w:sz w:val="20"/>
          <w:vertAlign w:val="superscript"/>
        </w:rPr>
        <w:t xml:space="preserve"> </w:t>
      </w:r>
      <w:r w:rsidRPr="00A61B3C">
        <w:rPr>
          <w:sz w:val="20"/>
        </w:rPr>
        <w:t xml:space="preserve">For purposes of 31 CFR 1060.300, an “IRGC-linked person designated under IEEPA” means the </w:t>
      </w:r>
      <w:r w:rsidR="00B0107D">
        <w:rPr>
          <w:sz w:val="20"/>
        </w:rPr>
        <w:t xml:space="preserve">IRGC </w:t>
      </w:r>
      <w:r w:rsidRPr="00A61B3C">
        <w:rPr>
          <w:sz w:val="20"/>
        </w:rPr>
        <w:t>or any of its agents or affiliates designated by the United States Government pursuant to IEEPA (or listed in an annex to an Executive order issued pursuant to IEEPA).</w:t>
      </w:r>
    </w:p>
  </w:footnote>
  <w:footnote w:id="9">
    <w:p w14:paraId="1893C2E9" w14:textId="77777777" w:rsidR="00700DD2" w:rsidRPr="00A61B3C" w:rsidRDefault="00700DD2" w:rsidP="00700DD2">
      <w:pPr>
        <w:pStyle w:val="FootnoteText"/>
        <w:rPr>
          <w:sz w:val="20"/>
        </w:rPr>
      </w:pPr>
      <w:r w:rsidRPr="00A61B3C">
        <w:rPr>
          <w:rStyle w:val="FootnoteReference"/>
          <w:sz w:val="20"/>
          <w:vertAlign w:val="superscript"/>
        </w:rPr>
        <w:footnoteRef/>
      </w:r>
      <w:r w:rsidRPr="00A61B3C">
        <w:rPr>
          <w:sz w:val="20"/>
          <w:vertAlign w:val="superscript"/>
        </w:rPr>
        <w:t xml:space="preserve"> </w:t>
      </w:r>
      <w:r w:rsidRPr="00A61B3C">
        <w:rPr>
          <w:sz w:val="20"/>
        </w:rPr>
        <w:t xml:space="preserve">Available at </w:t>
      </w:r>
      <w:hyperlink r:id="rId2" w:history="1">
        <w:r w:rsidRPr="00700DD2">
          <w:rPr>
            <w:rStyle w:val="Hyperlink"/>
            <w:sz w:val="20"/>
          </w:rPr>
          <w:t>https://www.fincen.gov/sites/default/files/federal_register_notice/CISADA_Certification.pdf</w:t>
        </w:r>
      </w:hyperlink>
      <w:r w:rsidRPr="00A61B3C">
        <w:rPr>
          <w:sz w:val="20"/>
        </w:rPr>
        <w:t>.</w:t>
      </w:r>
    </w:p>
  </w:footnote>
  <w:footnote w:id="10">
    <w:p w14:paraId="61497135" w14:textId="570742BD" w:rsidR="0058348E" w:rsidRPr="00682F52" w:rsidRDefault="0058348E" w:rsidP="0058348E">
      <w:pPr>
        <w:pStyle w:val="FootnoteText"/>
        <w:rPr>
          <w:sz w:val="20"/>
        </w:rPr>
      </w:pPr>
      <w:r w:rsidRPr="00C848B5">
        <w:rPr>
          <w:rStyle w:val="FootnoteReference"/>
          <w:sz w:val="20"/>
          <w:vertAlign w:val="superscript"/>
        </w:rPr>
        <w:footnoteRef/>
      </w:r>
      <w:r w:rsidRPr="00C848B5">
        <w:rPr>
          <w:sz w:val="20"/>
        </w:rPr>
        <w:t xml:space="preserve"> </w:t>
      </w:r>
      <w:r w:rsidR="00682F52" w:rsidRPr="00C848B5">
        <w:rPr>
          <w:sz w:val="20"/>
        </w:rPr>
        <w:t xml:space="preserve">Financial Crimes Enforcement Network, </w:t>
      </w:r>
      <w:r w:rsidR="00682F52" w:rsidRPr="00C848B5">
        <w:rPr>
          <w:i/>
          <w:sz w:val="20"/>
        </w:rPr>
        <w:t>Agency Information Collection Activities; Proposed Renewal; Comment Request; Renewal Without Change of Reporting Obligations on Foreign Bank Relationships With Iranian-Linked Financial Institutions Designated Under IEEPA and IRGC-Linked Persons Designated Under IEEPA</w:t>
      </w:r>
      <w:r w:rsidR="00682F52">
        <w:rPr>
          <w:sz w:val="20"/>
        </w:rPr>
        <w:t>,</w:t>
      </w:r>
      <w:r w:rsidR="00682F52" w:rsidRPr="00C848B5">
        <w:rPr>
          <w:sz w:val="20"/>
        </w:rPr>
        <w:t xml:space="preserve"> </w:t>
      </w:r>
      <w:r w:rsidRPr="00682F52">
        <w:rPr>
          <w:sz w:val="20"/>
        </w:rPr>
        <w:t>87 FR 8930</w:t>
      </w:r>
      <w:r w:rsidR="00682F52">
        <w:rPr>
          <w:sz w:val="20"/>
        </w:rPr>
        <w:t>, (February 16, 2022), available</w:t>
      </w:r>
      <w:r w:rsidRPr="00682F52">
        <w:rPr>
          <w:sz w:val="20"/>
        </w:rPr>
        <w:t xml:space="preserve"> at </w:t>
      </w:r>
      <w:hyperlink r:id="rId3" w:history="1">
        <w:r w:rsidRPr="00682F52">
          <w:rPr>
            <w:rStyle w:val="Hyperlink"/>
            <w:sz w:val="20"/>
          </w:rPr>
          <w:t>https://www.federalregister.gov/documents/2022/02/16/2022-03266/agency-information-collection-activities-proposed-renewal-comment-request-renewal-without-change-of</w:t>
        </w:r>
      </w:hyperlink>
      <w:r w:rsidRPr="00682F52">
        <w:rPr>
          <w:sz w:val="20"/>
        </w:rPr>
        <w:t xml:space="preserve">. </w:t>
      </w:r>
    </w:p>
  </w:footnote>
  <w:footnote w:id="11">
    <w:p w14:paraId="6E7450E2" w14:textId="50B2317F" w:rsidR="00F733E7" w:rsidRDefault="00F733E7" w:rsidP="00F733E7">
      <w:pPr>
        <w:pStyle w:val="HTMLPreformatted"/>
        <w:shd w:val="clear" w:color="auto" w:fill="FFFFFF"/>
      </w:pPr>
      <w:r w:rsidRPr="00174E5C">
        <w:rPr>
          <w:rStyle w:val="FootnoteReference"/>
          <w:rFonts w:ascii="Times New Roman" w:hAnsi="Times New Roman" w:cs="Times New Roman"/>
          <w:vertAlign w:val="superscript"/>
        </w:rPr>
        <w:footnoteRef/>
      </w:r>
      <w:r w:rsidR="00561103">
        <w:rPr>
          <w:rFonts w:ascii="Times New Roman" w:eastAsia="Courier New" w:hAnsi="Times New Roman"/>
          <w:lang w:eastAsia="x-none"/>
        </w:rPr>
        <w:t xml:space="preserve"> </w:t>
      </w:r>
      <w:r w:rsidRPr="001F7618">
        <w:rPr>
          <w:rFonts w:ascii="Times New Roman" w:eastAsia="Courier New" w:hAnsi="Times New Roman"/>
          <w:lang w:val="x-none" w:eastAsia="x-none"/>
        </w:rPr>
        <w:t>See</w:t>
      </w:r>
      <w:r w:rsidRPr="001F7618">
        <w:rPr>
          <w:rFonts w:ascii="Times New Roman" w:eastAsia="Courier New" w:hAnsi="Times New Roman"/>
          <w:lang w:eastAsia="x-none"/>
        </w:rPr>
        <w:t xml:space="preserve"> </w:t>
      </w:r>
      <w:r w:rsidRPr="001F7618">
        <w:rPr>
          <w:rFonts w:ascii="Times New Roman" w:eastAsia="Courier New" w:hAnsi="Times New Roman"/>
          <w:color w:val="000000"/>
          <w:lang w:val="x-none" w:eastAsia="x-none"/>
        </w:rPr>
        <w:t>FinCEN's System of Records Notice for</w:t>
      </w:r>
      <w:r w:rsidRPr="001F7618">
        <w:rPr>
          <w:rFonts w:ascii="Times New Roman" w:eastAsia="Courier New" w:hAnsi="Times New Roman"/>
          <w:color w:val="000000"/>
          <w:lang w:eastAsia="x-none"/>
        </w:rPr>
        <w:t xml:space="preserve"> the</w:t>
      </w:r>
      <w:r w:rsidRPr="001F7618">
        <w:rPr>
          <w:rFonts w:ascii="Times New Roman" w:eastAsia="Courier New" w:hAnsi="Times New Roman"/>
          <w:color w:val="000000"/>
          <w:lang w:val="x-none" w:eastAsia="x-none"/>
        </w:rPr>
        <w:t xml:space="preserve"> BSA System at </w:t>
      </w:r>
      <w:r w:rsidRPr="001F7618">
        <w:rPr>
          <w:rFonts w:ascii="Times New Roman" w:eastAsia="Courier New" w:hAnsi="Times New Roman"/>
          <w:lang w:eastAsia="x-none"/>
        </w:rPr>
        <w:t>79 FR 20974, April 14, 2014</w:t>
      </w:r>
      <w:r>
        <w:rPr>
          <w:rFonts w:ascii="Times New Roman" w:eastAsia="Courier New" w:hAnsi="Times New Roman"/>
          <w:lang w:eastAsia="x-none"/>
        </w:rPr>
        <w:t xml:space="preserve"> </w:t>
      </w:r>
      <w:hyperlink r:id="rId4" w:history="1">
        <w:r w:rsidRPr="001F7618">
          <w:rPr>
            <w:rFonts w:ascii="Times New Roman" w:eastAsia="Courier New" w:hAnsi="Times New Roman"/>
            <w:color w:val="0000FF"/>
            <w:u w:val="single"/>
            <w:lang w:val="x-none" w:eastAsia="x-none"/>
          </w:rPr>
          <w:t>https://www.federalregister.gov/documents/2014/04/14/2014-08254/privacy-act-of-1974-as-amended-system-of-records-notice</w:t>
        </w:r>
      </w:hyperlink>
      <w:r w:rsidRPr="001F7618">
        <w:rPr>
          <w:rFonts w:ascii="Times New Roman" w:eastAsia="Courier New" w:hAnsi="Times New Roman"/>
          <w:color w:val="000000"/>
          <w:lang w:eastAsia="x-none"/>
        </w:rPr>
        <w:t xml:space="preserve">. </w:t>
      </w:r>
    </w:p>
  </w:footnote>
  <w:footnote w:id="12">
    <w:p w14:paraId="2AF1EC66" w14:textId="77777777" w:rsidR="00F733E7" w:rsidRPr="00174E5C" w:rsidRDefault="00F733E7" w:rsidP="00F733E7">
      <w:pPr>
        <w:pStyle w:val="FootnoteText"/>
        <w:rPr>
          <w:sz w:val="20"/>
        </w:rPr>
      </w:pPr>
      <w:r w:rsidRPr="00174E5C">
        <w:rPr>
          <w:rStyle w:val="FootnoteReference"/>
          <w:sz w:val="20"/>
          <w:vertAlign w:val="superscript"/>
        </w:rPr>
        <w:footnoteRef/>
      </w:r>
      <w:r w:rsidRPr="00174E5C">
        <w:rPr>
          <w:sz w:val="20"/>
          <w:vertAlign w:val="superscript"/>
        </w:rPr>
        <w:t xml:space="preserve"> </w:t>
      </w:r>
      <w:r w:rsidRPr="00174E5C">
        <w:rPr>
          <w:i/>
          <w:sz w:val="20"/>
        </w:rPr>
        <w:t>Id.</w:t>
      </w:r>
    </w:p>
  </w:footnote>
  <w:footnote w:id="13">
    <w:p w14:paraId="05E88300" w14:textId="77777777" w:rsidR="00E6342C" w:rsidRPr="00E23EF4" w:rsidRDefault="00E6342C" w:rsidP="00E6342C">
      <w:pPr>
        <w:pStyle w:val="CommentText"/>
        <w:rPr>
          <w:sz w:val="20"/>
        </w:rPr>
      </w:pPr>
      <w:r w:rsidRPr="003D57B0">
        <w:rPr>
          <w:rStyle w:val="FootnoteReference"/>
          <w:sz w:val="20"/>
          <w:vertAlign w:val="superscript"/>
        </w:rPr>
        <w:footnoteRef/>
      </w:r>
      <w:r w:rsidRPr="003D57B0">
        <w:rPr>
          <w:sz w:val="20"/>
        </w:rPr>
        <w:t xml:space="preserve"> Data are from the Federal Reserve’s Structured Data for U.S. Banking Offices (</w:t>
      </w:r>
      <w:r w:rsidRPr="003D57B0">
        <w:rPr>
          <w:i/>
          <w:iCs/>
          <w:sz w:val="20"/>
        </w:rPr>
        <w:t>see</w:t>
      </w:r>
      <w:r w:rsidRPr="003D57B0">
        <w:rPr>
          <w:sz w:val="20"/>
        </w:rPr>
        <w:t xml:space="preserve"> </w:t>
      </w:r>
      <w:hyperlink r:id="rId5" w:history="1">
        <w:r w:rsidRPr="00E6342C">
          <w:rPr>
            <w:rStyle w:val="Hyperlink"/>
            <w:sz w:val="20"/>
          </w:rPr>
          <w:t>FRB: Structure Data for U.S. Banking Offices of Foreign Entities (federalreserve.gov)</w:t>
        </w:r>
      </w:hyperlink>
      <w:r w:rsidRPr="003D57B0">
        <w:rPr>
          <w:sz w:val="20"/>
        </w:rPr>
        <w:t xml:space="preserve">) and quarterly call report bank data (specifically, Schedule RC-E: Deposit liabilities, line 5: liabilities of banks in foreign countries) from the Financial Institution Retrieval Data System (FINDRS).  Using these two sources, FinCEN determines that as of Q3 2021, approximately 5,164 banking organizations (national and state banks, trusts, thrifts and savings and loans, branches and agencies of foreign banking organizations, representative offices, Edge Act corporations, and agreement corporations) will be affected by this rule on any given year.  Specifically, we determine that there are approximately: 190 branches and agencies of foreign banks; 115 representative offices, Edge Act corporations, and agreement corporations; and 4,859 </w:t>
      </w:r>
      <w:r w:rsidRPr="00E23EF4">
        <w:rPr>
          <w:sz w:val="20"/>
        </w:rPr>
        <w:t xml:space="preserve">U.S. banks (national and state chartered, trusts, savings and loans, thrifts) that report values for deposit liabilities of banks in foreign countries.  Deposit liabilities in a foreign country is an indication that a bank maintains at least one correspondent account with a foreign financial institution. </w:t>
      </w:r>
    </w:p>
  </w:footnote>
  <w:footnote w:id="14">
    <w:p w14:paraId="196432FB" w14:textId="77777777" w:rsidR="00E6342C" w:rsidRPr="00E23EF4" w:rsidRDefault="00E6342C" w:rsidP="00E6342C">
      <w:pPr>
        <w:pStyle w:val="FootnoteText"/>
        <w:rPr>
          <w:sz w:val="20"/>
        </w:rPr>
      </w:pPr>
      <w:r w:rsidRPr="00E23EF4">
        <w:rPr>
          <w:rStyle w:val="FootnoteReference"/>
          <w:sz w:val="20"/>
          <w:vertAlign w:val="superscript"/>
        </w:rPr>
        <w:footnoteRef/>
      </w:r>
      <w:r w:rsidRPr="00E23EF4">
        <w:rPr>
          <w:sz w:val="20"/>
        </w:rPr>
        <w:t xml:space="preserve"> One percent of banks (52) multiplied by 10 CISADA Request per U.S. bank equals 520 CISADA-related reports.</w:t>
      </w:r>
    </w:p>
  </w:footnote>
  <w:footnote w:id="15">
    <w:p w14:paraId="3404806E" w14:textId="77777777" w:rsidR="00E6342C" w:rsidRDefault="00E6342C" w:rsidP="00E6342C">
      <w:pPr>
        <w:pStyle w:val="FootnoteText"/>
      </w:pPr>
      <w:r w:rsidRPr="00E23EF4">
        <w:rPr>
          <w:rStyle w:val="FootnoteReference"/>
          <w:sz w:val="20"/>
          <w:vertAlign w:val="superscript"/>
        </w:rPr>
        <w:footnoteRef/>
      </w:r>
      <w:r w:rsidRPr="00E23EF4">
        <w:rPr>
          <w:sz w:val="20"/>
        </w:rPr>
        <w:t xml:space="preserve"> One percent of banks (52) multiplied by 10 CISADA Request per U.S. bank equals 520 CISADA-related reports.</w:t>
      </w:r>
    </w:p>
  </w:footnote>
  <w:footnote w:id="16">
    <w:p w14:paraId="2B0AC948" w14:textId="4A07030A" w:rsidR="00037D70" w:rsidRPr="00D56702" w:rsidRDefault="00037D70" w:rsidP="00037D70">
      <w:pPr>
        <w:pStyle w:val="FootnoteText"/>
        <w:rPr>
          <w:sz w:val="20"/>
        </w:rPr>
      </w:pPr>
      <w:r w:rsidRPr="00E23EF4">
        <w:rPr>
          <w:rStyle w:val="FootnoteReference"/>
          <w:sz w:val="20"/>
          <w:vertAlign w:val="superscript"/>
        </w:rPr>
        <w:footnoteRef/>
      </w:r>
      <w:r w:rsidRPr="00E23EF4">
        <w:rPr>
          <w:sz w:val="20"/>
        </w:rPr>
        <w:t xml:space="preserve"> </w:t>
      </w:r>
      <w:r w:rsidRPr="00E23EF4">
        <w:rPr>
          <w:i/>
          <w:sz w:val="20"/>
        </w:rPr>
        <w:t xml:space="preserve">See </w:t>
      </w:r>
      <w:r w:rsidR="00E23EF4" w:rsidRPr="00E23EF4">
        <w:rPr>
          <w:i/>
          <w:sz w:val="20"/>
        </w:rPr>
        <w:t>supra</w:t>
      </w:r>
      <w:r w:rsidR="00E23EF4">
        <w:rPr>
          <w:sz w:val="20"/>
        </w:rPr>
        <w:t xml:space="preserve"> </w:t>
      </w:r>
      <w:r w:rsidR="00E23EF4" w:rsidRPr="00D56702">
        <w:rPr>
          <w:sz w:val="20"/>
        </w:rPr>
        <w:t xml:space="preserve">note </w:t>
      </w:r>
      <w:r w:rsidR="00D56702" w:rsidRPr="00D56702">
        <w:rPr>
          <w:sz w:val="20"/>
        </w:rPr>
        <w:t>10</w:t>
      </w:r>
      <w:r w:rsidR="00E23EF4" w:rsidRPr="00D56702">
        <w:rPr>
          <w:sz w:val="20"/>
        </w:rPr>
        <w:t>.</w:t>
      </w:r>
    </w:p>
  </w:footnote>
  <w:footnote w:id="17">
    <w:p w14:paraId="136E704C" w14:textId="0A0C7725" w:rsidR="00037D70" w:rsidRDefault="00037D70" w:rsidP="00037D70">
      <w:pPr>
        <w:pStyle w:val="FootnoteText"/>
      </w:pPr>
      <w:r w:rsidRPr="00D56702">
        <w:rPr>
          <w:rStyle w:val="FootnoteReference"/>
          <w:sz w:val="20"/>
          <w:vertAlign w:val="superscript"/>
        </w:rPr>
        <w:footnoteRef/>
      </w:r>
      <w:r w:rsidRPr="00D56702">
        <w:rPr>
          <w:sz w:val="20"/>
        </w:rPr>
        <w:t xml:space="preserve"> </w:t>
      </w:r>
      <w:r w:rsidRPr="00D56702">
        <w:rPr>
          <w:i/>
          <w:sz w:val="20"/>
        </w:rPr>
        <w:t>See</w:t>
      </w:r>
      <w:r w:rsidR="00E23EF4" w:rsidRPr="00D56702">
        <w:rPr>
          <w:i/>
          <w:sz w:val="20"/>
        </w:rPr>
        <w:t xml:space="preserve"> supra</w:t>
      </w:r>
      <w:r w:rsidR="00E23EF4" w:rsidRPr="00D56702">
        <w:rPr>
          <w:sz w:val="20"/>
        </w:rPr>
        <w:t xml:space="preserve"> note </w:t>
      </w:r>
      <w:r w:rsidR="00D56702" w:rsidRPr="00D56702">
        <w:rPr>
          <w:sz w:val="20"/>
        </w:rPr>
        <w:t>10</w:t>
      </w:r>
      <w:r w:rsidR="00E23EF4" w:rsidRPr="00D56702">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431C2" w14:textId="77777777" w:rsidR="00D96418" w:rsidRDefault="00D964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EDEFF" w14:textId="294E06AB" w:rsidR="00577798" w:rsidRDefault="00577798">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134BE" w14:textId="77777777" w:rsidR="00D96418" w:rsidRDefault="00D96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5FC7"/>
    <w:multiLevelType w:val="hybridMultilevel"/>
    <w:tmpl w:val="F57C515A"/>
    <w:lvl w:ilvl="0" w:tplc="3A5411CA">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946479"/>
    <w:multiLevelType w:val="hybridMultilevel"/>
    <w:tmpl w:val="A00C96CE"/>
    <w:lvl w:ilvl="0" w:tplc="7CB82318">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0C31CC"/>
    <w:multiLevelType w:val="hybridMultilevel"/>
    <w:tmpl w:val="DF04229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9C7D75"/>
    <w:multiLevelType w:val="hybridMultilevel"/>
    <w:tmpl w:val="946EC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35FE5"/>
    <w:multiLevelType w:val="hybridMultilevel"/>
    <w:tmpl w:val="25EE7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430EC0"/>
    <w:multiLevelType w:val="hybridMultilevel"/>
    <w:tmpl w:val="CA047844"/>
    <w:lvl w:ilvl="0" w:tplc="A426F1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744825"/>
    <w:multiLevelType w:val="hybridMultilevel"/>
    <w:tmpl w:val="3DF8AD4A"/>
    <w:lvl w:ilvl="0" w:tplc="41A24C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9F7B48"/>
    <w:multiLevelType w:val="hybridMultilevel"/>
    <w:tmpl w:val="9E6869FA"/>
    <w:lvl w:ilvl="0" w:tplc="46049C46">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7B134C"/>
    <w:multiLevelType w:val="hybridMultilevel"/>
    <w:tmpl w:val="CAB0560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7D7132"/>
    <w:multiLevelType w:val="hybridMultilevel"/>
    <w:tmpl w:val="EE8609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29052A"/>
    <w:multiLevelType w:val="hybridMultilevel"/>
    <w:tmpl w:val="B4AA61E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18436CB"/>
    <w:multiLevelType w:val="hybridMultilevel"/>
    <w:tmpl w:val="0034402C"/>
    <w:lvl w:ilvl="0" w:tplc="39CCAD92">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560390"/>
    <w:multiLevelType w:val="hybridMultilevel"/>
    <w:tmpl w:val="26A2739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7"/>
  </w:num>
  <w:num w:numId="4">
    <w:abstractNumId w:val="0"/>
  </w:num>
  <w:num w:numId="5">
    <w:abstractNumId w:val="6"/>
  </w:num>
  <w:num w:numId="6">
    <w:abstractNumId w:val="10"/>
  </w:num>
  <w:num w:numId="7">
    <w:abstractNumId w:val="8"/>
  </w:num>
  <w:num w:numId="8">
    <w:abstractNumId w:val="12"/>
  </w:num>
  <w:num w:numId="9">
    <w:abstractNumId w:val="9"/>
  </w:num>
  <w:num w:numId="10">
    <w:abstractNumId w:val="3"/>
  </w:num>
  <w:num w:numId="11">
    <w:abstractNumId w:val="5"/>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s-A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0BA"/>
    <w:rsid w:val="00010AE0"/>
    <w:rsid w:val="000243C0"/>
    <w:rsid w:val="00037D70"/>
    <w:rsid w:val="00043515"/>
    <w:rsid w:val="0005324E"/>
    <w:rsid w:val="00074792"/>
    <w:rsid w:val="0007770E"/>
    <w:rsid w:val="00087F93"/>
    <w:rsid w:val="00091C22"/>
    <w:rsid w:val="00091D49"/>
    <w:rsid w:val="000C1D08"/>
    <w:rsid w:val="000F2C5A"/>
    <w:rsid w:val="000F3BEC"/>
    <w:rsid w:val="00106626"/>
    <w:rsid w:val="0010665D"/>
    <w:rsid w:val="00130642"/>
    <w:rsid w:val="0013605A"/>
    <w:rsid w:val="00154AB9"/>
    <w:rsid w:val="00174E5C"/>
    <w:rsid w:val="001B275B"/>
    <w:rsid w:val="001B419C"/>
    <w:rsid w:val="001B5EDA"/>
    <w:rsid w:val="001C6F21"/>
    <w:rsid w:val="001D607F"/>
    <w:rsid w:val="001E7B9D"/>
    <w:rsid w:val="001F4A9F"/>
    <w:rsid w:val="00202DA0"/>
    <w:rsid w:val="00204971"/>
    <w:rsid w:val="00210F8B"/>
    <w:rsid w:val="00214048"/>
    <w:rsid w:val="00221419"/>
    <w:rsid w:val="002217E7"/>
    <w:rsid w:val="0023429D"/>
    <w:rsid w:val="00246413"/>
    <w:rsid w:val="00247195"/>
    <w:rsid w:val="002506E3"/>
    <w:rsid w:val="00265677"/>
    <w:rsid w:val="002726D1"/>
    <w:rsid w:val="002730CC"/>
    <w:rsid w:val="00276B2B"/>
    <w:rsid w:val="00276DDC"/>
    <w:rsid w:val="00292781"/>
    <w:rsid w:val="0029429E"/>
    <w:rsid w:val="002A0C12"/>
    <w:rsid w:val="002B27FA"/>
    <w:rsid w:val="002B7569"/>
    <w:rsid w:val="002C2595"/>
    <w:rsid w:val="002C5126"/>
    <w:rsid w:val="002E0799"/>
    <w:rsid w:val="002E4ECD"/>
    <w:rsid w:val="002F3CCC"/>
    <w:rsid w:val="00301DD5"/>
    <w:rsid w:val="0031109D"/>
    <w:rsid w:val="00352DFC"/>
    <w:rsid w:val="00353E2B"/>
    <w:rsid w:val="00357A22"/>
    <w:rsid w:val="00370EE7"/>
    <w:rsid w:val="00374CD1"/>
    <w:rsid w:val="003A42E4"/>
    <w:rsid w:val="003A5495"/>
    <w:rsid w:val="003C36AC"/>
    <w:rsid w:val="003D57B0"/>
    <w:rsid w:val="003F33FB"/>
    <w:rsid w:val="003F437B"/>
    <w:rsid w:val="00403B33"/>
    <w:rsid w:val="00416960"/>
    <w:rsid w:val="00421AC2"/>
    <w:rsid w:val="00447EA9"/>
    <w:rsid w:val="00461731"/>
    <w:rsid w:val="00470022"/>
    <w:rsid w:val="00494823"/>
    <w:rsid w:val="004A06C5"/>
    <w:rsid w:val="004A0FE9"/>
    <w:rsid w:val="004B55AA"/>
    <w:rsid w:val="004B77AA"/>
    <w:rsid w:val="004C3456"/>
    <w:rsid w:val="004C5E0D"/>
    <w:rsid w:val="004F66EB"/>
    <w:rsid w:val="00502AB9"/>
    <w:rsid w:val="0050358C"/>
    <w:rsid w:val="00531FC5"/>
    <w:rsid w:val="0054270C"/>
    <w:rsid w:val="00561103"/>
    <w:rsid w:val="00574081"/>
    <w:rsid w:val="00577798"/>
    <w:rsid w:val="0058348E"/>
    <w:rsid w:val="00585BFD"/>
    <w:rsid w:val="005A67CE"/>
    <w:rsid w:val="005B6116"/>
    <w:rsid w:val="005C1BCA"/>
    <w:rsid w:val="005E0304"/>
    <w:rsid w:val="005E45F7"/>
    <w:rsid w:val="0061029D"/>
    <w:rsid w:val="006104DC"/>
    <w:rsid w:val="006125A9"/>
    <w:rsid w:val="00640899"/>
    <w:rsid w:val="00641F9E"/>
    <w:rsid w:val="006432C8"/>
    <w:rsid w:val="00660FF2"/>
    <w:rsid w:val="006711E6"/>
    <w:rsid w:val="006714A6"/>
    <w:rsid w:val="006772AB"/>
    <w:rsid w:val="00682F52"/>
    <w:rsid w:val="006839A8"/>
    <w:rsid w:val="00697E65"/>
    <w:rsid w:val="006A4701"/>
    <w:rsid w:val="006A6747"/>
    <w:rsid w:val="006C1524"/>
    <w:rsid w:val="006C54FE"/>
    <w:rsid w:val="006F60B5"/>
    <w:rsid w:val="00700DD2"/>
    <w:rsid w:val="0073303A"/>
    <w:rsid w:val="00751D87"/>
    <w:rsid w:val="00752C06"/>
    <w:rsid w:val="007621D0"/>
    <w:rsid w:val="00767AA4"/>
    <w:rsid w:val="007A57E1"/>
    <w:rsid w:val="007B2B29"/>
    <w:rsid w:val="007B40CB"/>
    <w:rsid w:val="007B4A0C"/>
    <w:rsid w:val="007B6D91"/>
    <w:rsid w:val="007D4773"/>
    <w:rsid w:val="008012D4"/>
    <w:rsid w:val="00813F63"/>
    <w:rsid w:val="00835792"/>
    <w:rsid w:val="008425B9"/>
    <w:rsid w:val="00842BA5"/>
    <w:rsid w:val="00842EBB"/>
    <w:rsid w:val="00843441"/>
    <w:rsid w:val="00852EF9"/>
    <w:rsid w:val="008571B1"/>
    <w:rsid w:val="00864EB1"/>
    <w:rsid w:val="00865FA0"/>
    <w:rsid w:val="008825DD"/>
    <w:rsid w:val="008957AD"/>
    <w:rsid w:val="008A4506"/>
    <w:rsid w:val="008A6A76"/>
    <w:rsid w:val="008D48C2"/>
    <w:rsid w:val="008D66F2"/>
    <w:rsid w:val="009025AE"/>
    <w:rsid w:val="009053B9"/>
    <w:rsid w:val="00907833"/>
    <w:rsid w:val="009176D0"/>
    <w:rsid w:val="00920DE9"/>
    <w:rsid w:val="00927B15"/>
    <w:rsid w:val="00950487"/>
    <w:rsid w:val="0095470E"/>
    <w:rsid w:val="0097042A"/>
    <w:rsid w:val="009706B3"/>
    <w:rsid w:val="00976966"/>
    <w:rsid w:val="00993450"/>
    <w:rsid w:val="009B6D7A"/>
    <w:rsid w:val="009B6DA7"/>
    <w:rsid w:val="009B7BD9"/>
    <w:rsid w:val="009C7E17"/>
    <w:rsid w:val="009E22AA"/>
    <w:rsid w:val="009E460B"/>
    <w:rsid w:val="009E4A47"/>
    <w:rsid w:val="009F5BD9"/>
    <w:rsid w:val="00A204CD"/>
    <w:rsid w:val="00A21C67"/>
    <w:rsid w:val="00A45198"/>
    <w:rsid w:val="00A53DA5"/>
    <w:rsid w:val="00A55390"/>
    <w:rsid w:val="00A55B4E"/>
    <w:rsid w:val="00A61B3C"/>
    <w:rsid w:val="00A62CAA"/>
    <w:rsid w:val="00A63FF8"/>
    <w:rsid w:val="00A70EC9"/>
    <w:rsid w:val="00A71079"/>
    <w:rsid w:val="00A81A45"/>
    <w:rsid w:val="00AC77C9"/>
    <w:rsid w:val="00AD21CE"/>
    <w:rsid w:val="00B0107D"/>
    <w:rsid w:val="00B07EF7"/>
    <w:rsid w:val="00B66409"/>
    <w:rsid w:val="00B7433C"/>
    <w:rsid w:val="00B80077"/>
    <w:rsid w:val="00B83D38"/>
    <w:rsid w:val="00B935AF"/>
    <w:rsid w:val="00B94D8C"/>
    <w:rsid w:val="00BB0811"/>
    <w:rsid w:val="00BB5087"/>
    <w:rsid w:val="00BB5329"/>
    <w:rsid w:val="00BC761D"/>
    <w:rsid w:val="00BE0AB4"/>
    <w:rsid w:val="00C060BA"/>
    <w:rsid w:val="00C15D80"/>
    <w:rsid w:val="00C22F10"/>
    <w:rsid w:val="00C231C4"/>
    <w:rsid w:val="00C2374A"/>
    <w:rsid w:val="00C2390D"/>
    <w:rsid w:val="00C30DF6"/>
    <w:rsid w:val="00C35112"/>
    <w:rsid w:val="00C43584"/>
    <w:rsid w:val="00C5606F"/>
    <w:rsid w:val="00C73FB9"/>
    <w:rsid w:val="00C77DA1"/>
    <w:rsid w:val="00C81B44"/>
    <w:rsid w:val="00C848B5"/>
    <w:rsid w:val="00C928DE"/>
    <w:rsid w:val="00CC162B"/>
    <w:rsid w:val="00CC5BC5"/>
    <w:rsid w:val="00CC635C"/>
    <w:rsid w:val="00CC71A2"/>
    <w:rsid w:val="00CF4C6E"/>
    <w:rsid w:val="00CF5F26"/>
    <w:rsid w:val="00CF622D"/>
    <w:rsid w:val="00D15F61"/>
    <w:rsid w:val="00D20B9A"/>
    <w:rsid w:val="00D242CD"/>
    <w:rsid w:val="00D53EF1"/>
    <w:rsid w:val="00D56702"/>
    <w:rsid w:val="00D61A01"/>
    <w:rsid w:val="00D70343"/>
    <w:rsid w:val="00D74A6E"/>
    <w:rsid w:val="00D959F9"/>
    <w:rsid w:val="00D96418"/>
    <w:rsid w:val="00DB6AA7"/>
    <w:rsid w:val="00DC2FCB"/>
    <w:rsid w:val="00DC3142"/>
    <w:rsid w:val="00DF7D93"/>
    <w:rsid w:val="00E03D04"/>
    <w:rsid w:val="00E23EF4"/>
    <w:rsid w:val="00E46A85"/>
    <w:rsid w:val="00E5130F"/>
    <w:rsid w:val="00E55995"/>
    <w:rsid w:val="00E57BEC"/>
    <w:rsid w:val="00E626FA"/>
    <w:rsid w:val="00E6342C"/>
    <w:rsid w:val="00E66CA2"/>
    <w:rsid w:val="00E86FA8"/>
    <w:rsid w:val="00E90177"/>
    <w:rsid w:val="00EA06CF"/>
    <w:rsid w:val="00EA07DE"/>
    <w:rsid w:val="00EA541B"/>
    <w:rsid w:val="00EC4482"/>
    <w:rsid w:val="00EC47B4"/>
    <w:rsid w:val="00EE1C9D"/>
    <w:rsid w:val="00EF44A1"/>
    <w:rsid w:val="00EF63A4"/>
    <w:rsid w:val="00F14E79"/>
    <w:rsid w:val="00F21BEE"/>
    <w:rsid w:val="00F62D1F"/>
    <w:rsid w:val="00F6432F"/>
    <w:rsid w:val="00F65941"/>
    <w:rsid w:val="00F733E7"/>
    <w:rsid w:val="00F74561"/>
    <w:rsid w:val="00F80E43"/>
    <w:rsid w:val="00F82E51"/>
    <w:rsid w:val="00F871E7"/>
    <w:rsid w:val="00F9212B"/>
    <w:rsid w:val="00F9235C"/>
    <w:rsid w:val="00FA4469"/>
    <w:rsid w:val="00FA58C2"/>
    <w:rsid w:val="00FB2F1B"/>
    <w:rsid w:val="00FC42BF"/>
    <w:rsid w:val="00FE257A"/>
    <w:rsid w:val="00FE7628"/>
    <w:rsid w:val="00FF6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136819D"/>
  <w15:docId w15:val="{ED45B673-CA59-4116-9CC5-6D44509C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D8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12,Style 19,Style 16,Style 35,Footnote Reference Superscript,SUPERS,BVI fnr,Footnote symbol,Footnote,(Footnote Reference),Footnote reference number,note TESI,EN Footnote Reference,Voetnootverwijzing,Times 10 Point,Exposant 3 Point"/>
    <w:qFormat/>
  </w:style>
  <w:style w:type="paragraph" w:styleId="BodyTextIndent">
    <w:name w:val="Body Text Indent"/>
    <w:basedOn w:val="Normal"/>
    <w:pPr>
      <w:spacing w:line="229" w:lineRule="exact"/>
    </w:pPr>
    <w:rPr>
      <w:color w:val="00FFFF"/>
    </w:rPr>
  </w:style>
  <w:style w:type="paragraph" w:styleId="BodyTextIndent2">
    <w:name w:val="Body Text Indent 2"/>
    <w:basedOn w:val="Normal"/>
    <w:pPr>
      <w:ind w:firstLine="720"/>
    </w:pPr>
  </w:style>
  <w:style w:type="paragraph" w:styleId="BodyText">
    <w:name w:val="Body Text"/>
    <w:basedOn w:val="Normal"/>
    <w:pPr>
      <w:jc w:val="center"/>
    </w:pPr>
    <w:rPr>
      <w:u w:val="single"/>
    </w:rPr>
  </w:style>
  <w:style w:type="paragraph" w:styleId="BodyText2">
    <w:name w:val="Body Text 2"/>
    <w:basedOn w:val="Normal"/>
  </w:style>
  <w:style w:type="paragraph" w:styleId="BodyText3">
    <w:name w:val="Body Text 3"/>
    <w:basedOn w:val="Normal"/>
    <w:pPr>
      <w:jc w:val="center"/>
    </w:pPr>
    <w:rPr>
      <w:b/>
      <w:i/>
      <w:u w:val="single"/>
    </w:rPr>
  </w:style>
  <w:style w:type="paragraph" w:styleId="Header">
    <w:name w:val="header"/>
    <w:basedOn w:val="Normal"/>
    <w:link w:val="HeaderChar"/>
    <w:uiPriority w:val="99"/>
    <w:rsid w:val="002B27FA"/>
    <w:pPr>
      <w:tabs>
        <w:tab w:val="center" w:pos="4680"/>
        <w:tab w:val="right" w:pos="9360"/>
      </w:tabs>
    </w:pPr>
  </w:style>
  <w:style w:type="character" w:customStyle="1" w:styleId="HeaderChar">
    <w:name w:val="Header Char"/>
    <w:link w:val="Header"/>
    <w:uiPriority w:val="99"/>
    <w:rsid w:val="002B27FA"/>
    <w:rPr>
      <w:rFonts w:ascii="Courier" w:hAnsi="Courier"/>
      <w:szCs w:val="24"/>
    </w:rPr>
  </w:style>
  <w:style w:type="paragraph" w:styleId="Footer">
    <w:name w:val="footer"/>
    <w:basedOn w:val="Normal"/>
    <w:link w:val="FooterChar"/>
    <w:uiPriority w:val="99"/>
    <w:rsid w:val="002B27FA"/>
    <w:pPr>
      <w:tabs>
        <w:tab w:val="center" w:pos="4680"/>
        <w:tab w:val="right" w:pos="9360"/>
      </w:tabs>
    </w:pPr>
  </w:style>
  <w:style w:type="character" w:customStyle="1" w:styleId="FooterChar">
    <w:name w:val="Footer Char"/>
    <w:link w:val="Footer"/>
    <w:uiPriority w:val="99"/>
    <w:rsid w:val="002B27FA"/>
    <w:rPr>
      <w:rFonts w:ascii="Courier" w:hAnsi="Courier"/>
      <w:szCs w:val="24"/>
    </w:rPr>
  </w:style>
  <w:style w:type="character" w:styleId="Hyperlink">
    <w:name w:val="Hyperlink"/>
    <w:uiPriority w:val="99"/>
    <w:rsid w:val="00CC635C"/>
    <w:rPr>
      <w:color w:val="0000FF"/>
      <w:u w:val="single"/>
    </w:rPr>
  </w:style>
  <w:style w:type="paragraph" w:customStyle="1" w:styleId="Default">
    <w:name w:val="Default"/>
    <w:rsid w:val="00CC635C"/>
    <w:pPr>
      <w:autoSpaceDE w:val="0"/>
      <w:autoSpaceDN w:val="0"/>
      <w:adjustRightInd w:val="0"/>
    </w:pPr>
    <w:rPr>
      <w:color w:val="000000"/>
      <w:sz w:val="24"/>
      <w:szCs w:val="24"/>
    </w:rPr>
  </w:style>
  <w:style w:type="paragraph" w:styleId="BalloonText">
    <w:name w:val="Balloon Text"/>
    <w:basedOn w:val="Normal"/>
    <w:link w:val="BalloonTextChar"/>
    <w:rsid w:val="00BB5087"/>
    <w:rPr>
      <w:rFonts w:ascii="Tahoma" w:hAnsi="Tahoma" w:cs="Tahoma"/>
      <w:sz w:val="16"/>
      <w:szCs w:val="16"/>
    </w:rPr>
  </w:style>
  <w:style w:type="character" w:customStyle="1" w:styleId="BalloonTextChar">
    <w:name w:val="Balloon Text Char"/>
    <w:link w:val="BalloonText"/>
    <w:rsid w:val="00BB5087"/>
    <w:rPr>
      <w:rFonts w:ascii="Tahoma" w:hAnsi="Tahoma" w:cs="Tahoma"/>
      <w:sz w:val="16"/>
      <w:szCs w:val="16"/>
    </w:rPr>
  </w:style>
  <w:style w:type="character" w:styleId="CommentReference">
    <w:name w:val="annotation reference"/>
    <w:uiPriority w:val="99"/>
    <w:unhideWhenUsed/>
    <w:rsid w:val="009053B9"/>
    <w:rPr>
      <w:sz w:val="16"/>
      <w:szCs w:val="16"/>
    </w:r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 Char,Footnote Text Char1,ft,fn,Style 15"/>
    <w:basedOn w:val="Normal"/>
    <w:link w:val="FootnoteTextChar"/>
    <w:uiPriority w:val="99"/>
    <w:qFormat/>
    <w:rsid w:val="00D61A01"/>
    <w:rPr>
      <w:szCs w:val="20"/>
    </w:rPr>
  </w:style>
  <w:style w:type="character" w:customStyle="1" w:styleId="FootnoteTextChar">
    <w:name w:val="Footnote Text Char"/>
    <w:aliases w:val="Footnote Text Char1 Char Char1,Footnote Text Char Char Char Char,Footnote Text Char1 Char Char Char Char,Footnote Text Char Char Char Char Char Char,Footnote Text Char1 Char Char Char Char Char Char,Footnote Text Char1 Char Char Char1"/>
    <w:link w:val="FootnoteText"/>
    <w:uiPriority w:val="99"/>
    <w:rsid w:val="00D61A01"/>
    <w:rPr>
      <w:rFonts w:ascii="Courier" w:hAnsi="Courier"/>
    </w:rPr>
  </w:style>
  <w:style w:type="paragraph" w:styleId="CommentText">
    <w:name w:val="annotation text"/>
    <w:basedOn w:val="Normal"/>
    <w:link w:val="CommentTextChar"/>
    <w:rsid w:val="001B419C"/>
    <w:rPr>
      <w:szCs w:val="20"/>
    </w:rPr>
  </w:style>
  <w:style w:type="character" w:customStyle="1" w:styleId="CommentTextChar">
    <w:name w:val="Comment Text Char"/>
    <w:link w:val="CommentText"/>
    <w:rsid w:val="001B419C"/>
    <w:rPr>
      <w:rFonts w:ascii="Courier" w:hAnsi="Courier"/>
      <w:lang w:eastAsia="en-US"/>
    </w:rPr>
  </w:style>
  <w:style w:type="paragraph" w:styleId="CommentSubject">
    <w:name w:val="annotation subject"/>
    <w:basedOn w:val="CommentText"/>
    <w:next w:val="CommentText"/>
    <w:link w:val="CommentSubjectChar"/>
    <w:rsid w:val="001B419C"/>
    <w:rPr>
      <w:b/>
      <w:bCs/>
    </w:rPr>
  </w:style>
  <w:style w:type="character" w:customStyle="1" w:styleId="CommentSubjectChar">
    <w:name w:val="Comment Subject Char"/>
    <w:link w:val="CommentSubject"/>
    <w:rsid w:val="001B419C"/>
    <w:rPr>
      <w:rFonts w:ascii="Courier" w:hAnsi="Courier"/>
      <w:b/>
      <w:bCs/>
      <w:lang w:eastAsia="en-US"/>
    </w:rPr>
  </w:style>
  <w:style w:type="table" w:styleId="TableGrid">
    <w:name w:val="Table Grid"/>
    <w:basedOn w:val="TableNormal"/>
    <w:uiPriority w:val="39"/>
    <w:rsid w:val="00FF6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6839A8"/>
    <w:rPr>
      <w:color w:val="954F72" w:themeColor="followedHyperlink"/>
      <w:u w:val="single"/>
    </w:rPr>
  </w:style>
  <w:style w:type="paragraph" w:styleId="ListParagraph">
    <w:name w:val="List Paragraph"/>
    <w:basedOn w:val="Normal"/>
    <w:uiPriority w:val="34"/>
    <w:qFormat/>
    <w:rsid w:val="00700DD2"/>
    <w:pPr>
      <w:widowControl/>
      <w:autoSpaceDE/>
      <w:autoSpaceDN/>
      <w:adjustRightInd/>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700DD2"/>
    <w:pPr>
      <w:widowControl/>
      <w:autoSpaceDE/>
      <w:autoSpaceDN/>
      <w:adjustRightInd/>
      <w:spacing w:before="100" w:beforeAutospacing="1" w:after="100" w:afterAutospacing="1"/>
    </w:pPr>
  </w:style>
  <w:style w:type="character" w:customStyle="1" w:styleId="paragraph-hierarchy">
    <w:name w:val="paragraph-hierarchy"/>
    <w:basedOn w:val="DefaultParagraphFont"/>
    <w:rsid w:val="00700DD2"/>
  </w:style>
  <w:style w:type="character" w:customStyle="1" w:styleId="paren">
    <w:name w:val="paren"/>
    <w:basedOn w:val="DefaultParagraphFont"/>
    <w:rsid w:val="00700DD2"/>
  </w:style>
  <w:style w:type="paragraph" w:customStyle="1" w:styleId="indent-1">
    <w:name w:val="indent-1"/>
    <w:basedOn w:val="Normal"/>
    <w:rsid w:val="00700DD2"/>
    <w:pPr>
      <w:widowControl/>
      <w:autoSpaceDE/>
      <w:autoSpaceDN/>
      <w:adjustRightInd/>
      <w:spacing w:before="100" w:beforeAutospacing="1" w:after="100" w:afterAutospacing="1"/>
    </w:pPr>
  </w:style>
  <w:style w:type="paragraph" w:styleId="HTMLPreformatted">
    <w:name w:val="HTML Preformatted"/>
    <w:basedOn w:val="Normal"/>
    <w:link w:val="HTMLPreformattedChar"/>
    <w:unhideWhenUsed/>
    <w:rsid w:val="00F733E7"/>
    <w:rPr>
      <w:rFonts w:ascii="Consolas" w:hAnsi="Consolas" w:cs="Consolas"/>
      <w:sz w:val="20"/>
      <w:szCs w:val="20"/>
    </w:rPr>
  </w:style>
  <w:style w:type="character" w:customStyle="1" w:styleId="HTMLPreformattedChar">
    <w:name w:val="HTML Preformatted Char"/>
    <w:basedOn w:val="DefaultParagraphFont"/>
    <w:link w:val="HTMLPreformatted"/>
    <w:rsid w:val="00F733E7"/>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19882">
      <w:bodyDiv w:val="1"/>
      <w:marLeft w:val="0"/>
      <w:marRight w:val="0"/>
      <w:marTop w:val="0"/>
      <w:marBottom w:val="0"/>
      <w:divBdr>
        <w:top w:val="none" w:sz="0" w:space="0" w:color="auto"/>
        <w:left w:val="none" w:sz="0" w:space="0" w:color="auto"/>
        <w:bottom w:val="none" w:sz="0" w:space="0" w:color="auto"/>
        <w:right w:val="none" w:sz="0" w:space="0" w:color="auto"/>
      </w:divBdr>
    </w:div>
    <w:div w:id="1713923620">
      <w:bodyDiv w:val="1"/>
      <w:marLeft w:val="0"/>
      <w:marRight w:val="0"/>
      <w:marTop w:val="0"/>
      <w:marBottom w:val="0"/>
      <w:divBdr>
        <w:top w:val="none" w:sz="0" w:space="0" w:color="auto"/>
        <w:left w:val="none" w:sz="0" w:space="0" w:color="auto"/>
        <w:bottom w:val="none" w:sz="0" w:space="0" w:color="auto"/>
        <w:right w:val="none" w:sz="0" w:space="0" w:color="auto"/>
      </w:divBdr>
    </w:div>
    <w:div w:id="189033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ederalregister.gov/documents/2022/02/16/2022-03266/agency-information-collection-activities-proposed-renewal-comment-request-renewal-without-change-of" TargetMode="External"/><Relationship Id="rId2" Type="http://schemas.openxmlformats.org/officeDocument/2006/relationships/hyperlink" Target="https://www.fincen.gov/sites/default/files/federal_register_notice/CISADA_Certification.pdf" TargetMode="External"/><Relationship Id="rId1" Type="http://schemas.openxmlformats.org/officeDocument/2006/relationships/hyperlink" Target="https://www.govinfo.gov/link/uscode/12/611-32" TargetMode="External"/><Relationship Id="rId5" Type="http://schemas.openxmlformats.org/officeDocument/2006/relationships/hyperlink" Target="https://www.federalreserve.gov/releases/iba/202109/default.htm" TargetMode="External"/><Relationship Id="rId4" Type="http://schemas.openxmlformats.org/officeDocument/2006/relationships/hyperlink" Target="https://www.federalregister.gov/documents/2014/04/14/2014-08254/privacy-act-of-1974-as-amended-system-of-records-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5BB91-6BEF-457D-832A-F9EEFC439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Information Technology</Company>
  <LinksUpToDate>false</LinksUpToDate>
  <CharactersWithSpaces>12501</CharactersWithSpaces>
  <SharedDoc>false</SharedDoc>
  <HLinks>
    <vt:vector size="12" baseType="variant">
      <vt:variant>
        <vt:i4>2162714</vt:i4>
      </vt:variant>
      <vt:variant>
        <vt:i4>3</vt:i4>
      </vt:variant>
      <vt:variant>
        <vt:i4>0</vt:i4>
      </vt:variant>
      <vt:variant>
        <vt:i4>5</vt:i4>
      </vt:variant>
      <vt:variant>
        <vt:lpwstr>http://www.fincen.gov/foia/files/FinCEN_79_FR_20969.pdf</vt:lpwstr>
      </vt:variant>
      <vt:variant>
        <vt:lpwstr/>
      </vt:variant>
      <vt:variant>
        <vt:i4>4980788</vt:i4>
      </vt:variant>
      <vt:variant>
        <vt:i4>0</vt:i4>
      </vt:variant>
      <vt:variant>
        <vt:i4>0</vt:i4>
      </vt:variant>
      <vt:variant>
        <vt:i4>5</vt:i4>
      </vt:variant>
      <vt:variant>
        <vt:lpwstr>http://www.fincen.gov/statutes_regs/frn/pdf/CISADAProposedCertification4-26-2011.pdf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Information Technology</dc:creator>
  <cp:keywords/>
  <cp:lastModifiedBy>Stewart, Jaclyn</cp:lastModifiedBy>
  <cp:revision>3</cp:revision>
  <cp:lastPrinted>2018-08-15T12:30:00Z</cp:lastPrinted>
  <dcterms:created xsi:type="dcterms:W3CDTF">2022-04-25T13:06:00Z</dcterms:created>
  <dcterms:modified xsi:type="dcterms:W3CDTF">2022-04-25T13:10:00Z</dcterms:modified>
</cp:coreProperties>
</file>