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0CA5" w:rsidR="00E9076D" w:rsidP="00E9076D" w:rsidRDefault="007E2EEB" w14:paraId="59E85EA6" w14:textId="77777777">
      <w:pPr>
        <w:tabs>
          <w:tab w:val="center" w:pos="4680"/>
        </w:tabs>
        <w:rPr>
          <w:rFonts w:ascii="Calibri" w:hAnsi="Calibri" w:cs="Berylium"/>
          <w:sz w:val="22"/>
          <w:szCs w:val="22"/>
        </w:rPr>
      </w:pPr>
      <w:r>
        <w:rPr>
          <w:rFonts w:ascii="Berylium" w:hAnsi="Berylium" w:cs="Berylium"/>
          <w:b/>
          <w:bCs/>
        </w:rPr>
        <w:tab/>
      </w:r>
      <w:r w:rsidRPr="00AE0CA5" w:rsidR="00E9076D">
        <w:rPr>
          <w:rFonts w:ascii="Calibri" w:hAnsi="Calibri" w:cs="Berylium"/>
          <w:sz w:val="22"/>
          <w:szCs w:val="22"/>
        </w:rPr>
        <w:t>SUPPORTING STATEMENT</w:t>
      </w:r>
    </w:p>
    <w:p w:rsidRPr="00AE0CA5" w:rsidR="00E9076D" w:rsidP="00E9076D" w:rsidRDefault="00E9076D" w14:paraId="4283EBC2" w14:textId="77777777">
      <w:pPr>
        <w:tabs>
          <w:tab w:val="center" w:pos="4680"/>
        </w:tabs>
        <w:jc w:val="center"/>
        <w:rPr>
          <w:rFonts w:ascii="Calibri" w:hAnsi="Calibri" w:cs="Berylium"/>
          <w:sz w:val="22"/>
          <w:szCs w:val="22"/>
        </w:rPr>
      </w:pPr>
      <w:r w:rsidRPr="00AE0CA5">
        <w:rPr>
          <w:rFonts w:ascii="Calibri" w:hAnsi="Calibri" w:cs="Berylium"/>
          <w:sz w:val="22"/>
          <w:szCs w:val="22"/>
        </w:rPr>
        <w:t>Internal Revenue Service</w:t>
      </w:r>
      <w:r w:rsidRPr="00AE0CA5" w:rsidR="004B6E0C">
        <w:rPr>
          <w:rFonts w:ascii="Calibri" w:hAnsi="Calibri" w:cs="Berylium"/>
          <w:sz w:val="22"/>
          <w:szCs w:val="22"/>
        </w:rPr>
        <w:t xml:space="preserve"> (IRS)</w:t>
      </w:r>
    </w:p>
    <w:p w:rsidRPr="00AE0CA5" w:rsidR="009A340C" w:rsidP="00E9076D" w:rsidRDefault="009A340C" w14:paraId="59F84911" w14:textId="77777777">
      <w:pPr>
        <w:tabs>
          <w:tab w:val="center" w:pos="4680"/>
        </w:tabs>
        <w:jc w:val="center"/>
        <w:rPr>
          <w:rFonts w:ascii="Calibri" w:hAnsi="Calibri" w:cs="Berylium"/>
          <w:sz w:val="22"/>
          <w:szCs w:val="22"/>
        </w:rPr>
      </w:pPr>
      <w:r w:rsidRPr="00AE0CA5">
        <w:rPr>
          <w:rFonts w:ascii="Calibri" w:hAnsi="Calibri" w:cs="Berylium"/>
          <w:sz w:val="22"/>
          <w:szCs w:val="22"/>
        </w:rPr>
        <w:t>At-Risk Limitations</w:t>
      </w:r>
    </w:p>
    <w:p w:rsidR="009A340C" w:rsidP="009A340C" w:rsidRDefault="009A340C" w14:paraId="2517F7FB" w14:textId="760E6671">
      <w:pPr>
        <w:tabs>
          <w:tab w:val="center" w:pos="4680"/>
        </w:tabs>
        <w:jc w:val="center"/>
        <w:rPr>
          <w:rFonts w:ascii="Calibri" w:hAnsi="Calibri" w:cs="Berylium"/>
          <w:sz w:val="22"/>
          <w:szCs w:val="22"/>
        </w:rPr>
      </w:pPr>
      <w:r w:rsidRPr="00AE0CA5">
        <w:rPr>
          <w:rFonts w:ascii="Calibri" w:hAnsi="Calibri" w:cs="Berylium"/>
          <w:sz w:val="22"/>
          <w:szCs w:val="22"/>
        </w:rPr>
        <w:t>Form 6198</w:t>
      </w:r>
    </w:p>
    <w:p w:rsidRPr="00AE0CA5" w:rsidR="00AE0CA5" w:rsidP="009A340C" w:rsidRDefault="00AE0CA5" w14:paraId="217CE68D" w14:textId="77777777">
      <w:pPr>
        <w:tabs>
          <w:tab w:val="center" w:pos="4680"/>
        </w:tabs>
        <w:jc w:val="center"/>
        <w:rPr>
          <w:rFonts w:ascii="Calibri" w:hAnsi="Calibri" w:cs="Berylium"/>
          <w:sz w:val="22"/>
          <w:szCs w:val="22"/>
        </w:rPr>
      </w:pPr>
    </w:p>
    <w:p w:rsidRPr="00AE0CA5" w:rsidR="00E9076D" w:rsidP="00E9076D" w:rsidRDefault="00E9076D" w14:paraId="239113C1" w14:textId="07F9E591">
      <w:pPr>
        <w:tabs>
          <w:tab w:val="center" w:pos="4680"/>
        </w:tabs>
        <w:jc w:val="center"/>
        <w:rPr>
          <w:rFonts w:ascii="Calibri" w:hAnsi="Calibri" w:cs="Berylium"/>
          <w:sz w:val="22"/>
          <w:szCs w:val="22"/>
        </w:rPr>
      </w:pPr>
      <w:r w:rsidRPr="00AE0CA5">
        <w:rPr>
          <w:rFonts w:ascii="Calibri" w:hAnsi="Calibri" w:cs="Berylium"/>
          <w:sz w:val="22"/>
          <w:szCs w:val="22"/>
        </w:rPr>
        <w:t xml:space="preserve">OMB </w:t>
      </w:r>
      <w:r w:rsidR="00AE0CA5">
        <w:rPr>
          <w:rFonts w:ascii="Calibri" w:hAnsi="Calibri" w:cs="Berylium"/>
          <w:sz w:val="22"/>
          <w:szCs w:val="22"/>
        </w:rPr>
        <w:t xml:space="preserve">Control </w:t>
      </w:r>
      <w:r w:rsidRPr="00AE0CA5">
        <w:rPr>
          <w:rFonts w:ascii="Calibri" w:hAnsi="Calibri" w:cs="Berylium"/>
          <w:sz w:val="22"/>
          <w:szCs w:val="22"/>
        </w:rPr>
        <w:t>Number 1545-</w:t>
      </w:r>
      <w:r w:rsidRPr="00AE0CA5" w:rsidR="009A340C">
        <w:rPr>
          <w:rFonts w:ascii="Calibri" w:hAnsi="Calibri" w:cs="Berylium"/>
          <w:sz w:val="22"/>
          <w:szCs w:val="22"/>
        </w:rPr>
        <w:t>0712</w:t>
      </w:r>
    </w:p>
    <w:p w:rsidRPr="003127E4" w:rsidR="007E2EEB" w:rsidRDefault="007E2EEB" w14:paraId="0FAF961A" w14:textId="77777777">
      <w:pPr>
        <w:rPr>
          <w:rFonts w:ascii="Calibri" w:hAnsi="Calibri" w:cs="Berylium"/>
          <w:b/>
          <w:bCs/>
          <w:sz w:val="22"/>
          <w:szCs w:val="22"/>
        </w:rPr>
      </w:pPr>
    </w:p>
    <w:p w:rsidRPr="00AE0CA5" w:rsidR="007E2EEB" w:rsidRDefault="007E2EEB" w14:paraId="5E1E25C1" w14:textId="77777777">
      <w:pPr>
        <w:pStyle w:val="Level1"/>
        <w:numPr>
          <w:ilvl w:val="0"/>
          <w:numId w:val="1"/>
        </w:numPr>
        <w:tabs>
          <w:tab w:val="left" w:pos="-1440"/>
          <w:tab w:val="num" w:pos="720"/>
        </w:tabs>
        <w:rPr>
          <w:rFonts w:ascii="Calibri" w:hAnsi="Calibri"/>
          <w:bCs/>
          <w:sz w:val="22"/>
          <w:szCs w:val="22"/>
        </w:rPr>
      </w:pPr>
      <w:r w:rsidRPr="00AE0CA5">
        <w:rPr>
          <w:rFonts w:ascii="Calibri" w:hAnsi="Calibri"/>
          <w:bCs/>
          <w:sz w:val="22"/>
          <w:szCs w:val="22"/>
          <w:u w:val="single"/>
        </w:rPr>
        <w:t>CIRCUMSTANCES NECESSITATING COLLECTION OF INFORMATION</w:t>
      </w:r>
      <w:r w:rsidRPr="00AE0CA5" w:rsidR="009501AC">
        <w:rPr>
          <w:rFonts w:ascii="Calibri" w:hAnsi="Calibri"/>
          <w:bCs/>
          <w:sz w:val="22"/>
          <w:szCs w:val="22"/>
          <w:u w:val="single"/>
        </w:rPr>
        <w:t xml:space="preserve"> </w:t>
      </w:r>
    </w:p>
    <w:p w:rsidRPr="00AE0CA5" w:rsidR="004F12D2" w:rsidP="00AE0CA5" w:rsidRDefault="004F12D2" w14:paraId="459B53CD" w14:textId="77777777">
      <w:pPr>
        <w:ind w:left="720"/>
        <w:rPr>
          <w:rFonts w:ascii="Calibri" w:hAnsi="Calibri"/>
          <w:sz w:val="22"/>
          <w:szCs w:val="22"/>
        </w:rPr>
      </w:pPr>
    </w:p>
    <w:p w:rsidRPr="006D449A" w:rsidR="006D449A" w:rsidP="00AE0CA5" w:rsidRDefault="00341826" w14:paraId="72EAAE85" w14:textId="6BA3588E">
      <w:pPr>
        <w:ind w:left="720"/>
        <w:rPr>
          <w:rFonts w:ascii="Calibri" w:hAnsi="Calibri"/>
          <w:sz w:val="22"/>
          <w:szCs w:val="22"/>
        </w:rPr>
      </w:pPr>
      <w:bookmarkStart w:name="_Hlk10640539" w:id="0"/>
      <w:r>
        <w:rPr>
          <w:rFonts w:ascii="Calibri" w:hAnsi="Calibri"/>
          <w:sz w:val="22"/>
          <w:szCs w:val="22"/>
        </w:rPr>
        <w:t>Internal Revenue Code (</w:t>
      </w:r>
      <w:r w:rsidRPr="006D449A" w:rsidR="006D449A">
        <w:rPr>
          <w:rFonts w:ascii="Calibri" w:hAnsi="Calibri"/>
          <w:sz w:val="22"/>
          <w:szCs w:val="22"/>
        </w:rPr>
        <w:t>IRC</w:t>
      </w:r>
      <w:r>
        <w:rPr>
          <w:rFonts w:ascii="Calibri" w:hAnsi="Calibri"/>
          <w:sz w:val="22"/>
          <w:szCs w:val="22"/>
        </w:rPr>
        <w:t>)</w:t>
      </w:r>
      <w:r w:rsidRPr="006D449A" w:rsidR="006D449A">
        <w:rPr>
          <w:rFonts w:ascii="Calibri" w:hAnsi="Calibri"/>
          <w:sz w:val="22"/>
          <w:szCs w:val="22"/>
        </w:rPr>
        <w:t xml:space="preserve"> section 465 requires taxpayers to limit their at-risk loss to the lesser of the loss or their amount at risk. Individuals, estates, trusts, </w:t>
      </w:r>
      <w:r w:rsidR="00EB3C24">
        <w:rPr>
          <w:rFonts w:ascii="Calibri" w:hAnsi="Calibri"/>
          <w:sz w:val="22"/>
          <w:szCs w:val="22"/>
        </w:rPr>
        <w:t xml:space="preserve">tax-exempt organizations, </w:t>
      </w:r>
      <w:r w:rsidRPr="006D449A" w:rsidR="006D449A">
        <w:rPr>
          <w:rFonts w:ascii="Calibri" w:hAnsi="Calibri"/>
          <w:sz w:val="22"/>
          <w:szCs w:val="22"/>
        </w:rPr>
        <w:t xml:space="preserve">and certain corporations use Form 6198 to figure the profit </w:t>
      </w:r>
      <w:r w:rsidR="007B321B">
        <w:rPr>
          <w:rFonts w:ascii="Calibri" w:hAnsi="Calibri"/>
          <w:sz w:val="22"/>
          <w:szCs w:val="22"/>
        </w:rPr>
        <w:t xml:space="preserve">or </w:t>
      </w:r>
      <w:r w:rsidRPr="006D449A" w:rsidR="006D449A">
        <w:rPr>
          <w:rFonts w:ascii="Calibri" w:hAnsi="Calibri"/>
          <w:sz w:val="22"/>
          <w:szCs w:val="22"/>
        </w:rPr>
        <w:t>loss from an at-risk activity, the amount at risk, and the deductible amount of the loss.</w:t>
      </w:r>
      <w:bookmarkEnd w:id="0"/>
    </w:p>
    <w:p w:rsidRPr="006D449A" w:rsidR="00010B0A" w:rsidP="004F12D2" w:rsidRDefault="009A340C" w14:paraId="3036165C" w14:textId="77777777">
      <w:pPr>
        <w:pStyle w:val="Default"/>
        <w:rPr>
          <w:rFonts w:ascii="Calibri" w:hAnsi="Calibri"/>
          <w:sz w:val="22"/>
          <w:szCs w:val="22"/>
        </w:rPr>
      </w:pPr>
      <w:bookmarkStart w:name="_Hlk503267997" w:id="1"/>
      <w:r w:rsidRPr="006D449A">
        <w:rPr>
          <w:rFonts w:ascii="Calibri" w:hAnsi="Calibri"/>
          <w:sz w:val="22"/>
          <w:szCs w:val="22"/>
        </w:rPr>
        <w:t xml:space="preserve">               </w:t>
      </w:r>
    </w:p>
    <w:bookmarkEnd w:id="1"/>
    <w:p w:rsidRPr="00AE0CA5" w:rsidR="007E2EEB" w:rsidRDefault="007E2EEB" w14:paraId="26048C95" w14:textId="77777777">
      <w:pPr>
        <w:pStyle w:val="Level1"/>
        <w:numPr>
          <w:ilvl w:val="0"/>
          <w:numId w:val="1"/>
        </w:numPr>
        <w:tabs>
          <w:tab w:val="left" w:pos="-1440"/>
          <w:tab w:val="num" w:pos="720"/>
        </w:tabs>
        <w:rPr>
          <w:rFonts w:ascii="Calibri" w:hAnsi="Calibri"/>
          <w:bCs/>
          <w:sz w:val="22"/>
          <w:szCs w:val="22"/>
        </w:rPr>
      </w:pPr>
      <w:r w:rsidRPr="00AE0CA5">
        <w:rPr>
          <w:rFonts w:ascii="Calibri" w:hAnsi="Calibri"/>
          <w:bCs/>
          <w:sz w:val="22"/>
          <w:szCs w:val="22"/>
          <w:u w:val="single"/>
        </w:rPr>
        <w:t>USE OF DATA</w:t>
      </w:r>
      <w:r w:rsidRPr="00AE0CA5">
        <w:rPr>
          <w:rFonts w:ascii="Calibri" w:hAnsi="Calibri"/>
          <w:bCs/>
          <w:sz w:val="22"/>
          <w:szCs w:val="22"/>
        </w:rPr>
        <w:t xml:space="preserve">              </w:t>
      </w:r>
    </w:p>
    <w:p w:rsidRPr="003127E4" w:rsidR="007E2EEB" w:rsidRDefault="007E2EEB" w14:paraId="1791FCB5" w14:textId="77777777">
      <w:pPr>
        <w:rPr>
          <w:rFonts w:ascii="Calibri" w:hAnsi="Calibri"/>
          <w:sz w:val="22"/>
          <w:szCs w:val="22"/>
        </w:rPr>
      </w:pPr>
    </w:p>
    <w:p w:rsidRPr="00010B0A" w:rsidR="00010B0A" w:rsidP="00AE0CA5" w:rsidRDefault="00886D4B" w14:paraId="569877A8" w14:textId="13060DE5">
      <w:pPr>
        <w:ind w:left="720"/>
        <w:rPr>
          <w:rFonts w:ascii="Calibri" w:hAnsi="Calibri"/>
          <w:sz w:val="22"/>
          <w:szCs w:val="22"/>
        </w:rPr>
      </w:pPr>
      <w:r w:rsidRPr="00886D4B">
        <w:rPr>
          <w:rFonts w:ascii="Calibri" w:hAnsi="Calibri"/>
          <w:sz w:val="22"/>
          <w:szCs w:val="22"/>
        </w:rPr>
        <w:t>The IRS uses the data from the form to determine if the loss deduction is</w:t>
      </w:r>
      <w:r w:rsidR="00341826">
        <w:rPr>
          <w:rFonts w:ascii="Calibri" w:hAnsi="Calibri"/>
          <w:sz w:val="22"/>
          <w:szCs w:val="22"/>
        </w:rPr>
        <w:t xml:space="preserve"> correct and allowable per IRC section 465</w:t>
      </w:r>
      <w:r w:rsidRPr="00886D4B">
        <w:rPr>
          <w:rFonts w:ascii="Calibri" w:hAnsi="Calibri"/>
          <w:sz w:val="22"/>
          <w:szCs w:val="22"/>
        </w:rPr>
        <w:t>.</w:t>
      </w:r>
    </w:p>
    <w:p w:rsidRPr="003127E4" w:rsidR="007E2EEB" w:rsidRDefault="007E2EEB" w14:paraId="323341F2" w14:textId="77777777">
      <w:pPr>
        <w:rPr>
          <w:rFonts w:ascii="Calibri" w:hAnsi="Calibri"/>
          <w:sz w:val="22"/>
          <w:szCs w:val="22"/>
        </w:rPr>
      </w:pPr>
      <w:r w:rsidRPr="003127E4">
        <w:rPr>
          <w:rFonts w:ascii="Calibri" w:hAnsi="Calibri"/>
          <w:sz w:val="22"/>
          <w:szCs w:val="22"/>
        </w:rPr>
        <w:t xml:space="preserve">    </w:t>
      </w:r>
    </w:p>
    <w:p w:rsidRPr="00341826" w:rsidR="007E2EEB" w:rsidP="00341826" w:rsidRDefault="007E2EEB" w14:paraId="7375B98D"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USE OF IMPROVED INFORMATION TECHNOLOGY TO REDUCE BURDEN</w:t>
      </w:r>
    </w:p>
    <w:p w:rsidRPr="003127E4" w:rsidR="007E2EEB" w:rsidRDefault="007E2EEB" w14:paraId="065C51DC" w14:textId="77777777">
      <w:pPr>
        <w:rPr>
          <w:rFonts w:ascii="Calibri" w:hAnsi="Calibri"/>
          <w:sz w:val="22"/>
          <w:szCs w:val="22"/>
        </w:rPr>
      </w:pPr>
    </w:p>
    <w:p w:rsidRPr="003127E4" w:rsidR="007E2EEB" w:rsidRDefault="00886D4B" w14:paraId="1EBD0D50" w14:textId="77777777">
      <w:pPr>
        <w:ind w:left="720"/>
        <w:rPr>
          <w:rFonts w:ascii="Calibri" w:hAnsi="Calibri"/>
          <w:sz w:val="22"/>
          <w:szCs w:val="22"/>
        </w:rPr>
      </w:pPr>
      <w:r w:rsidRPr="00886D4B">
        <w:rPr>
          <w:rFonts w:ascii="Calibri" w:hAnsi="Calibri"/>
          <w:sz w:val="22"/>
          <w:szCs w:val="22"/>
        </w:rPr>
        <w:t>Electronic filing is currently available for Form 6198.</w:t>
      </w:r>
    </w:p>
    <w:p w:rsidRPr="003127E4" w:rsidR="007E2EEB" w:rsidRDefault="007E2EEB" w14:paraId="55B465DE" w14:textId="77777777">
      <w:pPr>
        <w:rPr>
          <w:rFonts w:ascii="Calibri" w:hAnsi="Calibri"/>
          <w:sz w:val="22"/>
          <w:szCs w:val="22"/>
        </w:rPr>
      </w:pPr>
    </w:p>
    <w:p w:rsidRPr="00341826" w:rsidR="007E2EEB" w:rsidP="00341826" w:rsidRDefault="007E2EEB" w14:paraId="04B4CB25"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EFFORTS TO IDENTIFY DUPLICATION</w:t>
      </w:r>
    </w:p>
    <w:p w:rsidRPr="003127E4" w:rsidR="007E2EEB" w:rsidRDefault="007E2EEB" w14:paraId="26E20796" w14:textId="77777777">
      <w:pPr>
        <w:rPr>
          <w:rFonts w:ascii="Calibri" w:hAnsi="Calibri"/>
          <w:sz w:val="22"/>
          <w:szCs w:val="22"/>
        </w:rPr>
      </w:pPr>
    </w:p>
    <w:p w:rsidR="0047289C" w:rsidP="00886D4B" w:rsidRDefault="00715FFF" w14:paraId="4849C15C" w14:textId="708F2E6A">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508BC548" w14:textId="77777777">
      <w:pPr>
        <w:rPr>
          <w:rFonts w:ascii="Calibri" w:hAnsi="Calibri"/>
          <w:sz w:val="22"/>
          <w:szCs w:val="22"/>
        </w:rPr>
      </w:pPr>
    </w:p>
    <w:p w:rsidRPr="00341826" w:rsidR="007E2EEB" w:rsidP="00341826" w:rsidRDefault="007E2EEB" w14:paraId="1D1C3359"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METHODS TO MINIMIZE BURDEN ON SMALL BUSINESSES OR OTHER</w:t>
      </w:r>
      <w:r w:rsidRPr="00341826" w:rsidR="00715FFF">
        <w:rPr>
          <w:rFonts w:ascii="Calibri" w:hAnsi="Calibri"/>
          <w:bCs/>
          <w:sz w:val="22"/>
          <w:szCs w:val="22"/>
          <w:u w:val="single"/>
        </w:rPr>
        <w:t xml:space="preserve"> </w:t>
      </w:r>
      <w:r w:rsidRPr="00341826">
        <w:rPr>
          <w:rFonts w:ascii="Calibri" w:hAnsi="Calibri"/>
          <w:bCs/>
          <w:sz w:val="22"/>
          <w:szCs w:val="22"/>
          <w:u w:val="single"/>
        </w:rPr>
        <w:t>SMALL ENTITIES</w:t>
      </w:r>
    </w:p>
    <w:p w:rsidRPr="003127E4" w:rsidR="007E2EEB" w:rsidRDefault="007E2EEB" w14:paraId="5DEAAF27" w14:textId="77777777">
      <w:pPr>
        <w:rPr>
          <w:rFonts w:ascii="Calibri" w:hAnsi="Calibri"/>
          <w:sz w:val="22"/>
          <w:szCs w:val="22"/>
        </w:rPr>
      </w:pPr>
    </w:p>
    <w:p w:rsidR="002B177C" w:rsidRDefault="00AA30FB" w14:paraId="0F4E527F" w14:textId="7544A521">
      <w:pPr>
        <w:ind w:left="720"/>
        <w:rPr>
          <w:rFonts w:ascii="Calibri" w:hAnsi="Calibri" w:cs="Courier New"/>
          <w:color w:val="000000"/>
          <w:sz w:val="22"/>
          <w:szCs w:val="22"/>
        </w:rPr>
      </w:pPr>
      <w:r w:rsidRPr="00AA30FB">
        <w:rPr>
          <w:rFonts w:ascii="Calibri" w:hAnsi="Calibri"/>
          <w:sz w:val="22"/>
          <w:szCs w:val="22"/>
        </w:rPr>
        <w:t>The collection of information requirement will not have a significant economic impact on a substantial number of small entities.</w:t>
      </w:r>
    </w:p>
    <w:p w:rsidRPr="003127E4" w:rsidR="00F669A8" w:rsidRDefault="00F669A8" w14:paraId="4ABF981F" w14:textId="77777777">
      <w:pPr>
        <w:ind w:left="720"/>
        <w:rPr>
          <w:rFonts w:ascii="Calibri" w:hAnsi="Calibri"/>
          <w:sz w:val="22"/>
          <w:szCs w:val="22"/>
        </w:rPr>
      </w:pPr>
    </w:p>
    <w:p w:rsidRPr="00341826" w:rsidR="007E2EEB" w:rsidP="00341826" w:rsidRDefault="007E2EEB" w14:paraId="333BA9C4" w14:textId="6808F6BE">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CONSEQUENCES OF LESS FREQUENT COLLECTION ON FEDERAL PROGRAMS OR POLICY ACTIVITIES</w:t>
      </w:r>
    </w:p>
    <w:p w:rsidRPr="003127E4" w:rsidR="007E2EEB" w:rsidRDefault="007E2EEB" w14:paraId="12EC8924" w14:textId="77777777">
      <w:pPr>
        <w:rPr>
          <w:rFonts w:ascii="Calibri" w:hAnsi="Calibri"/>
          <w:sz w:val="22"/>
          <w:szCs w:val="22"/>
        </w:rPr>
      </w:pPr>
    </w:p>
    <w:p w:rsidRPr="003127E4" w:rsidR="007E2EEB" w:rsidRDefault="00473D0D" w14:paraId="1755E1C1" w14:textId="3C1BC488">
      <w:pPr>
        <w:ind w:left="720"/>
        <w:rPr>
          <w:rFonts w:ascii="Calibri" w:hAnsi="Calibri"/>
          <w:sz w:val="22"/>
          <w:szCs w:val="22"/>
        </w:rPr>
      </w:pPr>
      <w:r w:rsidRPr="00473D0D">
        <w:rPr>
          <w:rFonts w:ascii="Calibri" w:hAnsi="Calibri"/>
          <w:sz w:val="22"/>
          <w:szCs w:val="22"/>
        </w:rPr>
        <w:t xml:space="preserve">The </w:t>
      </w:r>
      <w:r w:rsidR="00683A25">
        <w:rPr>
          <w:rFonts w:ascii="Calibri" w:hAnsi="Calibri"/>
          <w:sz w:val="22"/>
          <w:szCs w:val="22"/>
        </w:rPr>
        <w:t xml:space="preserve">IRS will use the </w:t>
      </w:r>
      <w:r w:rsidRPr="00473D0D">
        <w:rPr>
          <w:rFonts w:ascii="Calibri" w:hAnsi="Calibri"/>
          <w:sz w:val="22"/>
          <w:szCs w:val="22"/>
        </w:rPr>
        <w:t xml:space="preserve">information to verify compliance with </w:t>
      </w:r>
      <w:r w:rsidR="00683A25">
        <w:rPr>
          <w:rFonts w:ascii="Calibri" w:hAnsi="Calibri"/>
          <w:sz w:val="22"/>
          <w:szCs w:val="22"/>
        </w:rPr>
        <w:t>IRC</w:t>
      </w:r>
      <w:r w:rsidR="00010B0A">
        <w:rPr>
          <w:rFonts w:ascii="Calibri" w:hAnsi="Calibri"/>
          <w:sz w:val="22"/>
          <w:szCs w:val="22"/>
        </w:rPr>
        <w:t xml:space="preserve"> </w:t>
      </w:r>
      <w:r w:rsidR="00683A25">
        <w:rPr>
          <w:rFonts w:ascii="Calibri" w:hAnsi="Calibri"/>
          <w:sz w:val="22"/>
          <w:szCs w:val="22"/>
        </w:rPr>
        <w:t>s</w:t>
      </w:r>
      <w:r w:rsidRPr="00886D4B" w:rsidR="00886D4B">
        <w:rPr>
          <w:rFonts w:ascii="Calibri" w:hAnsi="Calibri"/>
          <w:sz w:val="22"/>
          <w:szCs w:val="22"/>
        </w:rPr>
        <w:t>ection 465</w:t>
      </w:r>
      <w:r w:rsidRPr="00473D0D">
        <w:rPr>
          <w:rFonts w:ascii="Calibri" w:hAnsi="Calibri"/>
          <w:sz w:val="22"/>
          <w:szCs w:val="22"/>
        </w:rPr>
        <w:t xml:space="preserve">. </w:t>
      </w:r>
      <w:r w:rsidRPr="00453AD3" w:rsidR="002F3136">
        <w:rPr>
          <w:rFonts w:cs="Courier New" w:asciiTheme="minorHAnsi" w:hAnsiTheme="minorHAnsi"/>
          <w:sz w:val="22"/>
          <w:szCs w:val="22"/>
        </w:rPr>
        <w:t xml:space="preserve">Consequences of less frequent collection on federal programs or policy activities would consist of </w:t>
      </w:r>
      <w:r w:rsidR="002F3136">
        <w:rPr>
          <w:rFonts w:cs="Courier New" w:asciiTheme="minorHAnsi" w:hAnsiTheme="minorHAnsi"/>
          <w:sz w:val="22"/>
          <w:szCs w:val="22"/>
        </w:rPr>
        <w:t xml:space="preserve">a </w:t>
      </w:r>
      <w:r w:rsidRPr="00453AD3" w:rsidR="002F3136">
        <w:rPr>
          <w:rFonts w:cs="Courier New" w:asciiTheme="minorHAnsi" w:hAnsiTheme="minorHAnsi"/>
          <w:sz w:val="22"/>
          <w:szCs w:val="22"/>
        </w:rPr>
        <w:t xml:space="preserve">decreased amount of taxes collected by the </w:t>
      </w:r>
      <w:r w:rsidR="002F3136">
        <w:rPr>
          <w:rFonts w:cs="Courier New" w:asciiTheme="minorHAnsi" w:hAnsiTheme="minorHAnsi"/>
          <w:sz w:val="22"/>
          <w:szCs w:val="22"/>
        </w:rPr>
        <w:t>IRS</w:t>
      </w:r>
      <w:r w:rsidRPr="00453AD3" w:rsidR="002F3136">
        <w:rPr>
          <w:rFonts w:cs="Courier New" w:asciiTheme="minorHAnsi" w:hAnsiTheme="minorHAnsi"/>
          <w:sz w:val="22"/>
          <w:szCs w:val="22"/>
        </w:rPr>
        <w:t>, inaccurate and untimely filing of tax returns, and an increase in tax violations.</w:t>
      </w:r>
    </w:p>
    <w:p w:rsidRPr="003127E4" w:rsidR="007E2EEB" w:rsidRDefault="007E2EEB" w14:paraId="54C25B04" w14:textId="77777777">
      <w:pPr>
        <w:rPr>
          <w:rFonts w:ascii="Calibri" w:hAnsi="Calibri"/>
          <w:sz w:val="22"/>
          <w:szCs w:val="22"/>
        </w:rPr>
      </w:pPr>
    </w:p>
    <w:p w:rsidRPr="00341826" w:rsidR="007E2EEB" w:rsidP="00341826" w:rsidRDefault="007E2EEB" w14:paraId="3F2A813E"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SPECIAL CIRCUMSTANCES REQUIRING DATA COLLECTION TO BE</w:t>
      </w:r>
      <w:r w:rsidRPr="00341826" w:rsidR="00473D0D">
        <w:rPr>
          <w:rFonts w:ascii="Calibri" w:hAnsi="Calibri"/>
          <w:bCs/>
          <w:sz w:val="22"/>
          <w:szCs w:val="22"/>
          <w:u w:val="single"/>
        </w:rPr>
        <w:t xml:space="preserve"> </w:t>
      </w:r>
      <w:r w:rsidRPr="00341826">
        <w:rPr>
          <w:rFonts w:ascii="Calibri" w:hAnsi="Calibri"/>
          <w:bCs/>
          <w:sz w:val="22"/>
          <w:szCs w:val="22"/>
          <w:u w:val="single"/>
        </w:rPr>
        <w:t>INCONSISTENT WITH GUIDELINES IN 5 CFR 1320.5(d)(2)</w:t>
      </w:r>
    </w:p>
    <w:p w:rsidRPr="003127E4" w:rsidR="007E2EEB" w:rsidRDefault="007E2EEB" w14:paraId="5CAD0ABA" w14:textId="77777777">
      <w:pPr>
        <w:rPr>
          <w:rFonts w:ascii="Calibri" w:hAnsi="Calibri"/>
          <w:sz w:val="22"/>
          <w:szCs w:val="22"/>
        </w:rPr>
      </w:pPr>
    </w:p>
    <w:p w:rsidRPr="003127E4" w:rsidR="007E2EEB" w:rsidRDefault="00473D0D" w14:paraId="75816E4A" w14:textId="5007511B">
      <w:pPr>
        <w:ind w:left="720"/>
        <w:rPr>
          <w:rFonts w:ascii="Calibri" w:hAnsi="Calibri"/>
          <w:sz w:val="22"/>
          <w:szCs w:val="22"/>
        </w:rPr>
      </w:pPr>
      <w:r w:rsidRPr="00473D0D">
        <w:rPr>
          <w:rFonts w:ascii="Calibri" w:hAnsi="Calibri"/>
          <w:sz w:val="22"/>
          <w:szCs w:val="22"/>
        </w:rPr>
        <w:t xml:space="preserve">There are no special circumstances requiring data collection to be inconsistent with </w:t>
      </w:r>
      <w:r w:rsidR="002F3136">
        <w:rPr>
          <w:rFonts w:ascii="Calibri" w:hAnsi="Calibri"/>
          <w:sz w:val="22"/>
          <w:szCs w:val="22"/>
        </w:rPr>
        <w:t>g</w:t>
      </w:r>
      <w:r w:rsidRPr="00473D0D">
        <w:rPr>
          <w:rFonts w:ascii="Calibri" w:hAnsi="Calibri"/>
          <w:sz w:val="22"/>
          <w:szCs w:val="22"/>
        </w:rPr>
        <w:t>uidelines in 5 CFR 1320.5(d)(2).</w:t>
      </w:r>
    </w:p>
    <w:p w:rsidRPr="003127E4" w:rsidR="007E2EEB" w:rsidRDefault="007E2EEB" w14:paraId="0170FC3B" w14:textId="77777777">
      <w:pPr>
        <w:rPr>
          <w:rFonts w:ascii="Calibri" w:hAnsi="Calibri"/>
          <w:sz w:val="22"/>
          <w:szCs w:val="22"/>
        </w:rPr>
      </w:pPr>
    </w:p>
    <w:p w:rsidRPr="00341826" w:rsidR="007E2EEB" w:rsidP="00341826" w:rsidRDefault="007E2EEB" w14:paraId="668913E9" w14:textId="49C49EAD">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CONSULTATION WITH INDIVIDUALS OUTSIDE OF THE AGENCY ON</w:t>
      </w:r>
      <w:r w:rsidRPr="00341826" w:rsidR="00473D0D">
        <w:rPr>
          <w:rFonts w:ascii="Calibri" w:hAnsi="Calibri"/>
          <w:bCs/>
          <w:sz w:val="22"/>
          <w:szCs w:val="22"/>
          <w:u w:val="single"/>
        </w:rPr>
        <w:t xml:space="preserve"> </w:t>
      </w:r>
      <w:r w:rsidRPr="00341826">
        <w:rPr>
          <w:rFonts w:ascii="Calibri" w:hAnsi="Calibri"/>
          <w:bCs/>
          <w:sz w:val="22"/>
          <w:szCs w:val="22"/>
          <w:u w:val="single"/>
        </w:rPr>
        <w:t xml:space="preserve">AVAILABILITY OF DATA, </w:t>
      </w:r>
      <w:r w:rsidRPr="00341826">
        <w:rPr>
          <w:rFonts w:ascii="Calibri" w:hAnsi="Calibri"/>
          <w:bCs/>
          <w:sz w:val="22"/>
          <w:szCs w:val="22"/>
          <w:u w:val="single"/>
        </w:rPr>
        <w:lastRenderedPageBreak/>
        <w:t>FREQUENCY OF COLLECTION, CLARITY OF INSTRUCTIONS AND FORMS, AND DATA ELEMENTS</w:t>
      </w:r>
      <w:r w:rsidRPr="00341826" w:rsidR="00293354">
        <w:rPr>
          <w:rFonts w:ascii="Calibri" w:hAnsi="Calibri"/>
          <w:bCs/>
          <w:sz w:val="22"/>
          <w:szCs w:val="22"/>
          <w:u w:val="single"/>
        </w:rPr>
        <w:t xml:space="preserve"> </w:t>
      </w:r>
    </w:p>
    <w:p w:rsidRPr="003127E4" w:rsidR="007E2EEB" w:rsidRDefault="007E2EEB" w14:paraId="33CDBF7E" w14:textId="77777777">
      <w:pPr>
        <w:rPr>
          <w:rFonts w:ascii="Calibri" w:hAnsi="Calibri"/>
          <w:sz w:val="22"/>
          <w:szCs w:val="22"/>
        </w:rPr>
      </w:pPr>
    </w:p>
    <w:p w:rsidRPr="003127E4" w:rsidR="007E2EEB" w:rsidRDefault="002F3136" w14:paraId="77380EA6" w14:textId="118D3CC7">
      <w:pPr>
        <w:ind w:left="720"/>
        <w:rPr>
          <w:rFonts w:ascii="Calibri" w:hAnsi="Calibri"/>
          <w:sz w:val="22"/>
          <w:szCs w:val="22"/>
        </w:rPr>
      </w:pPr>
      <w:r w:rsidRPr="002F3136">
        <w:rPr>
          <w:rFonts w:ascii="Calibri" w:hAnsi="Calibri"/>
          <w:sz w:val="22"/>
          <w:szCs w:val="22"/>
        </w:rPr>
        <w:t xml:space="preserve">We received no comments during the public comment period in response to the Federal Register notice (87 FR 20518), dated </w:t>
      </w:r>
      <w:r>
        <w:rPr>
          <w:rFonts w:ascii="Calibri" w:hAnsi="Calibri"/>
          <w:sz w:val="22"/>
          <w:szCs w:val="22"/>
        </w:rPr>
        <w:t>April 7, 2022</w:t>
      </w:r>
      <w:r w:rsidRPr="002F3136">
        <w:rPr>
          <w:rFonts w:ascii="Calibri" w:hAnsi="Calibri"/>
          <w:sz w:val="22"/>
          <w:szCs w:val="22"/>
        </w:rPr>
        <w:t>.</w:t>
      </w:r>
    </w:p>
    <w:p w:rsidRPr="003127E4" w:rsidR="007E2EEB" w:rsidRDefault="007E2EEB" w14:paraId="3C96FA41" w14:textId="77777777">
      <w:pPr>
        <w:tabs>
          <w:tab w:val="center" w:pos="4680"/>
        </w:tabs>
        <w:rPr>
          <w:rFonts w:ascii="Calibri" w:hAnsi="Calibri"/>
          <w:sz w:val="22"/>
          <w:szCs w:val="22"/>
        </w:rPr>
      </w:pPr>
    </w:p>
    <w:p w:rsidRPr="00341826" w:rsidR="007E2EEB" w:rsidP="00341826" w:rsidRDefault="007E2EEB" w14:paraId="070B6483"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EXPLANATION OF DECISION TO PROVIDE ANY PAYMENT OR GIFT TO</w:t>
      </w:r>
      <w:r w:rsidRPr="00341826" w:rsidR="006E6E53">
        <w:rPr>
          <w:rFonts w:ascii="Calibri" w:hAnsi="Calibri"/>
          <w:bCs/>
          <w:sz w:val="22"/>
          <w:szCs w:val="22"/>
          <w:u w:val="single"/>
        </w:rPr>
        <w:t xml:space="preserve"> </w:t>
      </w:r>
      <w:r w:rsidRPr="00341826">
        <w:rPr>
          <w:rFonts w:ascii="Calibri" w:hAnsi="Calibri"/>
          <w:bCs/>
          <w:sz w:val="22"/>
          <w:szCs w:val="22"/>
          <w:u w:val="single"/>
        </w:rPr>
        <w:t>RESPONDENTS</w:t>
      </w:r>
    </w:p>
    <w:p w:rsidRPr="003127E4" w:rsidR="007E2EEB" w:rsidRDefault="007E2EEB" w14:paraId="5B1BA159" w14:textId="77777777">
      <w:pPr>
        <w:rPr>
          <w:rFonts w:ascii="Calibri" w:hAnsi="Calibri"/>
          <w:sz w:val="22"/>
          <w:szCs w:val="22"/>
        </w:rPr>
      </w:pPr>
    </w:p>
    <w:p w:rsidRPr="002A31A5" w:rsidR="006E6E53" w:rsidP="006E6E53" w:rsidRDefault="006E6E53" w14:paraId="4E09B02B"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64B83D7B" w14:textId="77777777">
      <w:pPr>
        <w:rPr>
          <w:rFonts w:ascii="Calibri" w:hAnsi="Calibri" w:cs="Calibri"/>
          <w:sz w:val="22"/>
          <w:szCs w:val="22"/>
        </w:rPr>
      </w:pPr>
    </w:p>
    <w:p w:rsidRPr="00341826" w:rsidR="007E2EEB" w:rsidP="00341826" w:rsidRDefault="007E2EEB" w14:paraId="0B1B8C0D"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ASSURANCE OF CONFIDENTIALITY OF RESPONSES</w:t>
      </w:r>
    </w:p>
    <w:p w:rsidRPr="003127E4" w:rsidR="007E2EEB" w:rsidRDefault="007E2EEB" w14:paraId="3AD88592" w14:textId="77777777">
      <w:pPr>
        <w:rPr>
          <w:rFonts w:ascii="Calibri" w:hAnsi="Calibri"/>
          <w:sz w:val="22"/>
          <w:szCs w:val="22"/>
        </w:rPr>
      </w:pPr>
    </w:p>
    <w:p w:rsidRPr="003127E4" w:rsidR="007E2EEB" w:rsidRDefault="007E2EEB" w14:paraId="1F890A62" w14:textId="6A0402AC">
      <w:pPr>
        <w:ind w:left="720"/>
        <w:rPr>
          <w:rFonts w:ascii="Calibri" w:hAnsi="Calibri"/>
          <w:sz w:val="22"/>
          <w:szCs w:val="22"/>
        </w:rPr>
      </w:pPr>
      <w:r w:rsidRPr="003127E4">
        <w:rPr>
          <w:rFonts w:ascii="Calibri" w:hAnsi="Calibri"/>
          <w:sz w:val="22"/>
          <w:szCs w:val="22"/>
        </w:rPr>
        <w:t>Generally, tax returns and tax return information are confidential as required by 26 U</w:t>
      </w:r>
      <w:r w:rsidR="00DD12F9">
        <w:rPr>
          <w:rFonts w:ascii="Calibri" w:hAnsi="Calibri"/>
          <w:sz w:val="22"/>
          <w:szCs w:val="22"/>
        </w:rPr>
        <w:t>.</w:t>
      </w:r>
      <w:r w:rsidRPr="003127E4">
        <w:rPr>
          <w:rFonts w:ascii="Calibri" w:hAnsi="Calibri"/>
          <w:sz w:val="22"/>
          <w:szCs w:val="22"/>
        </w:rPr>
        <w:t>S</w:t>
      </w:r>
      <w:r w:rsidR="00DD12F9">
        <w:rPr>
          <w:rFonts w:ascii="Calibri" w:hAnsi="Calibri"/>
          <w:sz w:val="22"/>
          <w:szCs w:val="22"/>
        </w:rPr>
        <w:t>.</w:t>
      </w:r>
      <w:r w:rsidRPr="003127E4">
        <w:rPr>
          <w:rFonts w:ascii="Calibri" w:hAnsi="Calibri"/>
          <w:sz w:val="22"/>
          <w:szCs w:val="22"/>
        </w:rPr>
        <w:t>C</w:t>
      </w:r>
      <w:r w:rsidR="00DD12F9">
        <w:rPr>
          <w:rFonts w:ascii="Calibri" w:hAnsi="Calibri"/>
          <w:sz w:val="22"/>
          <w:szCs w:val="22"/>
        </w:rPr>
        <w:t>.</w:t>
      </w:r>
      <w:r w:rsidRPr="003127E4">
        <w:rPr>
          <w:rFonts w:ascii="Calibri" w:hAnsi="Calibri"/>
          <w:sz w:val="22"/>
          <w:szCs w:val="22"/>
        </w:rPr>
        <w:t xml:space="preserve"> 6103.</w:t>
      </w:r>
    </w:p>
    <w:p w:rsidRPr="003127E4" w:rsidR="007E2EEB" w:rsidRDefault="007E2EEB" w14:paraId="67600AFF" w14:textId="77777777">
      <w:pPr>
        <w:rPr>
          <w:rFonts w:ascii="Calibri" w:hAnsi="Calibri"/>
          <w:sz w:val="22"/>
          <w:szCs w:val="22"/>
        </w:rPr>
      </w:pPr>
    </w:p>
    <w:p w:rsidRPr="00341826" w:rsidR="007E2EEB" w:rsidP="00341826" w:rsidRDefault="007E2EEB" w14:paraId="6A92B7B8"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JUSTIFICATION OF SENSITIVE QUESTIONS</w:t>
      </w:r>
    </w:p>
    <w:p w:rsidRPr="003127E4" w:rsidR="007E2EEB" w:rsidRDefault="007E2EEB" w14:paraId="199EFAF1" w14:textId="77777777">
      <w:pPr>
        <w:rPr>
          <w:rFonts w:ascii="Calibri" w:hAnsi="Calibri"/>
          <w:sz w:val="22"/>
          <w:szCs w:val="22"/>
          <w:u w:val="single"/>
        </w:rPr>
      </w:pPr>
    </w:p>
    <w:p w:rsidR="00044F37" w:rsidP="002F3136" w:rsidRDefault="00044F37" w14:paraId="3FE5F62D" w14:textId="4D0652BF">
      <w:pPr>
        <w:ind w:left="720"/>
        <w:rPr>
          <w:rFonts w:ascii="Calibri" w:hAnsi="Calibri"/>
          <w:sz w:val="22"/>
          <w:szCs w:val="22"/>
        </w:rPr>
      </w:pPr>
      <w:r w:rsidRPr="00044F37">
        <w:rPr>
          <w:rFonts w:ascii="Calibri" w:hAnsi="Calibri"/>
          <w:sz w:val="22"/>
          <w:szCs w:val="22"/>
        </w:rPr>
        <w:t>A privacy impact assessment (PIA) has been conducted for information collected under this request as part of the “</w:t>
      </w:r>
      <w:r w:rsidR="00F669A8">
        <w:rPr>
          <w:rFonts w:ascii="Calibri" w:hAnsi="Calibri"/>
          <w:sz w:val="22"/>
          <w:szCs w:val="22"/>
        </w:rPr>
        <w:t>Business</w:t>
      </w:r>
      <w:r w:rsidR="00F63BDE">
        <w:rPr>
          <w:rFonts w:ascii="Calibri" w:hAnsi="Calibri"/>
          <w:sz w:val="22"/>
          <w:szCs w:val="22"/>
        </w:rPr>
        <w:t xml:space="preserve"> Master File (</w:t>
      </w:r>
      <w:r w:rsidR="00F669A8">
        <w:rPr>
          <w:rFonts w:ascii="Calibri" w:hAnsi="Calibri"/>
          <w:sz w:val="22"/>
          <w:szCs w:val="22"/>
        </w:rPr>
        <w:t>B</w:t>
      </w:r>
      <w:r w:rsidR="00F63BDE">
        <w:rPr>
          <w:rFonts w:ascii="Calibri" w:hAnsi="Calibri"/>
          <w:sz w:val="22"/>
          <w:szCs w:val="22"/>
        </w:rPr>
        <w:t xml:space="preserve">MF)” </w:t>
      </w:r>
      <w:r w:rsidRPr="00044F37">
        <w:rPr>
          <w:rFonts w:ascii="Calibri" w:hAnsi="Calibri"/>
          <w:sz w:val="22"/>
          <w:szCs w:val="22"/>
        </w:rPr>
        <w:t>and a Privacy Act System of Records notice (SORN) has been issued for these systems under</w:t>
      </w:r>
      <w:r w:rsidR="00066407">
        <w:rPr>
          <w:rFonts w:ascii="Calibri" w:hAnsi="Calibri"/>
          <w:sz w:val="22"/>
          <w:szCs w:val="22"/>
        </w:rPr>
        <w:t xml:space="preserve"> </w:t>
      </w:r>
      <w:r w:rsidRPr="00066407" w:rsidR="00066407">
        <w:rPr>
          <w:rFonts w:ascii="Calibri" w:hAnsi="Calibri"/>
          <w:sz w:val="22"/>
          <w:szCs w:val="22"/>
        </w:rPr>
        <w:t xml:space="preserve">IRS 22.062 – Electronic Filing Records; IRS 24.030 – Customer Account Data Engine (CADE) Individual Master File; IRS 24.046 - CADE Business Master File (BMF); </w:t>
      </w:r>
      <w:r w:rsidR="002F3136">
        <w:rPr>
          <w:rFonts w:ascii="Calibri" w:hAnsi="Calibri"/>
          <w:sz w:val="22"/>
          <w:szCs w:val="22"/>
        </w:rPr>
        <w:t xml:space="preserve">and </w:t>
      </w:r>
      <w:r w:rsidRPr="00066407" w:rsidR="00066407">
        <w:rPr>
          <w:rFonts w:ascii="Calibri" w:hAnsi="Calibri"/>
          <w:sz w:val="22"/>
          <w:szCs w:val="22"/>
        </w:rPr>
        <w:t>IRS 34.037 - IRS Audit Trail and Security Records</w:t>
      </w:r>
      <w:r w:rsidR="002F3136">
        <w:rPr>
          <w:rFonts w:ascii="Calibri" w:hAnsi="Calibri"/>
          <w:sz w:val="22"/>
          <w:szCs w:val="22"/>
        </w:rPr>
        <w:t xml:space="preserve">. </w:t>
      </w:r>
      <w:bookmarkStart w:name="_Hlk90540730" w:id="2"/>
      <w:r w:rsidRPr="00453AD3" w:rsidR="002F3136">
        <w:rPr>
          <w:rFonts w:cs="Calibri" w:asciiTheme="minorHAnsi" w:hAnsiTheme="minorHAnsi"/>
          <w:bCs/>
          <w:sz w:val="22"/>
          <w:szCs w:val="22"/>
        </w:rPr>
        <w:t xml:space="preserve">The Internal Revenue Service PIAs can be found </w:t>
      </w:r>
      <w:bookmarkStart w:name="_Hlk96425022" w:id="3"/>
      <w:r w:rsidRPr="00453AD3" w:rsidR="002F3136">
        <w:rPr>
          <w:rFonts w:cs="Calibri" w:asciiTheme="minorHAnsi" w:hAnsiTheme="minorHAnsi"/>
          <w:bCs/>
          <w:sz w:val="22"/>
          <w:szCs w:val="22"/>
        </w:rPr>
        <w:t xml:space="preserve">at </w:t>
      </w:r>
      <w:bookmarkStart w:name="_Hlk90530558" w:id="4"/>
      <w:r w:rsidR="002F3136">
        <w:rPr>
          <w:rFonts w:cs="Calibri" w:asciiTheme="minorHAnsi" w:hAnsiTheme="minorHAnsi"/>
          <w:bCs/>
          <w:sz w:val="22"/>
          <w:szCs w:val="22"/>
        </w:rPr>
        <w:fldChar w:fldCharType="begin"/>
      </w:r>
      <w:r w:rsidR="002F3136">
        <w:rPr>
          <w:rFonts w:cs="Calibri" w:asciiTheme="minorHAnsi" w:hAnsiTheme="minorHAnsi"/>
          <w:bCs/>
          <w:sz w:val="22"/>
          <w:szCs w:val="22"/>
        </w:rPr>
        <w:instrText xml:space="preserve"> HYPERLINK "</w:instrText>
      </w:r>
      <w:r w:rsidRPr="008C6967" w:rsidR="002F3136">
        <w:rPr>
          <w:rFonts w:cs="Calibri" w:asciiTheme="minorHAnsi" w:hAnsiTheme="minorHAnsi"/>
          <w:bCs/>
          <w:sz w:val="22"/>
          <w:szCs w:val="22"/>
        </w:rPr>
        <w:instrText>https://www.irs.gov/privacy-disclosure/privacy-impact-assessments-pia</w:instrText>
      </w:r>
      <w:r w:rsidR="002F3136">
        <w:rPr>
          <w:rFonts w:cs="Calibri" w:asciiTheme="minorHAnsi" w:hAnsiTheme="minorHAnsi"/>
          <w:bCs/>
          <w:sz w:val="22"/>
          <w:szCs w:val="22"/>
        </w:rPr>
        <w:instrText xml:space="preserve">" </w:instrText>
      </w:r>
      <w:r w:rsidR="002F3136">
        <w:rPr>
          <w:rFonts w:cs="Calibri" w:asciiTheme="minorHAnsi" w:hAnsiTheme="minorHAnsi"/>
          <w:bCs/>
          <w:sz w:val="22"/>
          <w:szCs w:val="22"/>
        </w:rPr>
        <w:fldChar w:fldCharType="separate"/>
      </w:r>
      <w:r w:rsidRPr="007461BD" w:rsidR="002F3136">
        <w:rPr>
          <w:rStyle w:val="Hyperlink"/>
          <w:rFonts w:cs="Calibri" w:asciiTheme="minorHAnsi" w:hAnsiTheme="minorHAnsi"/>
          <w:bCs/>
          <w:sz w:val="22"/>
          <w:szCs w:val="22"/>
        </w:rPr>
        <w:t>https://www.irs.gov/privacy-disclosure/privacy-impact-assessments-pia</w:t>
      </w:r>
      <w:r w:rsidR="002F3136">
        <w:rPr>
          <w:rFonts w:cs="Calibri" w:asciiTheme="minorHAnsi" w:hAnsiTheme="minorHAnsi"/>
          <w:bCs/>
          <w:sz w:val="22"/>
          <w:szCs w:val="22"/>
        </w:rPr>
        <w:fldChar w:fldCharType="end"/>
      </w:r>
      <w:bookmarkEnd w:id="4"/>
      <w:r w:rsidRPr="00453AD3" w:rsidR="002F3136">
        <w:rPr>
          <w:rFonts w:cs="Calibri" w:asciiTheme="minorHAnsi" w:hAnsiTheme="minorHAnsi"/>
          <w:bCs/>
          <w:sz w:val="22"/>
          <w:szCs w:val="22"/>
        </w:rPr>
        <w:t>.</w:t>
      </w:r>
      <w:bookmarkEnd w:id="2"/>
      <w:bookmarkEnd w:id="3"/>
    </w:p>
    <w:p w:rsidRPr="00044F37" w:rsidR="0047289C" w:rsidP="00044F37" w:rsidRDefault="0047289C" w14:paraId="7421FE21" w14:textId="77777777">
      <w:pPr>
        <w:ind w:left="720"/>
        <w:rPr>
          <w:rFonts w:ascii="Calibri" w:hAnsi="Calibri"/>
          <w:sz w:val="22"/>
          <w:szCs w:val="22"/>
        </w:rPr>
      </w:pPr>
    </w:p>
    <w:p w:rsidR="002B177C" w:rsidP="00044F37" w:rsidRDefault="00044F37" w14:paraId="571F2A67" w14:textId="26DAAD8E">
      <w:pPr>
        <w:ind w:left="720"/>
        <w:rPr>
          <w:rFonts w:ascii="Calibri" w:hAnsi="Calibri"/>
          <w:sz w:val="22"/>
          <w:szCs w:val="22"/>
        </w:rPr>
      </w:pPr>
      <w:r w:rsidRPr="00044F37">
        <w:rPr>
          <w:rFonts w:ascii="Calibri" w:hAnsi="Calibri"/>
          <w:sz w:val="22"/>
          <w:szCs w:val="22"/>
        </w:rPr>
        <w:t>Title 26 U</w:t>
      </w:r>
      <w:r w:rsidR="002F3136">
        <w:rPr>
          <w:rFonts w:ascii="Calibri" w:hAnsi="Calibri"/>
          <w:sz w:val="22"/>
          <w:szCs w:val="22"/>
        </w:rPr>
        <w:t>.</w:t>
      </w:r>
      <w:r w:rsidRPr="00044F37">
        <w:rPr>
          <w:rFonts w:ascii="Calibri" w:hAnsi="Calibri"/>
          <w:sz w:val="22"/>
          <w:szCs w:val="22"/>
        </w:rPr>
        <w:t>S</w:t>
      </w:r>
      <w:r w:rsidR="002F3136">
        <w:rPr>
          <w:rFonts w:ascii="Calibri" w:hAnsi="Calibri"/>
          <w:sz w:val="22"/>
          <w:szCs w:val="22"/>
        </w:rPr>
        <w:t>.</w:t>
      </w:r>
      <w:r w:rsidRPr="00044F37">
        <w:rPr>
          <w:rFonts w:ascii="Calibri" w:hAnsi="Calibri"/>
          <w:sz w:val="22"/>
          <w:szCs w:val="22"/>
        </w:rPr>
        <w:t>C</w:t>
      </w:r>
      <w:r w:rsidR="002F3136">
        <w:rPr>
          <w:rFonts w:ascii="Calibri" w:hAnsi="Calibri"/>
          <w:sz w:val="22"/>
          <w:szCs w:val="22"/>
        </w:rPr>
        <w:t>.</w:t>
      </w:r>
      <w:r w:rsidRPr="00044F37">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F669A8" w:rsidP="00044F37" w:rsidRDefault="00F669A8" w14:paraId="61AA9957" w14:textId="77777777">
      <w:pPr>
        <w:ind w:left="720"/>
        <w:rPr>
          <w:rFonts w:ascii="Calibri" w:hAnsi="Calibri"/>
          <w:sz w:val="22"/>
          <w:szCs w:val="22"/>
        </w:rPr>
      </w:pPr>
    </w:p>
    <w:p w:rsidRPr="008A5F74" w:rsidR="008A5F74" w:rsidP="008A5F74" w:rsidRDefault="008A5F74" w14:paraId="68C99C55" w14:textId="36E77047">
      <w:pPr>
        <w:ind w:left="720"/>
        <w:rPr>
          <w:rFonts w:ascii="Calibri" w:hAnsi="Calibri"/>
          <w:sz w:val="22"/>
          <w:szCs w:val="22"/>
        </w:rPr>
      </w:pPr>
      <w:bookmarkStart w:name="_Hlk504987468" w:id="5"/>
      <w:r w:rsidRPr="008A5F74">
        <w:rPr>
          <w:rFonts w:ascii="Calibri" w:hAnsi="Calibri"/>
          <w:sz w:val="22"/>
          <w:szCs w:val="22"/>
        </w:rPr>
        <w:t>This is an attachment to the Federal tax return. The Privacy Act statement associated with this attachment is listed in the Federal tax return instructions.</w:t>
      </w:r>
    </w:p>
    <w:bookmarkEnd w:id="5"/>
    <w:p w:rsidR="003A5A1A" w:rsidP="00044F37" w:rsidRDefault="003A5A1A" w14:paraId="197F6124" w14:textId="77777777">
      <w:pPr>
        <w:ind w:left="720"/>
        <w:rPr>
          <w:rFonts w:ascii="Calibri" w:hAnsi="Calibri"/>
          <w:sz w:val="22"/>
          <w:szCs w:val="22"/>
        </w:rPr>
      </w:pPr>
    </w:p>
    <w:p w:rsidRPr="00341826" w:rsidR="007E2EEB" w:rsidP="00341826" w:rsidRDefault="007E2EEB" w14:paraId="46BE6A02"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BURDEN OF INFORMATION COLLECTION</w:t>
      </w:r>
    </w:p>
    <w:p w:rsidRPr="002F3136" w:rsidR="002113E1" w:rsidP="002F3136" w:rsidRDefault="002113E1" w14:paraId="11F5B6F4" w14:textId="77777777">
      <w:pPr>
        <w:ind w:left="720"/>
        <w:rPr>
          <w:rFonts w:ascii="Calibri" w:hAnsi="Calibri"/>
          <w:sz w:val="22"/>
          <w:szCs w:val="22"/>
        </w:rPr>
      </w:pPr>
    </w:p>
    <w:p w:rsidR="00DD12F9" w:rsidP="00DD12F9" w:rsidRDefault="00DD12F9" w14:paraId="79A7B057" w14:textId="20B2DAF3">
      <w:pPr>
        <w:ind w:left="720"/>
        <w:rPr>
          <w:rFonts w:ascii="Calibri" w:hAnsi="Calibri" w:cs="Calibri"/>
          <w:sz w:val="22"/>
          <w:szCs w:val="22"/>
        </w:rPr>
      </w:pPr>
      <w:r w:rsidRPr="00043875">
        <w:rPr>
          <w:rFonts w:ascii="Calibri" w:hAnsi="Calibri" w:cs="Calibri"/>
          <w:sz w:val="22"/>
          <w:szCs w:val="22"/>
        </w:rPr>
        <w:t>The estimated burden</w:t>
      </w:r>
      <w:r>
        <w:rPr>
          <w:rFonts w:ascii="Calibri" w:hAnsi="Calibri" w:cs="Calibri"/>
          <w:sz w:val="22"/>
          <w:szCs w:val="22"/>
        </w:rPr>
        <w:t>s</w:t>
      </w:r>
      <w:r w:rsidRPr="00043875">
        <w:rPr>
          <w:rFonts w:ascii="Calibri" w:hAnsi="Calibri" w:cs="Calibri"/>
          <w:sz w:val="22"/>
          <w:szCs w:val="22"/>
        </w:rPr>
        <w:t xml:space="preserve"> for individual and </w:t>
      </w:r>
      <w:r>
        <w:rPr>
          <w:rFonts w:ascii="Calibri" w:hAnsi="Calibri" w:cs="Calibri"/>
          <w:sz w:val="22"/>
          <w:szCs w:val="22"/>
        </w:rPr>
        <w:t>business filers</w:t>
      </w:r>
      <w:r w:rsidRPr="00043875">
        <w:rPr>
          <w:rFonts w:ascii="Calibri" w:hAnsi="Calibri" w:cs="Calibri"/>
          <w:sz w:val="22"/>
          <w:szCs w:val="22"/>
        </w:rPr>
        <w:t xml:space="preserve"> are included in the estimates for OMB control numbers 1545-0074 and 1545-0</w:t>
      </w:r>
      <w:r>
        <w:rPr>
          <w:rFonts w:ascii="Calibri" w:hAnsi="Calibri" w:cs="Calibri"/>
          <w:sz w:val="22"/>
          <w:szCs w:val="22"/>
        </w:rPr>
        <w:t>123</w:t>
      </w:r>
      <w:r w:rsidRPr="00043875">
        <w:rPr>
          <w:rFonts w:ascii="Calibri" w:hAnsi="Calibri" w:cs="Calibri"/>
          <w:sz w:val="22"/>
          <w:szCs w:val="22"/>
        </w:rPr>
        <w:t>.</w:t>
      </w:r>
    </w:p>
    <w:p w:rsidR="00DD12F9" w:rsidP="00DD12F9" w:rsidRDefault="00DD12F9" w14:paraId="3124FE88" w14:textId="77777777">
      <w:pPr>
        <w:ind w:left="720"/>
        <w:rPr>
          <w:rFonts w:ascii="Calibri" w:hAnsi="Calibri" w:cs="Calibri"/>
          <w:sz w:val="22"/>
          <w:szCs w:val="22"/>
        </w:rPr>
      </w:pPr>
    </w:p>
    <w:p w:rsidR="002113E1" w:rsidP="00DD12F9" w:rsidRDefault="00DD12F9" w14:paraId="1A787B85" w14:textId="01855EB8">
      <w:pPr>
        <w:ind w:left="720"/>
        <w:rPr>
          <w:rFonts w:ascii="Calibri" w:hAnsi="Calibri"/>
          <w:sz w:val="22"/>
          <w:szCs w:val="22"/>
        </w:rPr>
      </w:pPr>
      <w:r>
        <w:rPr>
          <w:rFonts w:asciiTheme="minorHAnsi" w:hAnsiTheme="minorHAnsi" w:cstheme="minorHAnsi"/>
          <w:sz w:val="22"/>
          <w:szCs w:val="22"/>
        </w:rPr>
        <w:t>This collection includes the estimated burden for estate</w:t>
      </w:r>
      <w:r w:rsidR="00CD6F63">
        <w:rPr>
          <w:rFonts w:asciiTheme="minorHAnsi" w:hAnsiTheme="minorHAnsi" w:cstheme="minorHAnsi"/>
          <w:sz w:val="22"/>
          <w:szCs w:val="22"/>
        </w:rPr>
        <w:t>s,</w:t>
      </w:r>
      <w:r>
        <w:rPr>
          <w:rFonts w:asciiTheme="minorHAnsi" w:hAnsiTheme="minorHAnsi" w:cstheme="minorHAnsi"/>
          <w:sz w:val="22"/>
          <w:szCs w:val="22"/>
        </w:rPr>
        <w:t xml:space="preserve"> trust</w:t>
      </w:r>
      <w:r w:rsidR="00CD6F63">
        <w:rPr>
          <w:rFonts w:asciiTheme="minorHAnsi" w:hAnsiTheme="minorHAnsi" w:cstheme="minorHAnsi"/>
          <w:sz w:val="22"/>
          <w:szCs w:val="22"/>
        </w:rPr>
        <w:t>s, and tax-exempt organizations</w:t>
      </w:r>
      <w:r>
        <w:rPr>
          <w:rFonts w:asciiTheme="minorHAnsi" w:hAnsiTheme="minorHAnsi" w:cstheme="minorHAnsi"/>
          <w:sz w:val="22"/>
          <w:szCs w:val="22"/>
        </w:rPr>
        <w:t xml:space="preserve"> required to file Form </w:t>
      </w:r>
      <w:r w:rsidR="00CD6F63">
        <w:rPr>
          <w:rFonts w:asciiTheme="minorHAnsi" w:hAnsiTheme="minorHAnsi" w:cstheme="minorHAnsi"/>
          <w:sz w:val="22"/>
          <w:szCs w:val="22"/>
        </w:rPr>
        <w:t>6198</w:t>
      </w:r>
      <w:r>
        <w:rPr>
          <w:rFonts w:asciiTheme="minorHAnsi" w:hAnsiTheme="minorHAnsi" w:cstheme="minorHAnsi"/>
          <w:sz w:val="22"/>
          <w:szCs w:val="22"/>
        </w:rPr>
        <w:t xml:space="preserve"> with their tax return. </w:t>
      </w:r>
      <w:r w:rsidRPr="00043875">
        <w:rPr>
          <w:rFonts w:ascii="Calibri" w:hAnsi="Calibri" w:cs="Calibri"/>
          <w:sz w:val="22"/>
          <w:szCs w:val="22"/>
        </w:rPr>
        <w:t xml:space="preserve">The IRS anticipates that there will be approximately </w:t>
      </w:r>
      <w:r w:rsidR="00CD6F63">
        <w:rPr>
          <w:rFonts w:ascii="Calibri" w:hAnsi="Calibri" w:cs="Calibri"/>
          <w:sz w:val="22"/>
          <w:szCs w:val="22"/>
        </w:rPr>
        <w:t>26,451</w:t>
      </w:r>
      <w:r w:rsidRPr="00043875">
        <w:rPr>
          <w:rFonts w:ascii="Calibri" w:hAnsi="Calibri" w:cs="Calibri"/>
          <w:sz w:val="22"/>
          <w:szCs w:val="22"/>
        </w:rPr>
        <w:t xml:space="preserve"> respondents annually, with a total estimated burden of </w:t>
      </w:r>
      <w:r w:rsidR="00CD6F63">
        <w:rPr>
          <w:rFonts w:ascii="Calibri" w:hAnsi="Calibri" w:cs="Calibri"/>
          <w:sz w:val="22"/>
          <w:szCs w:val="22"/>
        </w:rPr>
        <w:t>105,010</w:t>
      </w:r>
      <w:r w:rsidRPr="00043875">
        <w:rPr>
          <w:rFonts w:ascii="Calibri" w:hAnsi="Calibri" w:cs="Calibri"/>
          <w:sz w:val="22"/>
          <w:szCs w:val="22"/>
        </w:rPr>
        <w:t xml:space="preserve"> hours annually. The estimated burden is shown below.</w:t>
      </w:r>
      <w:r w:rsidR="002113E1">
        <w:rPr>
          <w:rFonts w:ascii="Calibri" w:hAnsi="Calibri"/>
          <w:sz w:val="22"/>
          <w:szCs w:val="22"/>
        </w:rPr>
        <w:t xml:space="preserve"> </w:t>
      </w:r>
    </w:p>
    <w:p w:rsidR="00CD6F63" w:rsidP="00DD12F9" w:rsidRDefault="00CD6F63" w14:paraId="748F61D4" w14:textId="3BA8E991">
      <w:pPr>
        <w:ind w:left="720"/>
        <w:rPr>
          <w:rFonts w:ascii="Calibri" w:hAnsi="Calibri"/>
          <w:sz w:val="22"/>
          <w:szCs w:val="22"/>
        </w:rPr>
      </w:pPr>
    </w:p>
    <w:tbl>
      <w:tblPr>
        <w:tblW w:w="864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2221"/>
        <w:gridCol w:w="1151"/>
        <w:gridCol w:w="1151"/>
        <w:gridCol w:w="1004"/>
        <w:gridCol w:w="945"/>
        <w:gridCol w:w="1088"/>
      </w:tblGrid>
      <w:tr w:rsidRPr="00124949" w:rsidR="00CD6F63" w:rsidTr="00DB7E8E" w14:paraId="76732EC3" w14:textId="77777777">
        <w:tc>
          <w:tcPr>
            <w:tcW w:w="1080" w:type="dxa"/>
            <w:shd w:val="clear" w:color="auto" w:fill="auto"/>
            <w:vAlign w:val="bottom"/>
          </w:tcPr>
          <w:p w:rsidRPr="00124949" w:rsidR="00CD6F63" w:rsidP="000D56E5" w:rsidRDefault="00CD6F63" w14:paraId="2F4AB5C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lastRenderedPageBreak/>
              <w:t>Authority</w:t>
            </w:r>
          </w:p>
        </w:tc>
        <w:tc>
          <w:tcPr>
            <w:tcW w:w="2221" w:type="dxa"/>
            <w:vAlign w:val="bottom"/>
          </w:tcPr>
          <w:p w:rsidRPr="00124949" w:rsidR="00CD6F63" w:rsidP="000D56E5" w:rsidRDefault="00CD6F63" w14:paraId="602D551C"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51" w:type="dxa"/>
            <w:vAlign w:val="bottom"/>
          </w:tcPr>
          <w:p w:rsidRPr="00124949" w:rsidR="00CD6F63" w:rsidP="000D56E5" w:rsidRDefault="00CD6F63" w14:paraId="4626F2A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51" w:type="dxa"/>
            <w:vAlign w:val="bottom"/>
          </w:tcPr>
          <w:p w:rsidRPr="00124949" w:rsidR="00CD6F63" w:rsidP="000D56E5" w:rsidRDefault="00CD6F63" w14:paraId="5F36F41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04" w:type="dxa"/>
            <w:shd w:val="clear" w:color="auto" w:fill="auto"/>
            <w:vAlign w:val="bottom"/>
          </w:tcPr>
          <w:p w:rsidRPr="00124949" w:rsidR="00CD6F63" w:rsidP="000D56E5" w:rsidRDefault="00CD6F63" w14:paraId="5A3DE10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945" w:type="dxa"/>
            <w:vAlign w:val="bottom"/>
          </w:tcPr>
          <w:p w:rsidRPr="00124949" w:rsidR="00CD6F63" w:rsidP="000D56E5" w:rsidRDefault="00CD6F63" w14:paraId="12EEB3DF"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088" w:type="dxa"/>
            <w:shd w:val="clear" w:color="auto" w:fill="auto"/>
            <w:vAlign w:val="bottom"/>
          </w:tcPr>
          <w:p w:rsidRPr="00124949" w:rsidR="00CD6F63" w:rsidP="000D56E5" w:rsidRDefault="00CD6F63" w14:paraId="6A771BD2"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rsidRPr="00124949" w:rsidR="00CD6F63" w:rsidTr="00DB7E8E" w14:paraId="65EDB140" w14:textId="77777777">
        <w:tc>
          <w:tcPr>
            <w:tcW w:w="1080" w:type="dxa"/>
            <w:shd w:val="clear" w:color="auto" w:fill="auto"/>
            <w:vAlign w:val="bottom"/>
          </w:tcPr>
          <w:p w:rsidRPr="00124949" w:rsidR="00CD6F63" w:rsidP="000D56E5" w:rsidRDefault="00CD6F63" w14:paraId="3BD5E920" w14:textId="2381316D">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r w:rsidR="00BA04FD">
              <w:rPr>
                <w:rFonts w:ascii="Arial Narrow" w:hAnsi="Arial Narrow"/>
                <w:sz w:val="18"/>
                <w:szCs w:val="18"/>
              </w:rPr>
              <w:t>465</w:t>
            </w:r>
          </w:p>
        </w:tc>
        <w:tc>
          <w:tcPr>
            <w:tcW w:w="2221" w:type="dxa"/>
            <w:vAlign w:val="bottom"/>
          </w:tcPr>
          <w:p w:rsidRPr="00124949" w:rsidR="00CD6F63" w:rsidP="000D56E5" w:rsidRDefault="00BA04FD" w14:paraId="185D34E3" w14:textId="5CCDBCF7">
            <w:pPr>
              <w:keepNext/>
              <w:keepLines/>
              <w:numPr>
                <w:ilvl w:val="12"/>
                <w:numId w:val="0"/>
              </w:numPr>
              <w:jc w:val="center"/>
              <w:rPr>
                <w:rFonts w:ascii="Arial Narrow" w:hAnsi="Arial Narrow"/>
                <w:sz w:val="18"/>
                <w:szCs w:val="18"/>
              </w:rPr>
            </w:pPr>
            <w:r>
              <w:rPr>
                <w:rFonts w:ascii="Arial Narrow" w:hAnsi="Arial Narrow"/>
                <w:sz w:val="18"/>
                <w:szCs w:val="18"/>
              </w:rPr>
              <w:t>Form 6198</w:t>
            </w:r>
            <w:r w:rsidR="00DB7E8E">
              <w:rPr>
                <w:rFonts w:ascii="Arial Narrow" w:hAnsi="Arial Narrow"/>
                <w:sz w:val="18"/>
                <w:szCs w:val="18"/>
              </w:rPr>
              <w:t xml:space="preserve"> – Estates/Trusts</w:t>
            </w:r>
          </w:p>
        </w:tc>
        <w:tc>
          <w:tcPr>
            <w:tcW w:w="1151" w:type="dxa"/>
            <w:vAlign w:val="bottom"/>
          </w:tcPr>
          <w:p w:rsidRPr="00124949" w:rsidR="00CD6F63" w:rsidP="000D56E5" w:rsidRDefault="00BA04FD" w14:paraId="4AC2AE26" w14:textId="4239B4BC">
            <w:pPr>
              <w:keepNext/>
              <w:keepLines/>
              <w:numPr>
                <w:ilvl w:val="12"/>
                <w:numId w:val="0"/>
              </w:numPr>
              <w:jc w:val="center"/>
              <w:rPr>
                <w:rFonts w:ascii="Arial Narrow" w:hAnsi="Arial Narrow"/>
                <w:sz w:val="18"/>
                <w:szCs w:val="18"/>
              </w:rPr>
            </w:pPr>
            <w:r>
              <w:rPr>
                <w:rFonts w:ascii="Arial Narrow" w:hAnsi="Arial Narrow"/>
                <w:sz w:val="18"/>
                <w:szCs w:val="18"/>
              </w:rPr>
              <w:t>26,4</w:t>
            </w:r>
            <w:r w:rsidR="00DB7E8E">
              <w:rPr>
                <w:rFonts w:ascii="Arial Narrow" w:hAnsi="Arial Narrow"/>
                <w:sz w:val="18"/>
                <w:szCs w:val="18"/>
              </w:rPr>
              <w:t>0</w:t>
            </w:r>
            <w:r>
              <w:rPr>
                <w:rFonts w:ascii="Arial Narrow" w:hAnsi="Arial Narrow"/>
                <w:sz w:val="18"/>
                <w:szCs w:val="18"/>
              </w:rPr>
              <w:t>1</w:t>
            </w:r>
          </w:p>
        </w:tc>
        <w:tc>
          <w:tcPr>
            <w:tcW w:w="1151" w:type="dxa"/>
            <w:vAlign w:val="bottom"/>
          </w:tcPr>
          <w:p w:rsidRPr="00124949" w:rsidR="00CD6F63" w:rsidP="000D56E5" w:rsidRDefault="00BA04FD" w14:paraId="299FBECC" w14:textId="034E471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04" w:type="dxa"/>
            <w:shd w:val="clear" w:color="auto" w:fill="auto"/>
            <w:vAlign w:val="bottom"/>
          </w:tcPr>
          <w:p w:rsidRPr="00124949" w:rsidR="00CD6F63" w:rsidP="000D56E5" w:rsidRDefault="00BA04FD" w14:paraId="70676D86" w14:textId="1C6223F9">
            <w:pPr>
              <w:keepNext/>
              <w:keepLines/>
              <w:numPr>
                <w:ilvl w:val="12"/>
                <w:numId w:val="0"/>
              </w:numPr>
              <w:jc w:val="center"/>
              <w:rPr>
                <w:rFonts w:ascii="Arial Narrow" w:hAnsi="Arial Narrow"/>
                <w:sz w:val="18"/>
                <w:szCs w:val="18"/>
              </w:rPr>
            </w:pPr>
            <w:r>
              <w:rPr>
                <w:rFonts w:ascii="Arial Narrow" w:hAnsi="Arial Narrow"/>
                <w:sz w:val="18"/>
                <w:szCs w:val="18"/>
              </w:rPr>
              <w:t>26,4</w:t>
            </w:r>
            <w:r w:rsidR="007B321B">
              <w:rPr>
                <w:rFonts w:ascii="Arial Narrow" w:hAnsi="Arial Narrow"/>
                <w:sz w:val="18"/>
                <w:szCs w:val="18"/>
              </w:rPr>
              <w:t>0</w:t>
            </w:r>
            <w:r>
              <w:rPr>
                <w:rFonts w:ascii="Arial Narrow" w:hAnsi="Arial Narrow"/>
                <w:sz w:val="18"/>
                <w:szCs w:val="18"/>
              </w:rPr>
              <w:t>1</w:t>
            </w:r>
          </w:p>
        </w:tc>
        <w:tc>
          <w:tcPr>
            <w:tcW w:w="945" w:type="dxa"/>
            <w:vAlign w:val="bottom"/>
          </w:tcPr>
          <w:p w:rsidRPr="00124949" w:rsidR="00CD6F63" w:rsidP="000D56E5" w:rsidRDefault="00BA04FD" w14:paraId="4AE1B094" w14:textId="4E5D9F8E">
            <w:pPr>
              <w:keepNext/>
              <w:keepLines/>
              <w:numPr>
                <w:ilvl w:val="12"/>
                <w:numId w:val="0"/>
              </w:numPr>
              <w:jc w:val="center"/>
              <w:rPr>
                <w:rFonts w:ascii="Arial Narrow" w:hAnsi="Arial Narrow"/>
                <w:sz w:val="18"/>
                <w:szCs w:val="18"/>
              </w:rPr>
            </w:pPr>
            <w:r>
              <w:rPr>
                <w:rFonts w:ascii="Arial Narrow" w:hAnsi="Arial Narrow"/>
                <w:sz w:val="18"/>
                <w:szCs w:val="18"/>
              </w:rPr>
              <w:t>3.97</w:t>
            </w:r>
          </w:p>
        </w:tc>
        <w:tc>
          <w:tcPr>
            <w:tcW w:w="1088" w:type="dxa"/>
            <w:shd w:val="clear" w:color="auto" w:fill="auto"/>
            <w:vAlign w:val="bottom"/>
          </w:tcPr>
          <w:p w:rsidRPr="00124949" w:rsidR="00CD6F63" w:rsidP="000D56E5" w:rsidRDefault="00BA04FD" w14:paraId="4F400431" w14:textId="6C8733AB">
            <w:pPr>
              <w:keepNext/>
              <w:keepLines/>
              <w:numPr>
                <w:ilvl w:val="12"/>
                <w:numId w:val="0"/>
              </w:numPr>
              <w:jc w:val="center"/>
              <w:rPr>
                <w:rFonts w:ascii="Arial Narrow" w:hAnsi="Arial Narrow"/>
                <w:sz w:val="18"/>
                <w:szCs w:val="18"/>
              </w:rPr>
            </w:pPr>
            <w:r>
              <w:rPr>
                <w:rFonts w:ascii="Arial Narrow" w:hAnsi="Arial Narrow"/>
                <w:sz w:val="18"/>
                <w:szCs w:val="18"/>
              </w:rPr>
              <w:t>10</w:t>
            </w:r>
            <w:r w:rsidR="00DB7E8E">
              <w:rPr>
                <w:rFonts w:ascii="Arial Narrow" w:hAnsi="Arial Narrow"/>
                <w:sz w:val="18"/>
                <w:szCs w:val="18"/>
              </w:rPr>
              <w:t>4,812</w:t>
            </w:r>
          </w:p>
        </w:tc>
      </w:tr>
      <w:tr w:rsidRPr="00124949" w:rsidR="00DB7E8E" w:rsidTr="00DB7E8E" w14:paraId="36E74876" w14:textId="77777777">
        <w:tc>
          <w:tcPr>
            <w:tcW w:w="1080" w:type="dxa"/>
            <w:shd w:val="clear" w:color="auto" w:fill="auto"/>
            <w:vAlign w:val="bottom"/>
          </w:tcPr>
          <w:p w:rsidR="00DB7E8E" w:rsidP="000D56E5" w:rsidRDefault="00DB7E8E" w14:paraId="0EF88C7D" w14:textId="726C35BA">
            <w:pPr>
              <w:keepNext/>
              <w:keepLines/>
              <w:numPr>
                <w:ilvl w:val="12"/>
                <w:numId w:val="0"/>
              </w:numPr>
              <w:jc w:val="center"/>
              <w:rPr>
                <w:rFonts w:ascii="Arial Narrow" w:hAnsi="Arial Narrow"/>
                <w:sz w:val="18"/>
                <w:szCs w:val="18"/>
              </w:rPr>
            </w:pPr>
            <w:r>
              <w:rPr>
                <w:rFonts w:ascii="Arial Narrow" w:hAnsi="Arial Narrow"/>
                <w:sz w:val="18"/>
                <w:szCs w:val="18"/>
              </w:rPr>
              <w:t>IRC 465</w:t>
            </w:r>
          </w:p>
        </w:tc>
        <w:tc>
          <w:tcPr>
            <w:tcW w:w="2221" w:type="dxa"/>
            <w:vAlign w:val="bottom"/>
          </w:tcPr>
          <w:p w:rsidR="00DB7E8E" w:rsidP="000D56E5" w:rsidRDefault="00DB7E8E" w14:paraId="70323F92" w14:textId="7E142C7D">
            <w:pPr>
              <w:keepNext/>
              <w:keepLines/>
              <w:numPr>
                <w:ilvl w:val="12"/>
                <w:numId w:val="0"/>
              </w:numPr>
              <w:jc w:val="center"/>
              <w:rPr>
                <w:rFonts w:ascii="Arial Narrow" w:hAnsi="Arial Narrow"/>
                <w:sz w:val="18"/>
                <w:szCs w:val="18"/>
              </w:rPr>
            </w:pPr>
            <w:r>
              <w:rPr>
                <w:rFonts w:ascii="Arial Narrow" w:hAnsi="Arial Narrow"/>
                <w:sz w:val="18"/>
                <w:szCs w:val="18"/>
              </w:rPr>
              <w:t>Form 6198 – Exempt Organizations</w:t>
            </w:r>
          </w:p>
        </w:tc>
        <w:tc>
          <w:tcPr>
            <w:tcW w:w="1151" w:type="dxa"/>
            <w:vAlign w:val="bottom"/>
          </w:tcPr>
          <w:p w:rsidR="00DB7E8E" w:rsidP="000D56E5" w:rsidRDefault="00DB7E8E" w14:paraId="52BDABAA" w14:textId="72CAEC82">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51" w:type="dxa"/>
            <w:vAlign w:val="bottom"/>
          </w:tcPr>
          <w:p w:rsidR="00DB7E8E" w:rsidP="000D56E5" w:rsidRDefault="00DB7E8E" w14:paraId="516F7AB0" w14:textId="6DE02B7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04" w:type="dxa"/>
            <w:shd w:val="clear" w:color="auto" w:fill="auto"/>
            <w:vAlign w:val="bottom"/>
          </w:tcPr>
          <w:p w:rsidR="00DB7E8E" w:rsidP="000D56E5" w:rsidRDefault="00DB7E8E" w14:paraId="3CC29B4A" w14:textId="38DEF9AE">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945" w:type="dxa"/>
            <w:vAlign w:val="bottom"/>
          </w:tcPr>
          <w:p w:rsidR="00DB7E8E" w:rsidP="000D56E5" w:rsidRDefault="00DB7E8E" w14:paraId="10CC2833" w14:textId="5A253E07">
            <w:pPr>
              <w:keepNext/>
              <w:keepLines/>
              <w:numPr>
                <w:ilvl w:val="12"/>
                <w:numId w:val="0"/>
              </w:numPr>
              <w:jc w:val="center"/>
              <w:rPr>
                <w:rFonts w:ascii="Arial Narrow" w:hAnsi="Arial Narrow"/>
                <w:sz w:val="18"/>
                <w:szCs w:val="18"/>
              </w:rPr>
            </w:pPr>
            <w:r>
              <w:rPr>
                <w:rFonts w:ascii="Arial Narrow" w:hAnsi="Arial Narrow"/>
                <w:sz w:val="18"/>
                <w:szCs w:val="18"/>
              </w:rPr>
              <w:t>3.97</w:t>
            </w:r>
          </w:p>
        </w:tc>
        <w:tc>
          <w:tcPr>
            <w:tcW w:w="1088" w:type="dxa"/>
            <w:shd w:val="clear" w:color="auto" w:fill="auto"/>
            <w:vAlign w:val="bottom"/>
          </w:tcPr>
          <w:p w:rsidR="00DB7E8E" w:rsidP="000D56E5" w:rsidRDefault="007B321B" w14:paraId="032ED67E" w14:textId="1184B303">
            <w:pPr>
              <w:keepNext/>
              <w:keepLines/>
              <w:numPr>
                <w:ilvl w:val="12"/>
                <w:numId w:val="0"/>
              </w:numPr>
              <w:jc w:val="center"/>
              <w:rPr>
                <w:rFonts w:ascii="Arial Narrow" w:hAnsi="Arial Narrow"/>
                <w:sz w:val="18"/>
                <w:szCs w:val="18"/>
              </w:rPr>
            </w:pPr>
            <w:r>
              <w:rPr>
                <w:rFonts w:ascii="Arial Narrow" w:hAnsi="Arial Narrow"/>
                <w:sz w:val="18"/>
                <w:szCs w:val="18"/>
              </w:rPr>
              <w:t>199</w:t>
            </w:r>
          </w:p>
        </w:tc>
      </w:tr>
      <w:tr w:rsidRPr="00124949" w:rsidR="00CD6F63" w:rsidTr="00DB7E8E" w14:paraId="3E85734E" w14:textId="77777777">
        <w:tc>
          <w:tcPr>
            <w:tcW w:w="1080" w:type="dxa"/>
            <w:shd w:val="clear" w:color="auto" w:fill="auto"/>
            <w:vAlign w:val="bottom"/>
          </w:tcPr>
          <w:p w:rsidRPr="00124949" w:rsidR="00CD6F63" w:rsidP="000D56E5" w:rsidRDefault="00CD6F63" w14:paraId="6AB5E234"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2221" w:type="dxa"/>
            <w:vAlign w:val="bottom"/>
          </w:tcPr>
          <w:p w:rsidRPr="00124949" w:rsidR="00CD6F63" w:rsidP="000D56E5" w:rsidRDefault="00CD6F63" w14:paraId="5EB3CBB1" w14:textId="77777777">
            <w:pPr>
              <w:keepNext/>
              <w:keepLines/>
              <w:numPr>
                <w:ilvl w:val="12"/>
                <w:numId w:val="0"/>
              </w:numPr>
              <w:jc w:val="center"/>
              <w:rPr>
                <w:rFonts w:ascii="Arial Narrow" w:hAnsi="Arial Narrow"/>
                <w:b/>
                <w:bCs/>
                <w:sz w:val="18"/>
                <w:szCs w:val="18"/>
              </w:rPr>
            </w:pPr>
          </w:p>
        </w:tc>
        <w:tc>
          <w:tcPr>
            <w:tcW w:w="1151" w:type="dxa"/>
            <w:vAlign w:val="bottom"/>
          </w:tcPr>
          <w:p w:rsidRPr="00124949" w:rsidR="00CD6F63" w:rsidP="000D56E5" w:rsidRDefault="007B321B" w14:paraId="329A273C" w14:textId="0199FDBB">
            <w:pPr>
              <w:keepNext/>
              <w:keepLines/>
              <w:numPr>
                <w:ilvl w:val="12"/>
                <w:numId w:val="0"/>
              </w:numPr>
              <w:jc w:val="center"/>
              <w:rPr>
                <w:rFonts w:ascii="Arial Narrow" w:hAnsi="Arial Narrow"/>
                <w:b/>
                <w:bCs/>
                <w:sz w:val="18"/>
                <w:szCs w:val="18"/>
              </w:rPr>
            </w:pPr>
            <w:r>
              <w:rPr>
                <w:rFonts w:ascii="Arial Narrow" w:hAnsi="Arial Narrow"/>
                <w:b/>
                <w:bCs/>
                <w:sz w:val="18"/>
                <w:szCs w:val="18"/>
              </w:rPr>
              <w:t>26,451</w:t>
            </w:r>
          </w:p>
        </w:tc>
        <w:tc>
          <w:tcPr>
            <w:tcW w:w="1151" w:type="dxa"/>
            <w:vAlign w:val="bottom"/>
          </w:tcPr>
          <w:p w:rsidRPr="00124949" w:rsidR="00CD6F63" w:rsidP="000D56E5" w:rsidRDefault="00CD6F63" w14:paraId="5EDFEBC8" w14:textId="77777777">
            <w:pPr>
              <w:keepNext/>
              <w:keepLines/>
              <w:numPr>
                <w:ilvl w:val="12"/>
                <w:numId w:val="0"/>
              </w:numPr>
              <w:jc w:val="center"/>
              <w:rPr>
                <w:rFonts w:ascii="Arial Narrow" w:hAnsi="Arial Narrow"/>
                <w:b/>
                <w:bCs/>
                <w:sz w:val="18"/>
                <w:szCs w:val="18"/>
              </w:rPr>
            </w:pPr>
          </w:p>
        </w:tc>
        <w:tc>
          <w:tcPr>
            <w:tcW w:w="1004" w:type="dxa"/>
            <w:shd w:val="clear" w:color="auto" w:fill="auto"/>
            <w:vAlign w:val="bottom"/>
          </w:tcPr>
          <w:p w:rsidRPr="00124949" w:rsidR="00CD6F63" w:rsidP="000D56E5" w:rsidRDefault="007B321B" w14:paraId="4F654055" w14:textId="614C4332">
            <w:pPr>
              <w:keepNext/>
              <w:keepLines/>
              <w:numPr>
                <w:ilvl w:val="12"/>
                <w:numId w:val="0"/>
              </w:numPr>
              <w:jc w:val="center"/>
              <w:rPr>
                <w:rFonts w:ascii="Arial Narrow" w:hAnsi="Arial Narrow"/>
                <w:b/>
                <w:bCs/>
                <w:sz w:val="18"/>
                <w:szCs w:val="18"/>
              </w:rPr>
            </w:pPr>
            <w:r>
              <w:rPr>
                <w:rFonts w:ascii="Arial Narrow" w:hAnsi="Arial Narrow"/>
                <w:b/>
                <w:bCs/>
                <w:sz w:val="18"/>
                <w:szCs w:val="18"/>
              </w:rPr>
              <w:t>26,451</w:t>
            </w:r>
          </w:p>
        </w:tc>
        <w:tc>
          <w:tcPr>
            <w:tcW w:w="945" w:type="dxa"/>
            <w:vAlign w:val="bottom"/>
          </w:tcPr>
          <w:p w:rsidRPr="00124949" w:rsidR="00CD6F63" w:rsidP="000D56E5" w:rsidRDefault="00CD6F63" w14:paraId="7A61CD33" w14:textId="77777777">
            <w:pPr>
              <w:keepNext/>
              <w:keepLines/>
              <w:numPr>
                <w:ilvl w:val="12"/>
                <w:numId w:val="0"/>
              </w:numPr>
              <w:jc w:val="center"/>
              <w:rPr>
                <w:rFonts w:ascii="Arial Narrow" w:hAnsi="Arial Narrow"/>
                <w:b/>
                <w:bCs/>
                <w:sz w:val="18"/>
                <w:szCs w:val="18"/>
              </w:rPr>
            </w:pPr>
          </w:p>
        </w:tc>
        <w:tc>
          <w:tcPr>
            <w:tcW w:w="1088" w:type="dxa"/>
            <w:shd w:val="clear" w:color="auto" w:fill="auto"/>
            <w:vAlign w:val="bottom"/>
          </w:tcPr>
          <w:p w:rsidRPr="00124949" w:rsidR="00CD6F63" w:rsidP="000D56E5" w:rsidRDefault="007B321B" w14:paraId="150A12F1" w14:textId="78A6E784">
            <w:pPr>
              <w:keepNext/>
              <w:keepLines/>
              <w:numPr>
                <w:ilvl w:val="12"/>
                <w:numId w:val="0"/>
              </w:numPr>
              <w:jc w:val="center"/>
              <w:rPr>
                <w:rFonts w:ascii="Arial Narrow" w:hAnsi="Arial Narrow"/>
                <w:b/>
                <w:bCs/>
                <w:sz w:val="18"/>
                <w:szCs w:val="18"/>
              </w:rPr>
            </w:pPr>
            <w:r>
              <w:rPr>
                <w:rFonts w:ascii="Arial Narrow" w:hAnsi="Arial Narrow"/>
                <w:b/>
                <w:bCs/>
                <w:sz w:val="18"/>
                <w:szCs w:val="18"/>
              </w:rPr>
              <w:t>105,010</w:t>
            </w:r>
          </w:p>
        </w:tc>
      </w:tr>
    </w:tbl>
    <w:p w:rsidRPr="002113E1" w:rsidR="00CD6F63" w:rsidP="00DD12F9" w:rsidRDefault="00CD6F63" w14:paraId="5A15461A" w14:textId="77777777">
      <w:pPr>
        <w:ind w:left="720"/>
        <w:rPr>
          <w:rFonts w:ascii="Calibri" w:hAnsi="Calibri"/>
          <w:sz w:val="22"/>
          <w:szCs w:val="22"/>
        </w:rPr>
      </w:pPr>
    </w:p>
    <w:p w:rsidRPr="00BA04FD" w:rsidR="00FA3A49" w:rsidP="00BA04FD" w:rsidRDefault="00FA3A49" w14:paraId="20EFF0E6" w14:textId="0641DBBF">
      <w:pPr>
        <w:ind w:left="720"/>
        <w:rPr>
          <w:rFonts w:asciiTheme="minorHAnsi" w:hAnsiTheme="minorHAnsi" w:cstheme="minorHAnsi"/>
          <w:sz w:val="22"/>
          <w:szCs w:val="22"/>
        </w:rPr>
      </w:pPr>
      <w:r w:rsidRPr="00BA04FD">
        <w:rPr>
          <w:rFonts w:asciiTheme="minorHAnsi" w:hAnsiTheme="minorHAnsi" w:cstheme="minorHAnsi"/>
          <w:sz w:val="22"/>
          <w:szCs w:val="22"/>
        </w:rPr>
        <w:t>The following regulations impose no additional burden</w:t>
      </w:r>
      <w:r w:rsidRPr="00BA04FD" w:rsidR="00BA04FD">
        <w:rPr>
          <w:rFonts w:asciiTheme="minorHAnsi" w:hAnsiTheme="minorHAnsi" w:cstheme="minorHAnsi"/>
          <w:sz w:val="22"/>
          <w:szCs w:val="22"/>
        </w:rPr>
        <w:t xml:space="preserve">. </w:t>
      </w:r>
      <w:r w:rsidRPr="00BA04FD">
        <w:rPr>
          <w:rFonts w:asciiTheme="minorHAnsi" w:hAnsiTheme="minorHAnsi" w:cstheme="minorHAnsi"/>
          <w:sz w:val="22"/>
          <w:szCs w:val="22"/>
        </w:rPr>
        <w:t>Please continue to assign OMB number 1545-0712 these regulations.</w:t>
      </w:r>
    </w:p>
    <w:p w:rsidR="00FA3A49" w:rsidP="00BA04FD" w:rsidRDefault="00FA3A49" w14:paraId="2FF96C91" w14:textId="015C33D6">
      <w:pPr>
        <w:ind w:left="720"/>
        <w:rPr>
          <w:rFonts w:asciiTheme="minorHAnsi" w:hAnsiTheme="minorHAnsi" w:cstheme="minorHAnsi"/>
          <w:sz w:val="22"/>
          <w:szCs w:val="22"/>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6"/>
        <w:gridCol w:w="2155"/>
        <w:gridCol w:w="2173"/>
        <w:gridCol w:w="2156"/>
      </w:tblGrid>
      <w:tr w:rsidR="00BA04FD" w:rsidTr="00046F28" w14:paraId="55A07B51" w14:textId="77777777">
        <w:tc>
          <w:tcPr>
            <w:tcW w:w="2337" w:type="dxa"/>
          </w:tcPr>
          <w:p w:rsidR="00BA04FD" w:rsidP="00046F28" w:rsidRDefault="00BA04FD" w14:paraId="050C0696" w14:textId="0E0F7DB9">
            <w:pPr>
              <w:jc w:val="center"/>
              <w:rPr>
                <w:rFonts w:asciiTheme="minorHAnsi" w:hAnsiTheme="minorHAnsi" w:cstheme="minorHAnsi"/>
                <w:sz w:val="22"/>
                <w:szCs w:val="22"/>
              </w:rPr>
            </w:pPr>
            <w:r>
              <w:rPr>
                <w:rFonts w:asciiTheme="minorHAnsi" w:hAnsiTheme="minorHAnsi" w:cstheme="minorHAnsi"/>
                <w:sz w:val="22"/>
                <w:szCs w:val="22"/>
              </w:rPr>
              <w:t>1.465-1T</w:t>
            </w:r>
          </w:p>
        </w:tc>
        <w:tc>
          <w:tcPr>
            <w:tcW w:w="2337" w:type="dxa"/>
          </w:tcPr>
          <w:p w:rsidR="00BA04FD" w:rsidP="00046F28" w:rsidRDefault="00BA04FD" w14:paraId="39656350" w14:textId="4A3E2841">
            <w:pPr>
              <w:jc w:val="center"/>
              <w:rPr>
                <w:rFonts w:asciiTheme="minorHAnsi" w:hAnsiTheme="minorHAnsi" w:cstheme="minorHAnsi"/>
                <w:sz w:val="22"/>
                <w:szCs w:val="22"/>
              </w:rPr>
            </w:pPr>
            <w:r>
              <w:rPr>
                <w:rFonts w:asciiTheme="minorHAnsi" w:hAnsiTheme="minorHAnsi" w:cstheme="minorHAnsi"/>
                <w:sz w:val="22"/>
                <w:szCs w:val="22"/>
              </w:rPr>
              <w:t>1.465-8</w:t>
            </w:r>
          </w:p>
        </w:tc>
        <w:tc>
          <w:tcPr>
            <w:tcW w:w="2338" w:type="dxa"/>
          </w:tcPr>
          <w:p w:rsidR="00BA04FD" w:rsidP="00046F28" w:rsidRDefault="00BA04FD" w14:paraId="019FBE19" w14:textId="675BDF9A">
            <w:pPr>
              <w:jc w:val="center"/>
              <w:rPr>
                <w:rFonts w:asciiTheme="minorHAnsi" w:hAnsiTheme="minorHAnsi" w:cstheme="minorHAnsi"/>
                <w:sz w:val="22"/>
                <w:szCs w:val="22"/>
              </w:rPr>
            </w:pPr>
            <w:r>
              <w:rPr>
                <w:rFonts w:asciiTheme="minorHAnsi" w:hAnsiTheme="minorHAnsi" w:cstheme="minorHAnsi"/>
                <w:sz w:val="22"/>
                <w:szCs w:val="22"/>
              </w:rPr>
              <w:t>7.465-1 through 5</w:t>
            </w:r>
          </w:p>
        </w:tc>
        <w:tc>
          <w:tcPr>
            <w:tcW w:w="2338" w:type="dxa"/>
          </w:tcPr>
          <w:p w:rsidR="00BA04FD" w:rsidP="00046F28" w:rsidRDefault="00BA04FD" w14:paraId="684C63E0" w14:textId="7CB3194B">
            <w:pPr>
              <w:jc w:val="center"/>
              <w:rPr>
                <w:rFonts w:asciiTheme="minorHAnsi" w:hAnsiTheme="minorHAnsi" w:cstheme="minorHAnsi"/>
                <w:sz w:val="22"/>
                <w:szCs w:val="22"/>
              </w:rPr>
            </w:pPr>
            <w:r>
              <w:rPr>
                <w:rFonts w:asciiTheme="minorHAnsi" w:hAnsiTheme="minorHAnsi" w:cstheme="minorHAnsi"/>
                <w:sz w:val="22"/>
                <w:szCs w:val="22"/>
              </w:rPr>
              <w:t>1.469-2T</w:t>
            </w:r>
          </w:p>
        </w:tc>
      </w:tr>
    </w:tbl>
    <w:p w:rsidR="00BA04FD" w:rsidRDefault="00BA04FD" w14:paraId="3E62C557" w14:textId="77777777">
      <w:pPr>
        <w:rPr>
          <w:rFonts w:ascii="Calibri" w:hAnsi="Calibri"/>
          <w:sz w:val="22"/>
          <w:szCs w:val="22"/>
        </w:rPr>
        <w:sectPr w:rsidR="00BA04FD" w:rsidSect="00046F28">
          <w:headerReference w:type="default" r:id="rId7"/>
          <w:type w:val="continuous"/>
          <w:pgSz w:w="12240" w:h="15840"/>
          <w:pgMar w:top="1440" w:right="1440" w:bottom="1440" w:left="1440" w:header="1440" w:footer="1440" w:gutter="0"/>
          <w:cols w:space="360"/>
          <w:noEndnote/>
          <w:titlePg/>
          <w:docGrid w:linePitch="326"/>
        </w:sectPr>
      </w:pPr>
    </w:p>
    <w:p w:rsidRPr="003127E4" w:rsidR="007E2EEB" w:rsidRDefault="00FA3A49" w14:paraId="7826B891" w14:textId="3C8E6919">
      <w:pPr>
        <w:rPr>
          <w:rFonts w:ascii="Calibri" w:hAnsi="Calibri"/>
          <w:sz w:val="22"/>
          <w:szCs w:val="22"/>
        </w:rPr>
      </w:pPr>
      <w:r>
        <w:rPr>
          <w:rFonts w:ascii="Calibri" w:hAnsi="Calibri"/>
          <w:sz w:val="22"/>
          <w:szCs w:val="22"/>
        </w:rPr>
        <w:t xml:space="preserve">               </w:t>
      </w:r>
      <w:r w:rsidRPr="003127E4" w:rsidR="00D46069">
        <w:rPr>
          <w:rFonts w:ascii="Calibri" w:hAnsi="Calibri"/>
          <w:sz w:val="22"/>
          <w:szCs w:val="22"/>
        </w:rPr>
        <w:t xml:space="preserve">                                                              </w:t>
      </w:r>
      <w:r w:rsidRPr="003127E4" w:rsidR="007E2EEB">
        <w:rPr>
          <w:rFonts w:ascii="Calibri" w:hAnsi="Calibri"/>
          <w:sz w:val="22"/>
          <w:szCs w:val="22"/>
        </w:rPr>
        <w:t xml:space="preserve">     </w:t>
      </w:r>
    </w:p>
    <w:p w:rsidRPr="00341826" w:rsidR="007E2EEB" w:rsidP="00341826" w:rsidRDefault="007E2EEB" w14:paraId="00839235"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TOTAL ANNUAL COST BURDEN TO RESPONDENTS</w:t>
      </w:r>
    </w:p>
    <w:p w:rsidRPr="003127E4" w:rsidR="007E2EEB" w:rsidRDefault="007E2EEB" w14:paraId="528CB4B9" w14:textId="77777777">
      <w:pPr>
        <w:rPr>
          <w:rFonts w:ascii="Calibri" w:hAnsi="Calibri"/>
          <w:b/>
          <w:sz w:val="22"/>
          <w:szCs w:val="22"/>
        </w:rPr>
      </w:pPr>
    </w:p>
    <w:p w:rsidR="00F26675" w:rsidP="00F26675" w:rsidRDefault="004E4489" w14:paraId="7AFE0342" w14:textId="2120E827">
      <w:pPr>
        <w:ind w:left="720"/>
        <w:rPr>
          <w:rFonts w:ascii="Calibri" w:hAnsi="Calibri"/>
          <w:sz w:val="22"/>
          <w:szCs w:val="22"/>
        </w:rPr>
      </w:pPr>
      <w:r w:rsidRPr="004E4489">
        <w:rPr>
          <w:rFonts w:ascii="Calibri" w:hAnsi="Calibri"/>
          <w:sz w:val="22"/>
          <w:szCs w:val="22"/>
        </w:rPr>
        <w:t xml:space="preserve">From our Federal Register notice, dated April </w:t>
      </w:r>
      <w:r>
        <w:rPr>
          <w:rFonts w:ascii="Calibri" w:hAnsi="Calibri"/>
          <w:sz w:val="22"/>
          <w:szCs w:val="22"/>
        </w:rPr>
        <w:t>7</w:t>
      </w:r>
      <w:r w:rsidRPr="004E4489">
        <w:rPr>
          <w:rFonts w:ascii="Calibri" w:hAnsi="Calibri"/>
          <w:sz w:val="22"/>
          <w:szCs w:val="22"/>
        </w:rPr>
        <w:t>, 2022,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3127E4" w:rsidR="002113E1" w:rsidP="00F26675" w:rsidRDefault="002113E1" w14:paraId="7DCFEF69" w14:textId="77777777">
      <w:pPr>
        <w:ind w:left="720"/>
        <w:rPr>
          <w:rFonts w:ascii="Calibri" w:hAnsi="Calibri"/>
          <w:sz w:val="22"/>
          <w:szCs w:val="22"/>
        </w:rPr>
      </w:pPr>
    </w:p>
    <w:p w:rsidRPr="00341826" w:rsidR="007E2EEB" w:rsidP="00341826" w:rsidRDefault="007E2EEB" w14:paraId="2D2099D7" w14:textId="1EB61CF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ANNUALIZED COST TO THE FEDERAL GOVERNMENT</w:t>
      </w:r>
    </w:p>
    <w:p w:rsidRPr="003127E4" w:rsidR="007E2EEB" w:rsidRDefault="007E2EEB" w14:paraId="56BA88F9" w14:textId="77777777">
      <w:pPr>
        <w:rPr>
          <w:rFonts w:ascii="Calibri" w:hAnsi="Calibri"/>
          <w:sz w:val="22"/>
          <w:szCs w:val="22"/>
        </w:rPr>
      </w:pPr>
    </w:p>
    <w:p w:rsidRPr="008044D6" w:rsidR="008044D6" w:rsidP="008044D6" w:rsidRDefault="008044D6" w14:paraId="5094FF09" w14:textId="726BE1C7">
      <w:pPr>
        <w:ind w:left="720"/>
        <w:rPr>
          <w:rFonts w:ascii="Calibri" w:hAnsi="Calibri"/>
          <w:sz w:val="22"/>
          <w:szCs w:val="22"/>
        </w:rPr>
      </w:pPr>
      <w:bookmarkStart w:name="_Hlk523834409" w:id="6"/>
      <w:r w:rsidRPr="008044D6">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8044D6" w:rsidR="008044D6" w:rsidP="008044D6" w:rsidRDefault="008044D6" w14:paraId="7F08D249" w14:textId="77777777">
      <w:pPr>
        <w:ind w:left="720"/>
        <w:rPr>
          <w:rFonts w:ascii="Calibri" w:hAnsi="Calibri"/>
          <w:sz w:val="22"/>
          <w:szCs w:val="22"/>
        </w:rPr>
      </w:pPr>
    </w:p>
    <w:p w:rsidRPr="008044D6" w:rsidR="008044D6" w:rsidP="008044D6" w:rsidRDefault="008044D6" w14:paraId="10782871" w14:textId="77777777">
      <w:pPr>
        <w:ind w:left="720"/>
        <w:rPr>
          <w:rFonts w:ascii="Calibri" w:hAnsi="Calibri"/>
          <w:sz w:val="22"/>
          <w:szCs w:val="22"/>
        </w:rPr>
      </w:pPr>
      <w:r w:rsidRPr="008044D6">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8044D6" w:rsidR="008044D6" w:rsidP="008044D6" w:rsidRDefault="008044D6" w14:paraId="6CB43C82" w14:textId="77777777">
      <w:pPr>
        <w:ind w:left="720"/>
        <w:rPr>
          <w:rFonts w:ascii="Calibri" w:hAnsi="Calibri"/>
          <w:sz w:val="22"/>
          <w:szCs w:val="22"/>
        </w:rPr>
      </w:pPr>
    </w:p>
    <w:p w:rsidR="007E36EA" w:rsidP="008044D6" w:rsidRDefault="008044D6" w14:paraId="0575B079" w14:textId="0A53136D">
      <w:pPr>
        <w:ind w:left="720"/>
        <w:rPr>
          <w:rFonts w:ascii="Calibri" w:hAnsi="Calibri"/>
          <w:sz w:val="22"/>
          <w:szCs w:val="22"/>
        </w:rPr>
      </w:pPr>
      <w:r w:rsidRPr="008044D6">
        <w:rPr>
          <w:rFonts w:ascii="Calibri" w:hAnsi="Calibri"/>
          <w:sz w:val="22"/>
          <w:szCs w:val="22"/>
        </w:rPr>
        <w:t>The government cost estimate for this collection is summarized in the table below.</w:t>
      </w:r>
    </w:p>
    <w:p w:rsidR="008044D6" w:rsidP="008044D6" w:rsidRDefault="008044D6" w14:paraId="301CE882" w14:textId="601087A2">
      <w:pPr>
        <w:ind w:left="720"/>
        <w:rPr>
          <w:rFonts w:ascii="Calibri" w:hAnsi="Calibri"/>
          <w:sz w:val="22"/>
          <w:szCs w:val="22"/>
        </w:rPr>
      </w:pPr>
    </w:p>
    <w:tbl>
      <w:tblPr>
        <w:tblW w:w="846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160"/>
        <w:gridCol w:w="360"/>
        <w:gridCol w:w="1800"/>
        <w:gridCol w:w="360"/>
        <w:gridCol w:w="1800"/>
      </w:tblGrid>
      <w:tr w:rsidRPr="008E4D11" w:rsidR="008044D6" w:rsidTr="008044D6" w14:paraId="178A6CD9" w14:textId="77777777">
        <w:tc>
          <w:tcPr>
            <w:tcW w:w="1980" w:type="dxa"/>
            <w:shd w:val="clear" w:color="auto" w:fill="auto"/>
            <w:vAlign w:val="bottom"/>
          </w:tcPr>
          <w:p w:rsidRPr="00E20033" w:rsidR="008044D6" w:rsidP="000D56E5" w:rsidRDefault="008044D6" w14:paraId="58DA1F7E" w14:textId="77777777">
            <w:pPr>
              <w:keepNext/>
              <w:keepLines/>
              <w:jc w:val="center"/>
              <w:rPr>
                <w:rFonts w:ascii="Arial Narrow" w:hAnsi="Arial Narrow"/>
                <w:b/>
                <w:sz w:val="18"/>
                <w:szCs w:val="18"/>
                <w:u w:val="single"/>
              </w:rPr>
            </w:pPr>
            <w:bookmarkStart w:name="_Hlk90531615" w:id="7"/>
            <w:r w:rsidRPr="00E20033">
              <w:rPr>
                <w:rFonts w:ascii="Arial Narrow" w:hAnsi="Arial Narrow"/>
                <w:b/>
                <w:sz w:val="18"/>
                <w:szCs w:val="18"/>
                <w:u w:val="single"/>
              </w:rPr>
              <w:lastRenderedPageBreak/>
              <w:t>Product</w:t>
            </w:r>
          </w:p>
        </w:tc>
        <w:tc>
          <w:tcPr>
            <w:tcW w:w="2160" w:type="dxa"/>
            <w:shd w:val="clear" w:color="auto" w:fill="auto"/>
            <w:vAlign w:val="bottom"/>
          </w:tcPr>
          <w:p w:rsidRPr="00E20033" w:rsidR="008044D6" w:rsidP="000D56E5" w:rsidRDefault="008044D6" w14:paraId="42F6FB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60" w:type="dxa"/>
            <w:shd w:val="clear" w:color="auto" w:fill="auto"/>
          </w:tcPr>
          <w:p w:rsidRPr="00E20033" w:rsidR="008044D6" w:rsidP="000D56E5" w:rsidRDefault="008044D6" w14:paraId="1808A4EB" w14:textId="77777777">
            <w:pPr>
              <w:keepNext/>
              <w:keepLines/>
              <w:jc w:val="center"/>
              <w:rPr>
                <w:rFonts w:ascii="Arial Narrow" w:hAnsi="Arial Narrow"/>
                <w:b/>
                <w:sz w:val="18"/>
                <w:szCs w:val="18"/>
                <w:u w:val="single"/>
              </w:rPr>
            </w:pPr>
          </w:p>
        </w:tc>
        <w:tc>
          <w:tcPr>
            <w:tcW w:w="1800" w:type="dxa"/>
            <w:shd w:val="clear" w:color="auto" w:fill="auto"/>
            <w:vAlign w:val="bottom"/>
          </w:tcPr>
          <w:p w:rsidRPr="00E20033" w:rsidR="008044D6" w:rsidP="000D56E5" w:rsidRDefault="008044D6" w14:paraId="1EAB846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60" w:type="dxa"/>
            <w:shd w:val="clear" w:color="auto" w:fill="auto"/>
          </w:tcPr>
          <w:p w:rsidRPr="00E20033" w:rsidR="008044D6" w:rsidP="000D56E5" w:rsidRDefault="008044D6" w14:paraId="3502D2EF" w14:textId="77777777">
            <w:pPr>
              <w:keepNext/>
              <w:keepLines/>
              <w:jc w:val="center"/>
              <w:rPr>
                <w:rFonts w:ascii="Arial Narrow" w:hAnsi="Arial Narrow"/>
                <w:b/>
                <w:sz w:val="18"/>
                <w:szCs w:val="18"/>
                <w:u w:val="single"/>
              </w:rPr>
            </w:pPr>
          </w:p>
        </w:tc>
        <w:tc>
          <w:tcPr>
            <w:tcW w:w="1800" w:type="dxa"/>
            <w:shd w:val="clear" w:color="auto" w:fill="auto"/>
            <w:vAlign w:val="bottom"/>
          </w:tcPr>
          <w:p w:rsidRPr="00E20033" w:rsidR="008044D6" w:rsidP="000D56E5" w:rsidRDefault="008044D6" w14:paraId="4862F6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8044D6" w:rsidTr="008044D6" w14:paraId="025E5780" w14:textId="77777777">
        <w:tc>
          <w:tcPr>
            <w:tcW w:w="1980" w:type="dxa"/>
            <w:shd w:val="clear" w:color="auto" w:fill="auto"/>
            <w:vAlign w:val="bottom"/>
          </w:tcPr>
          <w:p w:rsidRPr="00E20033" w:rsidR="008044D6" w:rsidP="000D56E5" w:rsidRDefault="008044D6" w14:paraId="347E6E2A" w14:textId="3EB84C2B">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6198</w:t>
            </w:r>
          </w:p>
        </w:tc>
        <w:tc>
          <w:tcPr>
            <w:tcW w:w="2160" w:type="dxa"/>
            <w:shd w:val="clear" w:color="auto" w:fill="auto"/>
          </w:tcPr>
          <w:p w:rsidRPr="00E20033" w:rsidR="008044D6" w:rsidP="000D56E5" w:rsidRDefault="008044D6" w14:paraId="715516F9" w14:textId="501E1517">
            <w:pPr>
              <w:keepNext/>
              <w:keepLines/>
              <w:jc w:val="center"/>
              <w:rPr>
                <w:rFonts w:ascii="Arial Narrow" w:hAnsi="Arial Narrow"/>
                <w:sz w:val="18"/>
                <w:szCs w:val="18"/>
              </w:rPr>
            </w:pPr>
            <w:r>
              <w:rPr>
                <w:rFonts w:ascii="Arial Narrow" w:hAnsi="Arial Narrow"/>
                <w:sz w:val="18"/>
                <w:szCs w:val="18"/>
              </w:rPr>
              <w:t>$16,097</w:t>
            </w:r>
          </w:p>
        </w:tc>
        <w:tc>
          <w:tcPr>
            <w:tcW w:w="360" w:type="dxa"/>
            <w:shd w:val="clear" w:color="auto" w:fill="auto"/>
          </w:tcPr>
          <w:p w:rsidRPr="00E20033" w:rsidR="008044D6" w:rsidP="000D56E5" w:rsidRDefault="008044D6" w14:paraId="685F46DD" w14:textId="77777777">
            <w:pPr>
              <w:keepNext/>
              <w:keepLines/>
              <w:jc w:val="center"/>
              <w:rPr>
                <w:rFonts w:ascii="Arial Narrow" w:hAnsi="Arial Narrow"/>
                <w:sz w:val="18"/>
                <w:szCs w:val="18"/>
              </w:rPr>
            </w:pPr>
          </w:p>
        </w:tc>
        <w:tc>
          <w:tcPr>
            <w:tcW w:w="1800" w:type="dxa"/>
            <w:shd w:val="clear" w:color="auto" w:fill="auto"/>
          </w:tcPr>
          <w:p w:rsidRPr="00E20033" w:rsidR="008044D6" w:rsidP="000D56E5" w:rsidRDefault="008044D6" w14:paraId="2A2E8898" w14:textId="2EF877B2">
            <w:pPr>
              <w:keepNext/>
              <w:keepLines/>
              <w:jc w:val="center"/>
              <w:rPr>
                <w:rFonts w:ascii="Arial Narrow" w:hAnsi="Arial Narrow"/>
                <w:sz w:val="18"/>
                <w:szCs w:val="18"/>
              </w:rPr>
            </w:pPr>
            <w:r>
              <w:rPr>
                <w:rFonts w:ascii="Arial Narrow" w:hAnsi="Arial Narrow"/>
                <w:sz w:val="18"/>
                <w:szCs w:val="18"/>
              </w:rPr>
              <w:t>$0</w:t>
            </w:r>
          </w:p>
        </w:tc>
        <w:tc>
          <w:tcPr>
            <w:tcW w:w="360" w:type="dxa"/>
            <w:shd w:val="clear" w:color="auto" w:fill="auto"/>
          </w:tcPr>
          <w:p w:rsidRPr="00E20033" w:rsidR="008044D6" w:rsidP="000D56E5" w:rsidRDefault="008044D6" w14:paraId="563AEFCE" w14:textId="77777777">
            <w:pPr>
              <w:keepNext/>
              <w:keepLines/>
              <w:jc w:val="center"/>
              <w:rPr>
                <w:rFonts w:ascii="Arial Narrow" w:hAnsi="Arial Narrow"/>
                <w:sz w:val="18"/>
                <w:szCs w:val="18"/>
              </w:rPr>
            </w:pPr>
          </w:p>
        </w:tc>
        <w:tc>
          <w:tcPr>
            <w:tcW w:w="1800" w:type="dxa"/>
            <w:shd w:val="clear" w:color="auto" w:fill="auto"/>
          </w:tcPr>
          <w:p w:rsidRPr="00E20033" w:rsidR="008044D6" w:rsidP="000D56E5" w:rsidRDefault="008044D6" w14:paraId="2E0EA1B5" w14:textId="307AAF57">
            <w:pPr>
              <w:keepNext/>
              <w:keepLines/>
              <w:jc w:val="center"/>
              <w:rPr>
                <w:rFonts w:ascii="Arial Narrow" w:hAnsi="Arial Narrow"/>
                <w:sz w:val="18"/>
                <w:szCs w:val="18"/>
              </w:rPr>
            </w:pPr>
            <w:r>
              <w:rPr>
                <w:rFonts w:ascii="Arial Narrow" w:hAnsi="Arial Narrow"/>
                <w:sz w:val="18"/>
                <w:szCs w:val="18"/>
              </w:rPr>
              <w:t>$16,097</w:t>
            </w:r>
          </w:p>
        </w:tc>
      </w:tr>
      <w:tr w:rsidRPr="008E4D11" w:rsidR="008044D6" w:rsidTr="008044D6" w14:paraId="21629A97" w14:textId="77777777">
        <w:tc>
          <w:tcPr>
            <w:tcW w:w="1980" w:type="dxa"/>
            <w:shd w:val="clear" w:color="auto" w:fill="auto"/>
            <w:vAlign w:val="bottom"/>
          </w:tcPr>
          <w:p w:rsidRPr="00E20033" w:rsidR="008044D6" w:rsidP="000D56E5" w:rsidRDefault="008044D6" w14:paraId="784F8C8F" w14:textId="392A184A">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 xml:space="preserve">6198 </w:t>
            </w:r>
            <w:r w:rsidRPr="00E20033">
              <w:rPr>
                <w:rFonts w:ascii="Arial Narrow" w:hAnsi="Arial Narrow"/>
                <w:sz w:val="18"/>
                <w:szCs w:val="18"/>
              </w:rPr>
              <w:t>Instructions</w:t>
            </w:r>
          </w:p>
        </w:tc>
        <w:tc>
          <w:tcPr>
            <w:tcW w:w="2160" w:type="dxa"/>
            <w:shd w:val="clear" w:color="auto" w:fill="auto"/>
          </w:tcPr>
          <w:p w:rsidRPr="00E20033" w:rsidR="008044D6" w:rsidP="000D56E5" w:rsidRDefault="008044D6" w14:paraId="1ED03999" w14:textId="7E6AE470">
            <w:pPr>
              <w:keepNext/>
              <w:keepLines/>
              <w:jc w:val="center"/>
              <w:rPr>
                <w:rFonts w:ascii="Arial Narrow" w:hAnsi="Arial Narrow"/>
                <w:sz w:val="18"/>
                <w:szCs w:val="18"/>
              </w:rPr>
            </w:pPr>
            <w:r>
              <w:rPr>
                <w:rFonts w:ascii="Arial Narrow" w:hAnsi="Arial Narrow"/>
                <w:sz w:val="18"/>
                <w:szCs w:val="18"/>
              </w:rPr>
              <w:t>$5,853</w:t>
            </w:r>
          </w:p>
        </w:tc>
        <w:tc>
          <w:tcPr>
            <w:tcW w:w="360" w:type="dxa"/>
            <w:shd w:val="clear" w:color="auto" w:fill="auto"/>
          </w:tcPr>
          <w:p w:rsidRPr="00E20033" w:rsidR="008044D6" w:rsidP="000D56E5" w:rsidRDefault="008044D6" w14:paraId="353E5F80" w14:textId="77777777">
            <w:pPr>
              <w:keepNext/>
              <w:keepLines/>
              <w:jc w:val="center"/>
              <w:rPr>
                <w:rFonts w:ascii="Arial Narrow" w:hAnsi="Arial Narrow"/>
                <w:sz w:val="18"/>
                <w:szCs w:val="18"/>
              </w:rPr>
            </w:pPr>
          </w:p>
        </w:tc>
        <w:tc>
          <w:tcPr>
            <w:tcW w:w="1800" w:type="dxa"/>
            <w:shd w:val="clear" w:color="auto" w:fill="auto"/>
          </w:tcPr>
          <w:p w:rsidRPr="00E20033" w:rsidR="008044D6" w:rsidP="000D56E5" w:rsidRDefault="008044D6" w14:paraId="34E27ED4" w14:textId="6E7BB89D">
            <w:pPr>
              <w:keepNext/>
              <w:keepLines/>
              <w:jc w:val="center"/>
              <w:rPr>
                <w:rFonts w:ascii="Arial Narrow" w:hAnsi="Arial Narrow"/>
                <w:sz w:val="18"/>
                <w:szCs w:val="18"/>
              </w:rPr>
            </w:pPr>
            <w:r>
              <w:rPr>
                <w:rFonts w:ascii="Arial Narrow" w:hAnsi="Arial Narrow"/>
                <w:sz w:val="18"/>
                <w:szCs w:val="18"/>
              </w:rPr>
              <w:t>$0</w:t>
            </w:r>
          </w:p>
        </w:tc>
        <w:tc>
          <w:tcPr>
            <w:tcW w:w="360" w:type="dxa"/>
            <w:shd w:val="clear" w:color="auto" w:fill="auto"/>
          </w:tcPr>
          <w:p w:rsidRPr="00E20033" w:rsidR="008044D6" w:rsidP="000D56E5" w:rsidRDefault="008044D6" w14:paraId="70284FDF" w14:textId="77777777">
            <w:pPr>
              <w:keepNext/>
              <w:keepLines/>
              <w:jc w:val="center"/>
              <w:rPr>
                <w:rFonts w:ascii="Arial Narrow" w:hAnsi="Arial Narrow"/>
                <w:sz w:val="18"/>
                <w:szCs w:val="18"/>
              </w:rPr>
            </w:pPr>
          </w:p>
        </w:tc>
        <w:tc>
          <w:tcPr>
            <w:tcW w:w="1800" w:type="dxa"/>
            <w:shd w:val="clear" w:color="auto" w:fill="auto"/>
          </w:tcPr>
          <w:p w:rsidRPr="00E20033" w:rsidR="008044D6" w:rsidP="000D56E5" w:rsidRDefault="008044D6" w14:paraId="558D1B71" w14:textId="7F7D05D6">
            <w:pPr>
              <w:keepNext/>
              <w:keepLines/>
              <w:jc w:val="center"/>
              <w:rPr>
                <w:rFonts w:ascii="Arial Narrow" w:hAnsi="Arial Narrow"/>
                <w:sz w:val="18"/>
                <w:szCs w:val="18"/>
              </w:rPr>
            </w:pPr>
            <w:r>
              <w:rPr>
                <w:rFonts w:ascii="Arial Narrow" w:hAnsi="Arial Narrow"/>
                <w:sz w:val="18"/>
                <w:szCs w:val="18"/>
              </w:rPr>
              <w:t>$5,853</w:t>
            </w:r>
          </w:p>
        </w:tc>
      </w:tr>
      <w:tr w:rsidRPr="00062DB4" w:rsidR="008044D6" w:rsidTr="008044D6" w14:paraId="081A506B" w14:textId="77777777">
        <w:tc>
          <w:tcPr>
            <w:tcW w:w="1980" w:type="dxa"/>
            <w:shd w:val="clear" w:color="auto" w:fill="auto"/>
          </w:tcPr>
          <w:p w:rsidRPr="00E20033" w:rsidR="008044D6" w:rsidP="000D56E5" w:rsidRDefault="008044D6" w14:paraId="5ED152D8" w14:textId="77777777">
            <w:pPr>
              <w:keepNext/>
              <w:keepLines/>
              <w:rPr>
                <w:rFonts w:ascii="Arial Narrow" w:hAnsi="Arial Narrow"/>
                <w:b/>
                <w:sz w:val="18"/>
                <w:szCs w:val="18"/>
              </w:rPr>
            </w:pPr>
            <w:r w:rsidRPr="00E20033">
              <w:rPr>
                <w:rFonts w:ascii="Arial Narrow" w:hAnsi="Arial Narrow"/>
                <w:b/>
                <w:sz w:val="18"/>
                <w:szCs w:val="18"/>
              </w:rPr>
              <w:t>Grand Total</w:t>
            </w:r>
          </w:p>
        </w:tc>
        <w:tc>
          <w:tcPr>
            <w:tcW w:w="2160" w:type="dxa"/>
            <w:shd w:val="clear" w:color="auto" w:fill="auto"/>
          </w:tcPr>
          <w:p w:rsidRPr="00E20033" w:rsidR="008044D6" w:rsidP="000D56E5" w:rsidRDefault="008044D6" w14:paraId="1F6406F5" w14:textId="6F8138A0">
            <w:pPr>
              <w:keepNext/>
              <w:keepLines/>
              <w:jc w:val="center"/>
              <w:rPr>
                <w:rFonts w:ascii="Arial Narrow" w:hAnsi="Arial Narrow"/>
                <w:b/>
                <w:sz w:val="18"/>
                <w:szCs w:val="18"/>
              </w:rPr>
            </w:pPr>
            <w:r>
              <w:rPr>
                <w:rFonts w:ascii="Arial Narrow" w:hAnsi="Arial Narrow"/>
                <w:b/>
                <w:sz w:val="18"/>
                <w:szCs w:val="18"/>
              </w:rPr>
              <w:t>$21,950</w:t>
            </w:r>
          </w:p>
        </w:tc>
        <w:tc>
          <w:tcPr>
            <w:tcW w:w="360" w:type="dxa"/>
            <w:shd w:val="clear" w:color="auto" w:fill="auto"/>
          </w:tcPr>
          <w:p w:rsidRPr="00E20033" w:rsidR="008044D6" w:rsidP="000D56E5" w:rsidRDefault="008044D6" w14:paraId="5B6B9A5A" w14:textId="77777777">
            <w:pPr>
              <w:keepNext/>
              <w:keepLines/>
              <w:jc w:val="center"/>
              <w:rPr>
                <w:rFonts w:ascii="Arial Narrow" w:hAnsi="Arial Narrow"/>
                <w:b/>
                <w:sz w:val="18"/>
                <w:szCs w:val="18"/>
              </w:rPr>
            </w:pPr>
          </w:p>
        </w:tc>
        <w:tc>
          <w:tcPr>
            <w:tcW w:w="1800" w:type="dxa"/>
            <w:shd w:val="clear" w:color="auto" w:fill="auto"/>
          </w:tcPr>
          <w:p w:rsidRPr="00E20033" w:rsidR="008044D6" w:rsidP="000D56E5" w:rsidRDefault="008044D6" w14:paraId="4A0D551F" w14:textId="3E7DBA38">
            <w:pPr>
              <w:keepNext/>
              <w:keepLines/>
              <w:jc w:val="center"/>
              <w:rPr>
                <w:rFonts w:ascii="Arial Narrow" w:hAnsi="Arial Narrow"/>
                <w:b/>
                <w:sz w:val="18"/>
                <w:szCs w:val="18"/>
              </w:rPr>
            </w:pPr>
            <w:r>
              <w:rPr>
                <w:rFonts w:ascii="Arial Narrow" w:hAnsi="Arial Narrow"/>
                <w:b/>
                <w:sz w:val="18"/>
                <w:szCs w:val="18"/>
              </w:rPr>
              <w:t>$0</w:t>
            </w:r>
          </w:p>
        </w:tc>
        <w:tc>
          <w:tcPr>
            <w:tcW w:w="360" w:type="dxa"/>
            <w:shd w:val="clear" w:color="auto" w:fill="auto"/>
          </w:tcPr>
          <w:p w:rsidRPr="00E20033" w:rsidR="008044D6" w:rsidP="000D56E5" w:rsidRDefault="008044D6" w14:paraId="7C876BB6" w14:textId="77777777">
            <w:pPr>
              <w:keepNext/>
              <w:keepLines/>
              <w:jc w:val="center"/>
              <w:rPr>
                <w:rFonts w:ascii="Arial Narrow" w:hAnsi="Arial Narrow"/>
                <w:b/>
                <w:sz w:val="18"/>
                <w:szCs w:val="18"/>
              </w:rPr>
            </w:pPr>
          </w:p>
        </w:tc>
        <w:tc>
          <w:tcPr>
            <w:tcW w:w="1800" w:type="dxa"/>
            <w:shd w:val="clear" w:color="auto" w:fill="auto"/>
          </w:tcPr>
          <w:p w:rsidRPr="00E20033" w:rsidR="008044D6" w:rsidP="000D56E5" w:rsidRDefault="008044D6" w14:paraId="723C2312" w14:textId="1E8675C3">
            <w:pPr>
              <w:keepNext/>
              <w:keepLines/>
              <w:jc w:val="center"/>
              <w:rPr>
                <w:rFonts w:ascii="Arial Narrow" w:hAnsi="Arial Narrow"/>
                <w:b/>
                <w:sz w:val="18"/>
                <w:szCs w:val="18"/>
              </w:rPr>
            </w:pPr>
            <w:r>
              <w:rPr>
                <w:rFonts w:ascii="Arial Narrow" w:hAnsi="Arial Narrow"/>
                <w:b/>
                <w:sz w:val="18"/>
                <w:szCs w:val="18"/>
              </w:rPr>
              <w:t>$21,950</w:t>
            </w:r>
          </w:p>
        </w:tc>
      </w:tr>
      <w:tr w:rsidRPr="0055550C" w:rsidR="008044D6" w:rsidTr="008044D6" w14:paraId="346FE9E2" w14:textId="77777777">
        <w:tc>
          <w:tcPr>
            <w:tcW w:w="8460" w:type="dxa"/>
            <w:gridSpan w:val="6"/>
            <w:shd w:val="clear" w:color="auto" w:fill="auto"/>
          </w:tcPr>
          <w:p w:rsidRPr="00E20033" w:rsidR="008044D6" w:rsidP="000D56E5" w:rsidRDefault="008044D6" w14:paraId="748BDB7B"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bookmarkEnd w:id="7"/>
    </w:tbl>
    <w:p w:rsidR="008044D6" w:rsidP="008044D6" w:rsidRDefault="008044D6" w14:paraId="75304BD5" w14:textId="18F42063">
      <w:pPr>
        <w:ind w:left="720"/>
        <w:rPr>
          <w:rFonts w:ascii="Calibri" w:hAnsi="Calibri"/>
          <w:sz w:val="22"/>
          <w:szCs w:val="22"/>
        </w:rPr>
      </w:pPr>
    </w:p>
    <w:bookmarkEnd w:id="6"/>
    <w:p w:rsidRPr="00341826" w:rsidR="007E2EEB" w:rsidP="00341826" w:rsidRDefault="007E2EEB" w14:paraId="30BB7F26"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REASONS FOR CHANGE IN BURDEN</w:t>
      </w:r>
    </w:p>
    <w:p w:rsidRPr="008044D6" w:rsidR="00FA3A49" w:rsidP="008044D6" w:rsidRDefault="00FA3A49" w14:paraId="2409B52A" w14:textId="77777777">
      <w:pPr>
        <w:ind w:left="720"/>
        <w:rPr>
          <w:rFonts w:ascii="Calibri" w:hAnsi="Calibri"/>
          <w:sz w:val="22"/>
          <w:szCs w:val="22"/>
        </w:rPr>
      </w:pPr>
    </w:p>
    <w:p w:rsidR="00FA3A49" w:rsidP="008044D6" w:rsidRDefault="00FA3A49" w14:paraId="2377D65D" w14:textId="11EBFE60">
      <w:pPr>
        <w:ind w:left="720"/>
        <w:rPr>
          <w:rFonts w:ascii="Calibri" w:hAnsi="Calibri"/>
          <w:sz w:val="22"/>
          <w:szCs w:val="22"/>
        </w:rPr>
      </w:pPr>
      <w:r w:rsidRPr="00FA3A49">
        <w:rPr>
          <w:rFonts w:ascii="Calibri" w:hAnsi="Calibri"/>
          <w:sz w:val="22"/>
          <w:szCs w:val="22"/>
        </w:rPr>
        <w:t xml:space="preserve">There are no changes to the form or burden previously approved by OMB. </w:t>
      </w:r>
      <w:r w:rsidR="00DB7E8E">
        <w:rPr>
          <w:rFonts w:ascii="Calibri" w:hAnsi="Calibri"/>
          <w:sz w:val="22"/>
          <w:szCs w:val="22"/>
        </w:rPr>
        <w:t>H</w:t>
      </w:r>
      <w:r w:rsidRPr="00FF6C5D" w:rsidR="00DB7E8E">
        <w:rPr>
          <w:rFonts w:asciiTheme="minorHAnsi" w:hAnsiTheme="minorHAnsi"/>
          <w:sz w:val="22"/>
          <w:szCs w:val="22"/>
        </w:rPr>
        <w:t>owever, the estimated number of responses was updated to eliminate duplication of the burden associated with individual and business respondents captured under OMB control numbers 1545-0074 and 1545-0123. We are making this submission to renew the OMB approval.</w:t>
      </w:r>
    </w:p>
    <w:p w:rsidR="007B321B" w:rsidP="008044D6" w:rsidRDefault="007B321B" w14:paraId="258A56A8" w14:textId="472B4432">
      <w:pPr>
        <w:ind w:left="720"/>
        <w:rPr>
          <w:rFonts w:ascii="Calibri" w:hAnsi="Calibri"/>
          <w:sz w:val="22"/>
          <w:szCs w:val="22"/>
        </w:rPr>
      </w:pPr>
    </w:p>
    <w:tbl>
      <w:tblPr>
        <w:tblW w:w="459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170"/>
        <w:gridCol w:w="1170"/>
        <w:gridCol w:w="1170"/>
        <w:gridCol w:w="1350"/>
        <w:gridCol w:w="1350"/>
        <w:gridCol w:w="1350"/>
        <w:gridCol w:w="1020"/>
      </w:tblGrid>
      <w:tr w:rsidRPr="00885286" w:rsidR="007B321B" w:rsidTr="000D56E5" w14:paraId="20410D28" w14:textId="77777777">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058D89F4"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21F1FA2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5B15AF6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69F8214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6F2230A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7B321B" w:rsidP="000D56E5" w:rsidRDefault="007B321B" w14:paraId="0DB0906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color="auto" w:sz="6" w:space="0"/>
              <w:left w:val="outset" w:color="auto" w:sz="6" w:space="0"/>
              <w:bottom w:val="outset" w:color="auto" w:sz="6" w:space="0"/>
              <w:right w:val="outset" w:color="auto" w:sz="6" w:space="0"/>
            </w:tcBorders>
            <w:vAlign w:val="center"/>
          </w:tcPr>
          <w:p w:rsidRPr="00885286" w:rsidR="007B321B" w:rsidP="000D56E5" w:rsidRDefault="007B321B" w14:paraId="49A0289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7B321B" w:rsidTr="000D56E5" w14:paraId="0A8D0EE3"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7AA28022"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471A98EE" w14:textId="36D9E61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26,451</w:t>
            </w:r>
          </w:p>
        </w:tc>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6269B09C"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0BA93BD3" w14:textId="2CFF69B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-203,881</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7668B762" w14:textId="0AAD420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2A50317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7B321B" w:rsidP="000D56E5" w:rsidRDefault="007B321B" w14:paraId="6186C6FF" w14:textId="513D6D4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230,332</w:t>
            </w:r>
          </w:p>
        </w:tc>
      </w:tr>
      <w:tr w:rsidRPr="00885286" w:rsidR="007B321B" w:rsidTr="000D56E5" w14:paraId="23E8F55C"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6080E3AB"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4BAB02B8" w14:textId="719B75B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105,010</w:t>
            </w:r>
          </w:p>
        </w:tc>
        <w:tc>
          <w:tcPr>
            <w:tcW w:w="117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7A94206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1FAB641D" w14:textId="4563D96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-809,409</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0D2C609D" w14:textId="5A5F9A1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7B321B" w:rsidP="000D56E5" w:rsidRDefault="007B321B" w14:paraId="7A8323B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7B321B" w:rsidP="000D56E5" w:rsidRDefault="007B321B" w14:paraId="13FE755C" w14:textId="5BF8B3E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914,419</w:t>
            </w:r>
          </w:p>
        </w:tc>
      </w:tr>
    </w:tbl>
    <w:p w:rsidRPr="00FA3A49" w:rsidR="007B321B" w:rsidP="008044D6" w:rsidRDefault="007B321B" w14:paraId="61E411D9" w14:textId="77777777">
      <w:pPr>
        <w:ind w:left="720"/>
        <w:rPr>
          <w:rFonts w:ascii="Calibri" w:hAnsi="Calibri"/>
          <w:sz w:val="22"/>
          <w:szCs w:val="22"/>
        </w:rPr>
      </w:pPr>
    </w:p>
    <w:p w:rsidRPr="00341826" w:rsidR="007E2EEB" w:rsidP="00341826" w:rsidRDefault="007E2EEB" w14:paraId="555757D5" w14:textId="61581A85">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PLANS FOR TABULATION, STATISTICAL ANALYSIS AND PUBLICATION</w:t>
      </w:r>
    </w:p>
    <w:p w:rsidRPr="003127E4" w:rsidR="007E2EEB" w:rsidRDefault="007E2EEB" w14:paraId="12D17341" w14:textId="77777777">
      <w:pPr>
        <w:rPr>
          <w:rFonts w:ascii="Calibri" w:hAnsi="Calibri"/>
          <w:sz w:val="22"/>
          <w:szCs w:val="22"/>
        </w:rPr>
      </w:pPr>
    </w:p>
    <w:p w:rsidRPr="007B321B" w:rsidR="00D46069" w:rsidP="007B321B" w:rsidRDefault="00D46069" w14:paraId="083F352C" w14:textId="377D7739">
      <w:pPr>
        <w:ind w:left="720"/>
        <w:rPr>
          <w:rFonts w:ascii="Calibri" w:hAnsi="Calibri"/>
          <w:sz w:val="22"/>
          <w:szCs w:val="22"/>
        </w:rPr>
      </w:pPr>
      <w:r w:rsidRPr="007B321B">
        <w:rPr>
          <w:rFonts w:ascii="Calibri" w:hAnsi="Calibri"/>
          <w:sz w:val="22"/>
          <w:szCs w:val="22"/>
        </w:rPr>
        <w:t>There are no plans for tabulation, statistical analysis, and publication.</w:t>
      </w:r>
    </w:p>
    <w:p w:rsidR="006971E1" w:rsidP="006971E1" w:rsidRDefault="006971E1" w14:paraId="7BE78111" w14:textId="77777777">
      <w:pPr>
        <w:rPr>
          <w:rFonts w:ascii="Calibri" w:hAnsi="Calibri" w:cs="Calibri"/>
          <w:sz w:val="22"/>
          <w:szCs w:val="22"/>
        </w:rPr>
      </w:pPr>
    </w:p>
    <w:p w:rsidRPr="00341826" w:rsidR="006971E1" w:rsidP="00341826" w:rsidRDefault="006971E1" w14:paraId="7B4F7031" w14:textId="1AB208CF">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REASONS WHY DISPLAYING THE OMB EXPIRATION DATE IS INAPPROPRIATE</w:t>
      </w:r>
    </w:p>
    <w:p w:rsidRPr="003127E4" w:rsidR="006971E1" w:rsidP="006971E1" w:rsidRDefault="006971E1" w14:paraId="3190144B" w14:textId="77777777">
      <w:pPr>
        <w:rPr>
          <w:rFonts w:ascii="Calibri" w:hAnsi="Calibri"/>
          <w:sz w:val="22"/>
          <w:szCs w:val="22"/>
        </w:rPr>
      </w:pPr>
    </w:p>
    <w:p w:rsidR="006971E1" w:rsidP="007B321B" w:rsidRDefault="007B321B" w14:paraId="651F46F9" w14:textId="53325862">
      <w:pPr>
        <w:ind w:left="720"/>
        <w:rPr>
          <w:rFonts w:ascii="Calibri" w:hAnsi="Calibri"/>
          <w:sz w:val="22"/>
          <w:szCs w:val="22"/>
        </w:rPr>
      </w:pPr>
      <w:bookmarkStart w:name="_Hlk91075794" w:id="8"/>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sunsets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8"/>
    </w:p>
    <w:p w:rsidRPr="003127E4" w:rsidR="00D60DD4" w:rsidP="006971E1" w:rsidRDefault="00D60DD4" w14:paraId="7BF2A1BC" w14:textId="77777777">
      <w:pPr>
        <w:ind w:left="720"/>
        <w:rPr>
          <w:rFonts w:ascii="Calibri" w:hAnsi="Calibri"/>
          <w:sz w:val="22"/>
          <w:szCs w:val="22"/>
        </w:rPr>
      </w:pPr>
    </w:p>
    <w:p w:rsidRPr="00341826" w:rsidR="007E2EEB" w:rsidP="00341826" w:rsidRDefault="007E2EEB" w14:paraId="26339CFD" w14:textId="264BFFE1">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EXCEPTIONS TO THE CERTIFICATION STATEMENT</w:t>
      </w:r>
    </w:p>
    <w:p w:rsidRPr="003127E4" w:rsidR="007E2EEB" w:rsidRDefault="007E2EEB" w14:paraId="251A5AC5" w14:textId="77777777">
      <w:pPr>
        <w:rPr>
          <w:rFonts w:ascii="Calibri" w:hAnsi="Calibri"/>
          <w:b/>
          <w:sz w:val="22"/>
          <w:szCs w:val="22"/>
        </w:rPr>
      </w:pPr>
    </w:p>
    <w:p w:rsidRPr="00453AD3" w:rsidR="007B321B" w:rsidP="007B321B" w:rsidRDefault="007B321B" w14:paraId="096BA0E1" w14:textId="77777777">
      <w:pPr>
        <w:ind w:left="720"/>
        <w:rPr>
          <w:rFonts w:asciiTheme="minorHAnsi" w:hAnsiTheme="minorHAnsi"/>
          <w:sz w:val="22"/>
          <w:szCs w:val="22"/>
        </w:rPr>
      </w:pPr>
      <w:bookmarkStart w:name="_Hlk95714878" w:id="9"/>
      <w:r w:rsidRPr="00453AD3">
        <w:rPr>
          <w:rFonts w:asciiTheme="minorHAnsi" w:hAnsiTheme="minorHAnsi"/>
          <w:sz w:val="22"/>
          <w:szCs w:val="22"/>
        </w:rPr>
        <w:t>There are no exceptions to the certification statement.</w:t>
      </w:r>
    </w:p>
    <w:p w:rsidRPr="00453AD3" w:rsidR="007B321B" w:rsidP="007B321B" w:rsidRDefault="007B321B" w14:paraId="0107987B" w14:textId="77777777">
      <w:pPr>
        <w:ind w:left="720"/>
        <w:rPr>
          <w:rFonts w:asciiTheme="minorHAnsi" w:hAnsiTheme="minorHAnsi"/>
          <w:sz w:val="22"/>
          <w:szCs w:val="22"/>
        </w:rPr>
      </w:pPr>
    </w:p>
    <w:p w:rsidRPr="00453AD3" w:rsidR="007B321B" w:rsidP="007B321B" w:rsidRDefault="007B321B" w14:paraId="1B7157C4"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7B321B" w:rsidP="007B321B" w:rsidRDefault="007B321B" w14:paraId="6640ACB4" w14:textId="77777777">
      <w:pPr>
        <w:ind w:left="720"/>
        <w:rPr>
          <w:rFonts w:asciiTheme="minorHAnsi" w:hAnsiTheme="minorHAnsi"/>
          <w:sz w:val="22"/>
          <w:szCs w:val="22"/>
        </w:rPr>
      </w:pPr>
    </w:p>
    <w:p w:rsidRPr="003127E4" w:rsidR="007E2EEB" w:rsidP="007B321B" w:rsidRDefault="007B321B" w14:paraId="27D480D8" w14:textId="5A2E6B10">
      <w:pPr>
        <w:ind w:left="720"/>
        <w:rPr>
          <w:rFonts w:ascii="Calibri" w:hAnsi="Calibr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9"/>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D6AE" w14:textId="77777777" w:rsidR="00307B57" w:rsidRDefault="00307B57">
      <w:r>
        <w:separator/>
      </w:r>
    </w:p>
  </w:endnote>
  <w:endnote w:type="continuationSeparator" w:id="0">
    <w:p w14:paraId="43BB3443" w14:textId="77777777" w:rsidR="00307B57" w:rsidRDefault="0030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460D" w14:textId="77777777" w:rsidR="00307B57" w:rsidRDefault="00307B57">
      <w:r>
        <w:separator/>
      </w:r>
    </w:p>
  </w:footnote>
  <w:footnote w:type="continuationSeparator" w:id="0">
    <w:p w14:paraId="7BA5270E" w14:textId="77777777" w:rsidR="00307B57" w:rsidRDefault="0030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918"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62CD2">
      <w:rPr>
        <w:rFonts w:cs="Courier"/>
        <w:b/>
        <w:bCs/>
        <w:noProof/>
      </w:rPr>
      <w:t>1</w:t>
    </w:r>
    <w:r>
      <w:rPr>
        <w:rFonts w:cs="Courier"/>
        <w:b/>
        <w:bCs/>
      </w:rPr>
      <w:fldChar w:fldCharType="end"/>
    </w:r>
  </w:p>
  <w:p w14:paraId="04FBE3A1" w14:textId="77777777" w:rsidR="005C66C6" w:rsidRDefault="005C66C6"/>
  <w:p w14:paraId="4E585D05"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 w:numId="15">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220F9"/>
    <w:rsid w:val="00043165"/>
    <w:rsid w:val="00044F37"/>
    <w:rsid w:val="00046F28"/>
    <w:rsid w:val="00062CD2"/>
    <w:rsid w:val="00066407"/>
    <w:rsid w:val="000A05E9"/>
    <w:rsid w:val="000A4339"/>
    <w:rsid w:val="000A7FC1"/>
    <w:rsid w:val="000C5932"/>
    <w:rsid w:val="000D28A3"/>
    <w:rsid w:val="000F6C31"/>
    <w:rsid w:val="00102DBB"/>
    <w:rsid w:val="001135E3"/>
    <w:rsid w:val="0012358F"/>
    <w:rsid w:val="001337C1"/>
    <w:rsid w:val="00135128"/>
    <w:rsid w:val="00161268"/>
    <w:rsid w:val="00166349"/>
    <w:rsid w:val="001A6F7B"/>
    <w:rsid w:val="001B24BC"/>
    <w:rsid w:val="001C3D05"/>
    <w:rsid w:val="001D1030"/>
    <w:rsid w:val="002113E1"/>
    <w:rsid w:val="0023566C"/>
    <w:rsid w:val="00246391"/>
    <w:rsid w:val="00251ED2"/>
    <w:rsid w:val="00282B0F"/>
    <w:rsid w:val="00293354"/>
    <w:rsid w:val="002A243C"/>
    <w:rsid w:val="002A24DA"/>
    <w:rsid w:val="002B177C"/>
    <w:rsid w:val="002B190D"/>
    <w:rsid w:val="002B499E"/>
    <w:rsid w:val="002E56B9"/>
    <w:rsid w:val="002F1933"/>
    <w:rsid w:val="002F3136"/>
    <w:rsid w:val="002F79AA"/>
    <w:rsid w:val="00305112"/>
    <w:rsid w:val="00305478"/>
    <w:rsid w:val="00307B57"/>
    <w:rsid w:val="003127E4"/>
    <w:rsid w:val="00341826"/>
    <w:rsid w:val="00353997"/>
    <w:rsid w:val="003A5A1A"/>
    <w:rsid w:val="0040164F"/>
    <w:rsid w:val="00427C16"/>
    <w:rsid w:val="00435CFA"/>
    <w:rsid w:val="004631BE"/>
    <w:rsid w:val="0047289C"/>
    <w:rsid w:val="00473D0D"/>
    <w:rsid w:val="004B6E0C"/>
    <w:rsid w:val="004D3707"/>
    <w:rsid w:val="004E2ABF"/>
    <w:rsid w:val="004E4489"/>
    <w:rsid w:val="004E668F"/>
    <w:rsid w:val="004F12D2"/>
    <w:rsid w:val="005011E6"/>
    <w:rsid w:val="0051280C"/>
    <w:rsid w:val="00517DF7"/>
    <w:rsid w:val="00520AF6"/>
    <w:rsid w:val="005235D0"/>
    <w:rsid w:val="00525980"/>
    <w:rsid w:val="005649AE"/>
    <w:rsid w:val="00583F83"/>
    <w:rsid w:val="005B3EEF"/>
    <w:rsid w:val="005C66C6"/>
    <w:rsid w:val="005D3DAB"/>
    <w:rsid w:val="005D6094"/>
    <w:rsid w:val="005D7415"/>
    <w:rsid w:val="00606C8E"/>
    <w:rsid w:val="00630912"/>
    <w:rsid w:val="006368E6"/>
    <w:rsid w:val="00644338"/>
    <w:rsid w:val="00651559"/>
    <w:rsid w:val="006546B8"/>
    <w:rsid w:val="006726A1"/>
    <w:rsid w:val="00681206"/>
    <w:rsid w:val="00681569"/>
    <w:rsid w:val="00683A25"/>
    <w:rsid w:val="006971E1"/>
    <w:rsid w:val="006A21C2"/>
    <w:rsid w:val="006C2B4A"/>
    <w:rsid w:val="006D449A"/>
    <w:rsid w:val="006E37E3"/>
    <w:rsid w:val="006E6E53"/>
    <w:rsid w:val="006E71BC"/>
    <w:rsid w:val="00710044"/>
    <w:rsid w:val="00715FFF"/>
    <w:rsid w:val="00720A3B"/>
    <w:rsid w:val="007369BD"/>
    <w:rsid w:val="00763B45"/>
    <w:rsid w:val="00764B48"/>
    <w:rsid w:val="00776D7A"/>
    <w:rsid w:val="007B041B"/>
    <w:rsid w:val="007B1B8F"/>
    <w:rsid w:val="007B321B"/>
    <w:rsid w:val="007B5BD7"/>
    <w:rsid w:val="007E0010"/>
    <w:rsid w:val="007E2EEB"/>
    <w:rsid w:val="007E36EA"/>
    <w:rsid w:val="007F12A5"/>
    <w:rsid w:val="00800AAD"/>
    <w:rsid w:val="00801A34"/>
    <w:rsid w:val="00802986"/>
    <w:rsid w:val="008044D6"/>
    <w:rsid w:val="00821550"/>
    <w:rsid w:val="00833904"/>
    <w:rsid w:val="00853C81"/>
    <w:rsid w:val="008723DC"/>
    <w:rsid w:val="00876C56"/>
    <w:rsid w:val="00886D4B"/>
    <w:rsid w:val="00894004"/>
    <w:rsid w:val="008A1CD6"/>
    <w:rsid w:val="008A38A4"/>
    <w:rsid w:val="008A5F74"/>
    <w:rsid w:val="008B0A5D"/>
    <w:rsid w:val="008D1E10"/>
    <w:rsid w:val="008F51BE"/>
    <w:rsid w:val="00902FB3"/>
    <w:rsid w:val="00933CA2"/>
    <w:rsid w:val="009501AC"/>
    <w:rsid w:val="009545DF"/>
    <w:rsid w:val="00972A93"/>
    <w:rsid w:val="0097432B"/>
    <w:rsid w:val="00974429"/>
    <w:rsid w:val="009846A4"/>
    <w:rsid w:val="00995E2E"/>
    <w:rsid w:val="00997416"/>
    <w:rsid w:val="009978F9"/>
    <w:rsid w:val="009A340C"/>
    <w:rsid w:val="009B6400"/>
    <w:rsid w:val="009E0FD6"/>
    <w:rsid w:val="009E5544"/>
    <w:rsid w:val="009F0039"/>
    <w:rsid w:val="009F31F3"/>
    <w:rsid w:val="00A0207E"/>
    <w:rsid w:val="00A14E91"/>
    <w:rsid w:val="00A24082"/>
    <w:rsid w:val="00A64D3A"/>
    <w:rsid w:val="00A66296"/>
    <w:rsid w:val="00A70809"/>
    <w:rsid w:val="00A70A0A"/>
    <w:rsid w:val="00A7743D"/>
    <w:rsid w:val="00AA30FB"/>
    <w:rsid w:val="00AE0CA5"/>
    <w:rsid w:val="00AF1AEA"/>
    <w:rsid w:val="00B07E63"/>
    <w:rsid w:val="00B34FA0"/>
    <w:rsid w:val="00B50ECF"/>
    <w:rsid w:val="00B65514"/>
    <w:rsid w:val="00BA04FD"/>
    <w:rsid w:val="00BA436D"/>
    <w:rsid w:val="00BC0691"/>
    <w:rsid w:val="00BC73AA"/>
    <w:rsid w:val="00BE3658"/>
    <w:rsid w:val="00C40223"/>
    <w:rsid w:val="00C47A0C"/>
    <w:rsid w:val="00C608BC"/>
    <w:rsid w:val="00C86A03"/>
    <w:rsid w:val="00CA1998"/>
    <w:rsid w:val="00CA19B0"/>
    <w:rsid w:val="00CA721C"/>
    <w:rsid w:val="00CB0D14"/>
    <w:rsid w:val="00CB4537"/>
    <w:rsid w:val="00CD283E"/>
    <w:rsid w:val="00CD6429"/>
    <w:rsid w:val="00CD6F63"/>
    <w:rsid w:val="00D1793A"/>
    <w:rsid w:val="00D35256"/>
    <w:rsid w:val="00D357EB"/>
    <w:rsid w:val="00D46069"/>
    <w:rsid w:val="00D60DD4"/>
    <w:rsid w:val="00D71370"/>
    <w:rsid w:val="00DB7E8E"/>
    <w:rsid w:val="00DC0C44"/>
    <w:rsid w:val="00DD12F9"/>
    <w:rsid w:val="00DD177B"/>
    <w:rsid w:val="00DE172E"/>
    <w:rsid w:val="00E11D2D"/>
    <w:rsid w:val="00E1381A"/>
    <w:rsid w:val="00E6142C"/>
    <w:rsid w:val="00E67DB8"/>
    <w:rsid w:val="00E9076D"/>
    <w:rsid w:val="00EB3C24"/>
    <w:rsid w:val="00EC045C"/>
    <w:rsid w:val="00EC668E"/>
    <w:rsid w:val="00ED51E5"/>
    <w:rsid w:val="00F00DD1"/>
    <w:rsid w:val="00F10C03"/>
    <w:rsid w:val="00F2284A"/>
    <w:rsid w:val="00F23C20"/>
    <w:rsid w:val="00F26675"/>
    <w:rsid w:val="00F4647C"/>
    <w:rsid w:val="00F63BDE"/>
    <w:rsid w:val="00F669A8"/>
    <w:rsid w:val="00F820B4"/>
    <w:rsid w:val="00F97F80"/>
    <w:rsid w:val="00FA1F7C"/>
    <w:rsid w:val="00FA3A49"/>
    <w:rsid w:val="00FB13EB"/>
    <w:rsid w:val="00FB27A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DA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rsid w:val="00BA0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8667</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2022-04-08T16:39:00Z</dcterms:created>
  <dcterms:modified xsi:type="dcterms:W3CDTF">2022-07-06T17:13:00Z</dcterms:modified>
</cp:coreProperties>
</file>