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E12" w:rsidP="005F4027" w:rsidRDefault="005F4027" w14:paraId="1994EE2C" w14:textId="77777777">
      <w:pPr>
        <w:pStyle w:val="Default"/>
        <w:jc w:val="center"/>
        <w:rPr>
          <w:rFonts w:ascii="Times New Roman" w:hAnsi="Times New Roman" w:cs="Times New Roman"/>
        </w:rPr>
      </w:pPr>
      <w:r w:rsidRPr="008F6899">
        <w:rPr>
          <w:rFonts w:ascii="Times New Roman" w:hAnsi="Times New Roman" w:cs="Times New Roman"/>
        </w:rPr>
        <w:t>SUPPORTING STATEMENT</w:t>
      </w:r>
    </w:p>
    <w:p w:rsidR="00B176E6" w:rsidP="005F4027" w:rsidRDefault="00B176E6" w14:paraId="0181C0CA" w14:textId="50344ACE">
      <w:pPr>
        <w:pStyle w:val="Default"/>
        <w:jc w:val="center"/>
        <w:rPr>
          <w:rFonts w:ascii="Times New Roman" w:hAnsi="Times New Roman" w:cs="Times New Roman"/>
        </w:rPr>
      </w:pPr>
      <w:r>
        <w:rPr>
          <w:rFonts w:ascii="Times New Roman" w:hAnsi="Times New Roman" w:cs="Times New Roman"/>
        </w:rPr>
        <w:t>Internal Revenue Service</w:t>
      </w:r>
      <w:r w:rsidR="00D05D39">
        <w:rPr>
          <w:rFonts w:ascii="Times New Roman" w:hAnsi="Times New Roman" w:cs="Times New Roman"/>
        </w:rPr>
        <w:t xml:space="preserve"> (IRS)</w:t>
      </w:r>
    </w:p>
    <w:p w:rsidRPr="008F6899" w:rsidR="004577B4" w:rsidP="005F4027" w:rsidRDefault="004577B4" w14:paraId="69CDBEB3" w14:textId="77777777">
      <w:pPr>
        <w:pStyle w:val="Default"/>
        <w:jc w:val="center"/>
        <w:rPr>
          <w:rFonts w:ascii="Times New Roman" w:hAnsi="Times New Roman" w:cs="Times New Roman"/>
        </w:rPr>
      </w:pPr>
      <w:r w:rsidRPr="008F6899">
        <w:rPr>
          <w:rFonts w:ascii="Times New Roman" w:hAnsi="Times New Roman" w:cs="Times New Roman"/>
        </w:rPr>
        <w:t>OMB</w:t>
      </w:r>
      <w:r>
        <w:rPr>
          <w:rFonts w:ascii="Times New Roman" w:hAnsi="Times New Roman" w:cs="Times New Roman"/>
        </w:rPr>
        <w:t xml:space="preserve"> Control Number</w:t>
      </w:r>
      <w:r w:rsidRPr="008F6899">
        <w:rPr>
          <w:rFonts w:ascii="Times New Roman" w:hAnsi="Times New Roman" w:cs="Times New Roman"/>
        </w:rPr>
        <w:t xml:space="preserve"> 1545-2181</w:t>
      </w:r>
    </w:p>
    <w:p w:rsidR="004577B4" w:rsidP="005F4027" w:rsidRDefault="004577B4" w14:paraId="1519D783" w14:textId="77777777">
      <w:pPr>
        <w:pStyle w:val="Default"/>
        <w:jc w:val="center"/>
        <w:rPr>
          <w:rFonts w:ascii="Times New Roman" w:hAnsi="Times New Roman" w:cs="Times New Roman"/>
        </w:rPr>
      </w:pPr>
      <w:r w:rsidRPr="004577B4">
        <w:rPr>
          <w:rFonts w:ascii="Times New Roman" w:hAnsi="Times New Roman" w:cs="Times New Roman"/>
        </w:rPr>
        <w:t>Patient Protection and Affordable Care Act Patient Protection Notice</w:t>
      </w:r>
    </w:p>
    <w:p w:rsidRPr="008F6899" w:rsidR="005F4027" w:rsidP="005F4027" w:rsidRDefault="004577B4" w14:paraId="1B6D6C8C" w14:textId="7D387622">
      <w:pPr>
        <w:pStyle w:val="Default"/>
        <w:jc w:val="center"/>
        <w:rPr>
          <w:rFonts w:ascii="Times New Roman" w:hAnsi="Times New Roman" w:cs="Times New Roman"/>
        </w:rPr>
      </w:pPr>
      <w:r w:rsidRPr="004577B4">
        <w:rPr>
          <w:rFonts w:ascii="Times New Roman" w:hAnsi="Times New Roman" w:cs="Times New Roman"/>
        </w:rPr>
        <w:t xml:space="preserve"> TD 9</w:t>
      </w:r>
      <w:r w:rsidR="00AF381B">
        <w:rPr>
          <w:rFonts w:ascii="Times New Roman" w:hAnsi="Times New Roman" w:cs="Times New Roman"/>
        </w:rPr>
        <w:t>951</w:t>
      </w:r>
    </w:p>
    <w:p w:rsidRPr="008F6899" w:rsidR="00081487" w:rsidP="005F4027" w:rsidRDefault="00081487" w14:paraId="4FE9F3ED" w14:textId="77777777">
      <w:pPr>
        <w:pStyle w:val="Default"/>
        <w:tabs>
          <w:tab w:val="left" w:pos="720"/>
        </w:tabs>
        <w:ind w:left="720" w:hanging="720"/>
        <w:rPr>
          <w:rFonts w:ascii="Times New Roman" w:hAnsi="Times New Roman" w:cs="Times New Roman"/>
        </w:rPr>
      </w:pPr>
    </w:p>
    <w:p w:rsidRPr="008F6899" w:rsidR="005F4027" w:rsidP="005F4027" w:rsidRDefault="005F4027" w14:paraId="5D3FA65C" w14:textId="77777777">
      <w:pPr>
        <w:pStyle w:val="Default"/>
        <w:tabs>
          <w:tab w:val="left" w:pos="720"/>
        </w:tabs>
        <w:ind w:left="720" w:hanging="720"/>
        <w:rPr>
          <w:rFonts w:ascii="Times New Roman" w:hAnsi="Times New Roman" w:cs="Times New Roman"/>
        </w:rPr>
      </w:pPr>
    </w:p>
    <w:p w:rsidRPr="008F6899" w:rsidR="00D77E12" w:rsidP="005F4027" w:rsidRDefault="00D77E12" w14:paraId="6DDDFA6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CIRCUMSTANCES NECESSITATING COLLECTION OF INFORMATION </w:t>
      </w:r>
    </w:p>
    <w:p w:rsidRPr="008F6899" w:rsidR="005F4027" w:rsidP="005F4027" w:rsidRDefault="005F4027" w14:paraId="77DC193B" w14:textId="77777777">
      <w:pPr>
        <w:pStyle w:val="ListParagraph"/>
        <w:tabs>
          <w:tab w:val="left" w:pos="720"/>
        </w:tabs>
        <w:spacing w:after="0" w:line="240" w:lineRule="auto"/>
        <w:rPr>
          <w:rFonts w:ascii="Times New Roman" w:hAnsi="Times New Roman"/>
          <w:sz w:val="24"/>
          <w:szCs w:val="24"/>
          <w:u w:val="single"/>
        </w:rPr>
      </w:pPr>
    </w:p>
    <w:p w:rsidRPr="003F3EC8" w:rsidR="003F3EC8" w:rsidP="003F3EC8" w:rsidRDefault="005F4027" w14:paraId="7CECFA46" w14:textId="5CE90D91">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3F3EC8" w:rsidR="003F3EC8">
        <w:rPr>
          <w:rFonts w:ascii="Times New Roman" w:hAnsi="Times New Roman"/>
          <w:sz w:val="24"/>
          <w:szCs w:val="24"/>
        </w:rPr>
        <w:t xml:space="preserve">The Patient Protection and Affordable Care Act (the Affordable Care Act or the Act) was enacted on March 23, 2010.  Section 2719A of the Public Health Service Act (the PHS Act), as added by the Affordable Care Act, and the Department’s final regulations </w:t>
      </w:r>
      <w:r w:rsidR="00E300D4">
        <w:rPr>
          <w:rFonts w:ascii="Times New Roman" w:hAnsi="Times New Roman"/>
          <w:sz w:val="24"/>
          <w:szCs w:val="24"/>
        </w:rPr>
        <w:t>(26 CFR 54.9815</w:t>
      </w:r>
      <w:r w:rsidR="0095570C">
        <w:rPr>
          <w:rFonts w:ascii="Times New Roman" w:hAnsi="Times New Roman"/>
          <w:sz w:val="24"/>
          <w:szCs w:val="24"/>
        </w:rPr>
        <w:t>-</w:t>
      </w:r>
      <w:r w:rsidR="00E300D4">
        <w:rPr>
          <w:rFonts w:ascii="Times New Roman" w:hAnsi="Times New Roman"/>
          <w:sz w:val="24"/>
          <w:szCs w:val="24"/>
        </w:rPr>
        <w:t>2719A</w:t>
      </w:r>
      <w:r w:rsidR="00972398">
        <w:rPr>
          <w:rFonts w:ascii="Times New Roman" w:hAnsi="Times New Roman"/>
          <w:sz w:val="24"/>
          <w:szCs w:val="24"/>
        </w:rPr>
        <w:t>)</w:t>
      </w:r>
      <w:r w:rsidRPr="003F3EC8" w:rsidR="003F3EC8">
        <w:rPr>
          <w:rFonts w:ascii="Times New Roman" w:hAnsi="Times New Roman"/>
          <w:sz w:val="24"/>
          <w:szCs w:val="24"/>
        </w:rPr>
        <w:t xml:space="preserve"> provide that if a group health plan, or a health insurance issuer 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3F3EC8" w:rsidP="003F3EC8" w:rsidRDefault="003F3EC8" w14:paraId="30C92770" w14:textId="77777777">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p>
    <w:p w:rsidRPr="003F3EC8" w:rsidR="003F3EC8" w:rsidP="003F3EC8" w:rsidRDefault="003F3EC8" w14:paraId="7E345EBC" w14:textId="6E519CB6">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3F3EC8">
        <w:rPr>
          <w:rFonts w:ascii="Times New Roman" w:hAnsi="Times New Roman"/>
          <w:sz w:val="24"/>
          <w:szCs w:val="24"/>
        </w:rPr>
        <w:t xml:space="preserve">The statute and the 2015 final regulations impose a requirement for the designation of a pediatrician </w:t>
      </w:r>
      <w:proofErr w:type="gramStart"/>
      <w:r w:rsidRPr="003F3EC8">
        <w:rPr>
          <w:rFonts w:ascii="Times New Roman" w:hAnsi="Times New Roman"/>
          <w:sz w:val="24"/>
          <w:szCs w:val="24"/>
        </w:rPr>
        <w:t>similar to</w:t>
      </w:r>
      <w:proofErr w:type="gramEnd"/>
      <w:r w:rsidRPr="003F3EC8">
        <w:rPr>
          <w:rFonts w:ascii="Times New Roman" w:hAnsi="Times New Roman"/>
          <w:sz w:val="24"/>
          <w:szCs w:val="24"/>
        </w:rPr>
        <w:t xml:space="preserve">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p>
    <w:p w:rsidRPr="003F3EC8" w:rsidR="003F3EC8" w:rsidP="003F3EC8" w:rsidRDefault="003F3EC8" w14:paraId="3A23551F" w14:textId="77777777">
      <w:pPr>
        <w:tabs>
          <w:tab w:val="left" w:pos="720"/>
        </w:tabs>
        <w:spacing w:after="0" w:line="240" w:lineRule="auto"/>
        <w:ind w:left="720" w:hanging="720"/>
        <w:rPr>
          <w:rFonts w:ascii="Times New Roman" w:hAnsi="Times New Roman"/>
          <w:sz w:val="24"/>
          <w:szCs w:val="24"/>
        </w:rPr>
      </w:pPr>
    </w:p>
    <w:p w:rsidR="003F3EC8" w:rsidP="003F3EC8" w:rsidRDefault="003F3EC8" w14:paraId="59537EA8" w14:textId="2615AD23">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3F3EC8">
        <w:rPr>
          <w:rFonts w:ascii="Times New Roman" w:hAnsi="Times New Roman"/>
          <w:sz w:val="24"/>
          <w:szCs w:val="24"/>
        </w:rPr>
        <w:t>The statute and the 2015 final regulations also provide that 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r>
        <w:rPr>
          <w:rFonts w:ascii="Times New Roman" w:hAnsi="Times New Roman"/>
          <w:sz w:val="24"/>
          <w:szCs w:val="24"/>
        </w:rPr>
        <w:t xml:space="preserve"> </w:t>
      </w:r>
    </w:p>
    <w:p w:rsidR="003F3EC8" w:rsidP="003F3EC8" w:rsidRDefault="003F3EC8" w14:paraId="289FDD8D" w14:textId="180328CA">
      <w:pPr>
        <w:tabs>
          <w:tab w:val="left" w:pos="720"/>
        </w:tabs>
        <w:spacing w:after="0" w:line="240" w:lineRule="auto"/>
        <w:ind w:left="720" w:hanging="720"/>
        <w:rPr>
          <w:rFonts w:ascii="Times New Roman" w:hAnsi="Times New Roman"/>
          <w:sz w:val="24"/>
          <w:szCs w:val="24"/>
        </w:rPr>
      </w:pPr>
    </w:p>
    <w:p w:rsidR="003F3EC8" w:rsidP="003F3EC8" w:rsidRDefault="003F3EC8" w14:paraId="4C409A8F" w14:textId="39FBFC49">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3F3EC8">
        <w:rPr>
          <w:rFonts w:ascii="Times New Roman" w:hAnsi="Times New Roman"/>
          <w:sz w:val="24"/>
          <w:szCs w:val="24"/>
        </w:rPr>
        <w:t>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The No Surprises Act added section 2799A-7 of the PHS Act, which contains the patient</w:t>
      </w:r>
      <w:r>
        <w:rPr>
          <w:rFonts w:ascii="Times New Roman" w:hAnsi="Times New Roman"/>
          <w:sz w:val="24"/>
          <w:szCs w:val="24"/>
        </w:rPr>
        <w:t xml:space="preserve"> </w:t>
      </w:r>
      <w:r w:rsidRPr="003F3EC8">
        <w:rPr>
          <w:rFonts w:ascii="Times New Roman" w:hAnsi="Times New Roman"/>
          <w:sz w:val="24"/>
          <w:szCs w:val="24"/>
        </w:rPr>
        <w:t xml:space="preserve">protections regarding choice of health care professional from section 2719A of the PHS Act.  These provisions mirror those currently applicable under section 2719A of the PHS Act.  Accordingly, the 2015 final regulations and 2021 interim final regulations require such plans and issuers to provide a notice to participants (in the individual market, primary subscribers) of these rights when applicable.  Model language is provided in the 2015 final regulations and in the 2021 interim final regulations.  The notice must be provided whenever the plan or issuer provides a participant with a summary plan description or other similar description of benefits under the plan or health insurance </w:t>
      </w:r>
      <w:r w:rsidRPr="003F3EC8">
        <w:rPr>
          <w:rFonts w:ascii="Times New Roman" w:hAnsi="Times New Roman"/>
          <w:sz w:val="24"/>
          <w:szCs w:val="24"/>
        </w:rPr>
        <w:lastRenderedPageBreak/>
        <w:t>coverage, or in the individual market, provides a primary subscriber with a policy, certificate, or contract of health insurance.</w:t>
      </w:r>
      <w:r>
        <w:rPr>
          <w:rFonts w:ascii="Times New Roman" w:hAnsi="Times New Roman"/>
          <w:sz w:val="24"/>
          <w:szCs w:val="24"/>
        </w:rPr>
        <w:t xml:space="preserve">            </w:t>
      </w:r>
    </w:p>
    <w:p w:rsidRPr="00AF381B" w:rsidR="003F3EC8" w:rsidP="003F3EC8" w:rsidRDefault="003F3EC8" w14:paraId="703AFBB2" w14:textId="77777777">
      <w:pPr>
        <w:tabs>
          <w:tab w:val="left" w:pos="720"/>
        </w:tabs>
        <w:spacing w:after="0" w:line="240" w:lineRule="auto"/>
        <w:ind w:left="720" w:hanging="720"/>
        <w:rPr>
          <w:rFonts w:ascii="Times New Roman" w:hAnsi="Times New Roman"/>
          <w:sz w:val="24"/>
          <w:szCs w:val="24"/>
        </w:rPr>
      </w:pPr>
    </w:p>
    <w:p w:rsidRPr="00AF381B" w:rsidR="00AF381B" w:rsidP="00AF381B" w:rsidRDefault="00AF381B" w14:paraId="32C52DF3" w14:textId="6BE25B62">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3F3EC8" w:rsidR="003F3EC8">
        <w:rPr>
          <w:rFonts w:ascii="Times New Roman" w:hAnsi="Times New Roman"/>
          <w:sz w:val="24"/>
          <w:szCs w:val="24"/>
        </w:rPr>
        <w:t>The No Surprises Act, which Congress enacted as part of the Consolidated Appropriations Act, 2021, amended section 2719A of the PHS Act to specify in new subsection (e) that section 2719A shall not apply with respect to plan years beginning on or after January 1, 2022.  The No Surprises Act expanded the patient protections related to emergency services to provide additional protections.  In addition, the No Surprises Act added section 2799A-7 of the PHS Act, which contains the patient protections regarding choice of health care professional from section 2719A of the PHS Act.  These provisions mirror those currently applicable under section 2719A of the PHS Act (minus the emergency services protections).  In addition, the patient protections under the No Surprises Act apply generally to all group health plans and health insurance coverage, including grandfathered health plans.  The 2021 interim final regulations “Requirements Related to Surprise Billing; Part I” (henceforth 2021 interim final regulations) add a sunset clause to the current patient protection provisions codified in the 2015 final regulations, and re-codify the provisions related to</w:t>
      </w:r>
      <w:r w:rsidR="00B90B19">
        <w:rPr>
          <w:rFonts w:ascii="Times New Roman" w:hAnsi="Times New Roman"/>
          <w:sz w:val="24"/>
          <w:szCs w:val="24"/>
        </w:rPr>
        <w:t xml:space="preserve"> the</w:t>
      </w:r>
      <w:r w:rsidRPr="003F3EC8" w:rsidR="003F3EC8">
        <w:rPr>
          <w:rFonts w:ascii="Times New Roman" w:hAnsi="Times New Roman"/>
          <w:sz w:val="24"/>
          <w:szCs w:val="24"/>
        </w:rPr>
        <w:t xml:space="preserve"> choice of health care professional at </w:t>
      </w:r>
      <w:r w:rsidRPr="00493D48" w:rsidR="00E300D4">
        <w:rPr>
          <w:rFonts w:ascii="Times New Roman" w:hAnsi="Times New Roman"/>
          <w:sz w:val="24"/>
          <w:szCs w:val="24"/>
        </w:rPr>
        <w:t>26 CFR 54.98</w:t>
      </w:r>
      <w:r w:rsidR="0095570C">
        <w:rPr>
          <w:rFonts w:ascii="Times New Roman" w:hAnsi="Times New Roman"/>
          <w:sz w:val="24"/>
          <w:szCs w:val="24"/>
        </w:rPr>
        <w:t>22</w:t>
      </w:r>
      <w:r w:rsidRPr="00493D48" w:rsidR="00E300D4">
        <w:rPr>
          <w:rFonts w:ascii="Times New Roman" w:hAnsi="Times New Roman"/>
          <w:sz w:val="24"/>
          <w:szCs w:val="24"/>
        </w:rPr>
        <w:t>-</w:t>
      </w:r>
      <w:r w:rsidR="006F4C02">
        <w:rPr>
          <w:rFonts w:ascii="Times New Roman" w:hAnsi="Times New Roman"/>
          <w:sz w:val="24"/>
          <w:szCs w:val="24"/>
        </w:rPr>
        <w:t>1T</w:t>
      </w:r>
      <w:r w:rsidR="00F721BF">
        <w:rPr>
          <w:rFonts w:ascii="Times New Roman" w:hAnsi="Times New Roman"/>
          <w:sz w:val="24"/>
          <w:szCs w:val="24"/>
        </w:rPr>
        <w:t>.</w:t>
      </w:r>
    </w:p>
    <w:p w:rsidRPr="00AF381B" w:rsidR="00AF381B" w:rsidP="00AF381B" w:rsidRDefault="00AF381B" w14:paraId="51809F10" w14:textId="77777777">
      <w:pPr>
        <w:tabs>
          <w:tab w:val="left" w:pos="720"/>
        </w:tabs>
        <w:spacing w:after="0" w:line="240" w:lineRule="auto"/>
        <w:ind w:left="720" w:hanging="720"/>
        <w:rPr>
          <w:rFonts w:ascii="Times New Roman" w:hAnsi="Times New Roman"/>
          <w:sz w:val="24"/>
          <w:szCs w:val="24"/>
        </w:rPr>
      </w:pPr>
    </w:p>
    <w:p w:rsidRPr="00156098" w:rsidR="00D77E12" w:rsidP="005F4027" w:rsidRDefault="00D77E12" w14:paraId="25E9E27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156098">
        <w:rPr>
          <w:rFonts w:ascii="Times New Roman" w:hAnsi="Times New Roman"/>
          <w:sz w:val="24"/>
          <w:szCs w:val="24"/>
          <w:u w:val="single"/>
        </w:rPr>
        <w:t xml:space="preserve">USE OF DATA </w:t>
      </w:r>
    </w:p>
    <w:p w:rsidRPr="00156098" w:rsidR="00D77E12" w:rsidP="005F4027" w:rsidRDefault="00D77E12" w14:paraId="18A185C9" w14:textId="77777777">
      <w:pPr>
        <w:pStyle w:val="ListParagraph"/>
        <w:tabs>
          <w:tab w:val="left" w:pos="720"/>
        </w:tabs>
        <w:spacing w:after="0" w:line="240" w:lineRule="auto"/>
        <w:ind w:hanging="720"/>
        <w:rPr>
          <w:rFonts w:ascii="Times New Roman" w:hAnsi="Times New Roman"/>
          <w:sz w:val="24"/>
          <w:szCs w:val="24"/>
        </w:rPr>
      </w:pPr>
    </w:p>
    <w:p w:rsidRPr="008F6899" w:rsidR="005F4027" w:rsidP="00CC4ADE" w:rsidRDefault="00AF381B" w14:paraId="07963D59" w14:textId="77777777">
      <w:pPr>
        <w:spacing w:line="240" w:lineRule="auto"/>
        <w:ind w:left="720"/>
        <w:rPr>
          <w:rFonts w:ascii="Times New Roman" w:hAnsi="Times New Roman"/>
          <w:sz w:val="24"/>
          <w:szCs w:val="24"/>
        </w:rPr>
      </w:pPr>
      <w:r w:rsidRPr="00940817">
        <w:rPr>
          <w:rFonts w:ascii="Times New Roman" w:hAnsi="Times New Roman"/>
          <w:sz w:val="24"/>
          <w:szCs w:val="24"/>
        </w:rPr>
        <w:t>The notice of right to designate a primary care provider used by health plan sponsors and issuers to notify certain individuals of their right to (1) choose a primary care provider or a pediatrician when a plan or issuer requires participants or subscribers to designate a primary care physician; or (2) obtain obstetrical or gynecological care without prior authorization.</w:t>
      </w:r>
    </w:p>
    <w:p w:rsidRPr="002B5668" w:rsidR="00D77E12" w:rsidP="00156098" w:rsidRDefault="00D77E12" w14:paraId="29BC4431"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USE OF IMPROVED INFORMATION TECHNOLOGY TO REDUCE BURDEN</w:t>
      </w:r>
    </w:p>
    <w:p w:rsidRPr="008F6899" w:rsidR="005F4027" w:rsidP="00156098" w:rsidRDefault="005F4027" w14:paraId="3690E2DE" w14:textId="77777777">
      <w:pPr>
        <w:pStyle w:val="ListParagraph"/>
        <w:tabs>
          <w:tab w:val="left" w:pos="720"/>
        </w:tabs>
        <w:spacing w:after="0" w:line="240" w:lineRule="auto"/>
        <w:rPr>
          <w:rFonts w:ascii="Times New Roman" w:hAnsi="Times New Roman"/>
          <w:sz w:val="24"/>
          <w:szCs w:val="24"/>
          <w:u w:val="single"/>
        </w:rPr>
      </w:pPr>
    </w:p>
    <w:p w:rsidRPr="00940817" w:rsidR="005F4027" w:rsidP="00940817" w:rsidRDefault="00AF381B" w14:paraId="6EC2EF8B" w14:textId="24D76398">
      <w:pPr>
        <w:spacing w:line="240" w:lineRule="auto"/>
        <w:ind w:left="720"/>
      </w:pPr>
      <w:r w:rsidRPr="00AF381B">
        <w:rPr>
          <w:rFonts w:ascii="Times New Roman" w:hAnsi="Times New Roman"/>
          <w:sz w:val="24"/>
          <w:szCs w:val="24"/>
        </w:rPr>
        <w:t xml:space="preserve">The regulation does not restrict plans or issuers from using electronic technology to provide either disclosure. </w:t>
      </w:r>
    </w:p>
    <w:p w:rsidRPr="002B5668" w:rsidR="00D77E12" w:rsidP="005F4027" w:rsidRDefault="00D77E12" w14:paraId="476CA1B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EFFORTS TO IDENTIFY DUPLICATION</w:t>
      </w:r>
    </w:p>
    <w:p w:rsidR="003F3EC8" w:rsidP="005F4027" w:rsidRDefault="003F3EC8" w14:paraId="5E0FBAC1" w14:textId="77777777">
      <w:pPr>
        <w:tabs>
          <w:tab w:val="left" w:pos="720"/>
        </w:tabs>
        <w:spacing w:after="0" w:line="240" w:lineRule="auto"/>
        <w:ind w:left="720" w:hanging="720"/>
        <w:rPr>
          <w:rFonts w:ascii="Times New Roman" w:hAnsi="Times New Roman"/>
          <w:sz w:val="24"/>
          <w:szCs w:val="24"/>
        </w:rPr>
      </w:pPr>
    </w:p>
    <w:p w:rsidRPr="00940817" w:rsidR="00D77E12" w:rsidP="005F4027" w:rsidRDefault="003F3EC8" w14:paraId="49822809" w14:textId="600015D9">
      <w:pPr>
        <w:tabs>
          <w:tab w:val="left" w:pos="720"/>
        </w:tabs>
        <w:spacing w:after="0" w:line="240" w:lineRule="auto"/>
        <w:ind w:left="720" w:hanging="720"/>
      </w:pPr>
      <w:r>
        <w:rPr>
          <w:rFonts w:ascii="Times New Roman" w:hAnsi="Times New Roman"/>
          <w:sz w:val="24"/>
          <w:szCs w:val="24"/>
        </w:rPr>
        <w:t xml:space="preserve">            </w:t>
      </w:r>
      <w:r w:rsidRPr="00AF381B" w:rsidR="00AF381B">
        <w:rPr>
          <w:rFonts w:ascii="Times New Roman" w:hAnsi="Times New Roman"/>
          <w:sz w:val="24"/>
          <w:szCs w:val="24"/>
        </w:rPr>
        <w:t>The No Surprises Act, which was enacted as part of the Consolidated Appropriations Act, 2021 (Pub. L. 116-260). These interim final rules and The No Surprises Act amend and add provisions to existing rules under the Internal Revenue Code, the Employee Retirement Income Security Act, and the Public Health Service Act.  However, only the Department of Health and Human Services has jurisdiction over state and local government plans and individual market plans</w:t>
      </w:r>
      <w:r w:rsidR="001926D4">
        <w:rPr>
          <w:rFonts w:ascii="Times New Roman" w:hAnsi="Times New Roman"/>
          <w:sz w:val="24"/>
          <w:szCs w:val="24"/>
        </w:rPr>
        <w:t xml:space="preserve">. </w:t>
      </w:r>
      <w:r w:rsidRPr="002B5668" w:rsidR="001926D4">
        <w:rPr>
          <w:rFonts w:ascii="Times New Roman" w:hAnsi="Times New Roman"/>
          <w:sz w:val="24"/>
          <w:szCs w:val="24"/>
        </w:rPr>
        <w:t>T</w:t>
      </w:r>
      <w:r w:rsidRPr="002B5668" w:rsidR="00AF381B">
        <w:rPr>
          <w:rFonts w:ascii="Times New Roman" w:hAnsi="Times New Roman"/>
          <w:sz w:val="24"/>
          <w:szCs w:val="24"/>
        </w:rPr>
        <w:t xml:space="preserve">he Department of Labor </w:t>
      </w:r>
      <w:r w:rsidRPr="002B5668" w:rsidR="001926D4">
        <w:rPr>
          <w:rFonts w:ascii="Times New Roman" w:hAnsi="Times New Roman"/>
          <w:sz w:val="24"/>
          <w:szCs w:val="24"/>
        </w:rPr>
        <w:t>and the Internal Revenue Service share jurisdiction over</w:t>
      </w:r>
      <w:r w:rsidRPr="002B5668" w:rsidR="00AF381B">
        <w:rPr>
          <w:rFonts w:ascii="Times New Roman" w:hAnsi="Times New Roman"/>
          <w:sz w:val="24"/>
          <w:szCs w:val="24"/>
        </w:rPr>
        <w:t xml:space="preserve"> ERISA-covered group health plans.</w:t>
      </w:r>
      <w:r w:rsidRPr="00AF381B" w:rsidR="00AF381B">
        <w:rPr>
          <w:rFonts w:ascii="Times New Roman" w:hAnsi="Times New Roman"/>
          <w:sz w:val="24"/>
          <w:szCs w:val="24"/>
        </w:rPr>
        <w:t xml:space="preserve"> </w:t>
      </w:r>
      <w:r w:rsidR="007A1744">
        <w:rPr>
          <w:rFonts w:ascii="Times New Roman" w:hAnsi="Times New Roman"/>
          <w:sz w:val="24"/>
          <w:szCs w:val="24"/>
        </w:rPr>
        <w:t xml:space="preserve">The Department of the Treasury and </w:t>
      </w:r>
      <w:r w:rsidRPr="007A1744" w:rsidR="007A1744">
        <w:rPr>
          <w:rFonts w:ascii="Times New Roman" w:hAnsi="Times New Roman"/>
          <w:sz w:val="24"/>
          <w:szCs w:val="24"/>
        </w:rPr>
        <w:t>Internal Revenue Service</w:t>
      </w:r>
      <w:r w:rsidR="007A1744">
        <w:rPr>
          <w:rFonts w:ascii="Times New Roman" w:hAnsi="Times New Roman"/>
          <w:sz w:val="24"/>
          <w:szCs w:val="24"/>
        </w:rPr>
        <w:t xml:space="preserve"> have</w:t>
      </w:r>
      <w:r w:rsidR="001926D4">
        <w:rPr>
          <w:rFonts w:ascii="Times New Roman" w:hAnsi="Times New Roman"/>
          <w:sz w:val="24"/>
          <w:szCs w:val="24"/>
        </w:rPr>
        <w:t xml:space="preserve"> sole</w:t>
      </w:r>
      <w:r w:rsidR="007A1744">
        <w:rPr>
          <w:rFonts w:ascii="Times New Roman" w:hAnsi="Times New Roman"/>
          <w:sz w:val="24"/>
          <w:szCs w:val="24"/>
        </w:rPr>
        <w:t xml:space="preserve"> jurisdiction over church plans.</w:t>
      </w:r>
      <w:r w:rsidRPr="00AF381B" w:rsidR="00AF381B">
        <w:rPr>
          <w:rFonts w:ascii="Times New Roman" w:hAnsi="Times New Roman"/>
          <w:sz w:val="24"/>
          <w:szCs w:val="24"/>
        </w:rPr>
        <w:t xml:space="preserve"> Thus, there will be no duplication of effort with </w:t>
      </w:r>
      <w:r w:rsidR="007A1744">
        <w:rPr>
          <w:rFonts w:ascii="Times New Roman" w:hAnsi="Times New Roman"/>
          <w:sz w:val="24"/>
          <w:szCs w:val="24"/>
        </w:rPr>
        <w:t xml:space="preserve">the Department of </w:t>
      </w:r>
      <w:r w:rsidRPr="00AF381B" w:rsidR="00AF381B">
        <w:rPr>
          <w:rFonts w:ascii="Times New Roman" w:hAnsi="Times New Roman"/>
          <w:sz w:val="24"/>
          <w:szCs w:val="24"/>
        </w:rPr>
        <w:t>H</w:t>
      </w:r>
      <w:r w:rsidR="007A1744">
        <w:rPr>
          <w:rFonts w:ascii="Times New Roman" w:hAnsi="Times New Roman"/>
          <w:sz w:val="24"/>
          <w:szCs w:val="24"/>
        </w:rPr>
        <w:t xml:space="preserve">ealth and </w:t>
      </w:r>
      <w:r w:rsidRPr="00AF381B" w:rsidR="00AF381B">
        <w:rPr>
          <w:rFonts w:ascii="Times New Roman" w:hAnsi="Times New Roman"/>
          <w:sz w:val="24"/>
          <w:szCs w:val="24"/>
        </w:rPr>
        <w:t>H</w:t>
      </w:r>
      <w:r w:rsidR="007A1744">
        <w:rPr>
          <w:rFonts w:ascii="Times New Roman" w:hAnsi="Times New Roman"/>
          <w:sz w:val="24"/>
          <w:szCs w:val="24"/>
        </w:rPr>
        <w:t xml:space="preserve">uman </w:t>
      </w:r>
      <w:r w:rsidRPr="00AF381B" w:rsidR="00AF381B">
        <w:rPr>
          <w:rFonts w:ascii="Times New Roman" w:hAnsi="Times New Roman"/>
          <w:sz w:val="24"/>
          <w:szCs w:val="24"/>
        </w:rPr>
        <w:t>S</w:t>
      </w:r>
      <w:r w:rsidR="007A1744">
        <w:rPr>
          <w:rFonts w:ascii="Times New Roman" w:hAnsi="Times New Roman"/>
          <w:sz w:val="24"/>
          <w:szCs w:val="24"/>
        </w:rPr>
        <w:t>ervices</w:t>
      </w:r>
      <w:r w:rsidR="00F10AF6">
        <w:rPr>
          <w:rFonts w:ascii="Times New Roman" w:hAnsi="Times New Roman"/>
          <w:sz w:val="24"/>
          <w:szCs w:val="24"/>
        </w:rPr>
        <w:t xml:space="preserve">. The Department of Treasury and Internal Revenue Service will split the burden with the Department of </w:t>
      </w:r>
      <w:r w:rsidR="007A1744">
        <w:rPr>
          <w:rFonts w:ascii="Times New Roman" w:hAnsi="Times New Roman"/>
          <w:sz w:val="24"/>
          <w:szCs w:val="24"/>
        </w:rPr>
        <w:t>Labor</w:t>
      </w:r>
      <w:r w:rsidR="00F10AF6">
        <w:rPr>
          <w:rFonts w:ascii="Times New Roman" w:hAnsi="Times New Roman"/>
          <w:sz w:val="24"/>
          <w:szCs w:val="24"/>
        </w:rPr>
        <w:t xml:space="preserve"> such that there will be no duplication of effort</w:t>
      </w:r>
      <w:r w:rsidRPr="00AF381B" w:rsidR="00AF381B">
        <w:rPr>
          <w:rFonts w:ascii="Times New Roman" w:hAnsi="Times New Roman"/>
          <w:sz w:val="24"/>
          <w:szCs w:val="24"/>
        </w:rPr>
        <w:t>.</w:t>
      </w:r>
    </w:p>
    <w:p w:rsidRPr="008F6899" w:rsidR="005F4027" w:rsidP="005F4027" w:rsidRDefault="005F4027" w14:paraId="2146B3C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306B3F85"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lastRenderedPageBreak/>
        <w:t xml:space="preserve">METHODS TO MINIMIZE BURDEN ON SMALL BUSINESSES OR OTHER SMALL ENTITIES </w:t>
      </w:r>
    </w:p>
    <w:p w:rsidRPr="008F6899" w:rsidR="005F4027" w:rsidP="005F4027" w:rsidRDefault="005F4027" w14:paraId="1D709893" w14:textId="77777777">
      <w:pPr>
        <w:tabs>
          <w:tab w:val="left" w:pos="720"/>
        </w:tabs>
        <w:spacing w:after="0" w:line="240" w:lineRule="auto"/>
        <w:ind w:left="720" w:hanging="720"/>
        <w:rPr>
          <w:rFonts w:ascii="Times New Roman" w:hAnsi="Times New Roman"/>
          <w:sz w:val="24"/>
          <w:szCs w:val="24"/>
        </w:rPr>
      </w:pPr>
    </w:p>
    <w:p w:rsidRPr="003F47C6" w:rsidR="00D77E12" w:rsidP="00940817" w:rsidRDefault="00940817" w14:paraId="039A0F48" w14:textId="68CBC30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AF381B" w:rsidR="00AF381B">
        <w:rPr>
          <w:rFonts w:ascii="Times New Roman" w:hAnsi="Times New Roman"/>
          <w:sz w:val="24"/>
          <w:szCs w:val="24"/>
        </w:rPr>
        <w:t xml:space="preserve">All plans regardless of size are required to notify plan participants of their rights.  Model notices have been provided to reduce burden.  Notices can be part of other plan documents and within the guidelines of the </w:t>
      </w:r>
      <w:r w:rsidR="004B30BF">
        <w:rPr>
          <w:rFonts w:ascii="Times New Roman" w:hAnsi="Times New Roman"/>
          <w:sz w:val="24"/>
          <w:szCs w:val="24"/>
        </w:rPr>
        <w:t>Agency’s</w:t>
      </w:r>
      <w:r w:rsidRPr="00AF381B" w:rsidR="00AF381B">
        <w:rPr>
          <w:rFonts w:ascii="Times New Roman" w:hAnsi="Times New Roman"/>
          <w:sz w:val="24"/>
          <w:szCs w:val="24"/>
        </w:rPr>
        <w:t xml:space="preserve"> rules provide notices electronically to minimize burden.  </w:t>
      </w:r>
    </w:p>
    <w:p w:rsidRPr="008F6899" w:rsidR="005F4027" w:rsidP="005F4027" w:rsidRDefault="005F4027" w14:paraId="4848E265" w14:textId="77777777">
      <w:pPr>
        <w:tabs>
          <w:tab w:val="left" w:pos="720"/>
        </w:tabs>
        <w:spacing w:after="0" w:line="240" w:lineRule="auto"/>
        <w:ind w:left="720" w:hanging="720"/>
        <w:rPr>
          <w:rFonts w:ascii="Times New Roman" w:hAnsi="Times New Roman"/>
          <w:sz w:val="24"/>
          <w:szCs w:val="24"/>
        </w:rPr>
      </w:pPr>
    </w:p>
    <w:p w:rsidRPr="008F6899" w:rsidR="007C01F9" w:rsidP="005F4027" w:rsidRDefault="00D77E12" w14:paraId="2F22211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CONSEQUENCES OF LESS FREQUENT COLLECTION ON FEDERAL PROGRAMS OR POLICY ACTIVITIES</w:t>
      </w:r>
    </w:p>
    <w:p w:rsidRPr="008F6899" w:rsidR="005F4027" w:rsidP="005F4027" w:rsidRDefault="005F4027" w14:paraId="4B5C7ED8" w14:textId="77777777">
      <w:pPr>
        <w:tabs>
          <w:tab w:val="left" w:pos="720"/>
        </w:tabs>
        <w:spacing w:after="0" w:line="240" w:lineRule="auto"/>
        <w:ind w:left="720" w:hanging="720"/>
        <w:rPr>
          <w:rFonts w:ascii="Times New Roman" w:hAnsi="Times New Roman"/>
          <w:sz w:val="24"/>
          <w:szCs w:val="24"/>
        </w:rPr>
      </w:pPr>
    </w:p>
    <w:p w:rsidR="00D77E12" w:rsidP="00940817" w:rsidRDefault="00940817" w14:paraId="367AF83D" w14:textId="6E82BD56">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A9095A" w:rsidR="00A9095A">
        <w:rPr>
          <w:rFonts w:ascii="Times New Roman" w:hAnsi="Times New Roman"/>
          <w:sz w:val="24"/>
          <w:szCs w:val="24"/>
        </w:rPr>
        <w:t>If this information were conducted less frequently, affected individuals would not be informed of their right to (1) choose a primary care provider or a pediatrician when a plan or issuer requires participants or subscribers to designate a primary care physician; or (2) obtain obstetrical or gynecological care without prior authorization.</w:t>
      </w:r>
      <w:r w:rsidRPr="008F6899" w:rsidR="00D77E12">
        <w:rPr>
          <w:rFonts w:ascii="Times New Roman" w:hAnsi="Times New Roman"/>
          <w:sz w:val="24"/>
          <w:szCs w:val="24"/>
        </w:rPr>
        <w:t xml:space="preserve"> </w:t>
      </w:r>
    </w:p>
    <w:p w:rsidRPr="008F6899" w:rsidR="00940817" w:rsidP="00940817" w:rsidRDefault="00940817" w14:paraId="28A67931"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269218D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SPECIAL CIRCUMSTANCES REQUIRING DATA COLLECTION TO BE INCONSISTENT WITH GUIDELINES IN 5 CFR 1320.5(d)(2)</w:t>
      </w:r>
    </w:p>
    <w:p w:rsidRPr="008F6899" w:rsidR="005F4027" w:rsidP="005F4027" w:rsidRDefault="005F4027" w14:paraId="4DD00AC2" w14:textId="77777777">
      <w:pPr>
        <w:tabs>
          <w:tab w:val="left" w:pos="720"/>
        </w:tabs>
        <w:spacing w:after="0" w:line="240" w:lineRule="auto"/>
        <w:ind w:left="720" w:hanging="720"/>
        <w:rPr>
          <w:rFonts w:ascii="Times New Roman" w:hAnsi="Times New Roman"/>
          <w:sz w:val="24"/>
          <w:szCs w:val="24"/>
        </w:rPr>
      </w:pPr>
    </w:p>
    <w:p w:rsidR="005F4027" w:rsidP="00940817" w:rsidRDefault="00940817" w14:paraId="41398AB8" w14:textId="4664FD7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C495D">
        <w:rPr>
          <w:rFonts w:ascii="Times New Roman" w:hAnsi="Times New Roman"/>
          <w:sz w:val="24"/>
          <w:szCs w:val="24"/>
        </w:rPr>
        <w:t>There are no special circumstances requiring data collection to be inconsistent with Guidelines in 5 CFR 1320.5(d)(2).</w:t>
      </w:r>
    </w:p>
    <w:p w:rsidRPr="008F6899" w:rsidR="00940817" w:rsidP="00940817" w:rsidRDefault="00940817" w14:paraId="2B5DC7D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578B914E"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CONSULTATION WITH INDIVIDUALS OUTSIDE OF THE AGENCY ON AVAILABILITY OF DATA, FREQUENCY OF COLLECTION, CLARITY OF INSTRUCTIONS AND FORMS, AND DATA ELEMENTS</w:t>
      </w:r>
    </w:p>
    <w:p w:rsidRPr="00940817" w:rsidR="00636E57" w:rsidP="00940817" w:rsidRDefault="00636E57" w14:paraId="20523CB9" w14:textId="77777777">
      <w:pPr>
        <w:tabs>
          <w:tab w:val="left" w:pos="720"/>
        </w:tabs>
        <w:spacing w:after="0" w:line="240" w:lineRule="auto"/>
        <w:ind w:left="720" w:hanging="720"/>
        <w:rPr>
          <w:rFonts w:ascii="Times New Roman" w:hAnsi="Times New Roman"/>
          <w:sz w:val="24"/>
          <w:szCs w:val="24"/>
        </w:rPr>
      </w:pPr>
    </w:p>
    <w:p w:rsidR="004037A2" w:rsidP="00940817" w:rsidRDefault="00940817" w14:paraId="0DF04174" w14:textId="42C0E98C">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D05D39" w:rsidR="00D05D39">
        <w:rPr>
          <w:rFonts w:ascii="Times New Roman" w:hAnsi="Times New Roman"/>
          <w:sz w:val="24"/>
          <w:szCs w:val="24"/>
        </w:rPr>
        <w:t xml:space="preserve">The agency received no comments during the comment period in response to the Federal Register notice dated </w:t>
      </w:r>
      <w:r w:rsidR="00D05D39">
        <w:rPr>
          <w:rFonts w:ascii="Times New Roman" w:hAnsi="Times New Roman"/>
          <w:sz w:val="24"/>
          <w:szCs w:val="24"/>
        </w:rPr>
        <w:t>April 15</w:t>
      </w:r>
      <w:r w:rsidRPr="00D05D39" w:rsidR="00D05D39">
        <w:rPr>
          <w:rFonts w:ascii="Times New Roman" w:hAnsi="Times New Roman"/>
          <w:sz w:val="24"/>
          <w:szCs w:val="24"/>
        </w:rPr>
        <w:t xml:space="preserve">, 2022 (87 FR 22628).  </w:t>
      </w:r>
    </w:p>
    <w:p w:rsidRPr="00940817" w:rsidR="00940817" w:rsidP="00940817" w:rsidRDefault="00940817" w14:paraId="7EFBE4FA"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550BB41D"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EXPLANATION OF DECISION TO PROVIDE ANY PAYMENT OR GIFT TO RESPONDENTS</w:t>
      </w:r>
    </w:p>
    <w:p w:rsidRPr="008F6899" w:rsidR="005F4027" w:rsidP="005F4027" w:rsidRDefault="005F4027" w14:paraId="3D09A67C" w14:textId="77777777">
      <w:pPr>
        <w:tabs>
          <w:tab w:val="left" w:pos="720"/>
        </w:tabs>
        <w:spacing w:after="0" w:line="240" w:lineRule="auto"/>
        <w:ind w:left="720" w:hanging="720"/>
        <w:rPr>
          <w:rFonts w:ascii="Times New Roman" w:hAnsi="Times New Roman"/>
          <w:sz w:val="24"/>
          <w:szCs w:val="24"/>
        </w:rPr>
      </w:pPr>
    </w:p>
    <w:p w:rsidRPr="00940817" w:rsidR="004037A2" w:rsidP="00940817" w:rsidRDefault="00940817" w14:paraId="3644B6BE" w14:textId="50C62F90">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4037A2">
        <w:rPr>
          <w:rFonts w:ascii="Times New Roman" w:hAnsi="Times New Roman"/>
          <w:sz w:val="24"/>
          <w:szCs w:val="24"/>
        </w:rPr>
        <w:t>No payment or gift has been provided to any respondents.</w:t>
      </w:r>
    </w:p>
    <w:p w:rsidRPr="008F6899" w:rsidR="005F4027" w:rsidP="005F4027" w:rsidRDefault="005F4027" w14:paraId="05236CBF"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D77E12" w14:paraId="3B0F8712"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ASSURANCE OF CONFIDENTIALITY OF RESPONSES </w:t>
      </w:r>
    </w:p>
    <w:p w:rsidRPr="008F6899" w:rsidR="005F4027" w:rsidP="005F4027" w:rsidRDefault="005F4027" w14:paraId="5DBD9368" w14:textId="77777777">
      <w:pPr>
        <w:tabs>
          <w:tab w:val="left" w:pos="720"/>
        </w:tabs>
        <w:spacing w:after="0" w:line="240" w:lineRule="auto"/>
        <w:ind w:left="720" w:hanging="720"/>
        <w:rPr>
          <w:rFonts w:ascii="Times New Roman" w:hAnsi="Times New Roman"/>
          <w:sz w:val="24"/>
          <w:szCs w:val="24"/>
        </w:rPr>
      </w:pPr>
    </w:p>
    <w:p w:rsidR="00DA7264" w:rsidP="00940817" w:rsidRDefault="00940817" w14:paraId="3BEF2FF8" w14:textId="520AB5B1">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C015D2" w:rsidR="004037A2">
        <w:rPr>
          <w:rFonts w:ascii="Times New Roman" w:hAnsi="Times New Roman"/>
          <w:sz w:val="24"/>
          <w:szCs w:val="24"/>
        </w:rPr>
        <w:t>Generally, tax returns and tax return information are confidential as required by 26 USC 6103.</w:t>
      </w:r>
      <w:r w:rsidR="00A9095A">
        <w:rPr>
          <w:rFonts w:ascii="Times New Roman" w:hAnsi="Times New Roman"/>
          <w:sz w:val="24"/>
          <w:szCs w:val="24"/>
        </w:rPr>
        <w:t xml:space="preserve"> </w:t>
      </w:r>
    </w:p>
    <w:p w:rsidRPr="008F6899" w:rsidR="00D05D39" w:rsidP="00940817" w:rsidRDefault="00D05D39" w14:paraId="49C349AA"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6A3E18D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JUSTIFICATION OF SENSITIVE QUESTIONS </w:t>
      </w:r>
    </w:p>
    <w:p w:rsidRPr="008F6899" w:rsidR="005F4027" w:rsidP="005F4027" w:rsidRDefault="005F4027" w14:paraId="6B4B5DBF" w14:textId="77777777">
      <w:pPr>
        <w:tabs>
          <w:tab w:val="left" w:pos="720"/>
        </w:tabs>
        <w:spacing w:after="0" w:line="240" w:lineRule="auto"/>
        <w:ind w:left="720" w:hanging="720"/>
        <w:rPr>
          <w:rFonts w:ascii="Times New Roman" w:hAnsi="Times New Roman"/>
          <w:sz w:val="24"/>
          <w:szCs w:val="24"/>
        </w:rPr>
      </w:pPr>
    </w:p>
    <w:p w:rsidR="007B2DEE" w:rsidP="006B6BF5" w:rsidRDefault="005F4027" w14:paraId="45585555" w14:textId="7FE92974">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8F6899" w:rsidR="00CB7328">
        <w:rPr>
          <w:rFonts w:ascii="Times New Roman" w:hAnsi="Times New Roman"/>
          <w:sz w:val="24"/>
          <w:szCs w:val="24"/>
        </w:rPr>
        <w:t>No personally identifiable information (PII) is collected.</w:t>
      </w:r>
    </w:p>
    <w:p w:rsidRPr="008F6899" w:rsidR="00DA7264" w:rsidP="006B6BF5" w:rsidRDefault="00DA7264" w14:paraId="2EE84565" w14:textId="77777777">
      <w:pPr>
        <w:tabs>
          <w:tab w:val="left" w:pos="720"/>
        </w:tabs>
        <w:spacing w:after="0" w:line="240" w:lineRule="auto"/>
        <w:ind w:left="720" w:hanging="720"/>
        <w:rPr>
          <w:rFonts w:ascii="Times New Roman" w:hAnsi="Times New Roman"/>
          <w:sz w:val="24"/>
          <w:szCs w:val="24"/>
        </w:rPr>
      </w:pPr>
    </w:p>
    <w:p w:rsidR="00D77E12" w:rsidP="005F4027" w:rsidRDefault="00D77E12" w14:paraId="68CE7BE9" w14:textId="23A8E9F9">
      <w:pPr>
        <w:tabs>
          <w:tab w:val="left" w:pos="720"/>
        </w:tabs>
        <w:spacing w:after="0" w:line="240" w:lineRule="auto"/>
        <w:ind w:left="720" w:hanging="720"/>
        <w:rPr>
          <w:rFonts w:ascii="Times New Roman" w:hAnsi="Times New Roman"/>
          <w:sz w:val="24"/>
          <w:szCs w:val="24"/>
        </w:rPr>
      </w:pPr>
    </w:p>
    <w:p w:rsidR="004B3AE5" w:rsidP="005F4027" w:rsidRDefault="004B3AE5" w14:paraId="2224B3CD" w14:textId="751277BE">
      <w:pPr>
        <w:tabs>
          <w:tab w:val="left" w:pos="720"/>
        </w:tabs>
        <w:spacing w:after="0" w:line="240" w:lineRule="auto"/>
        <w:ind w:left="720" w:hanging="720"/>
        <w:rPr>
          <w:rFonts w:ascii="Times New Roman" w:hAnsi="Times New Roman"/>
          <w:sz w:val="24"/>
          <w:szCs w:val="24"/>
        </w:rPr>
      </w:pPr>
    </w:p>
    <w:p w:rsidRPr="008F6899" w:rsidR="004B3AE5" w:rsidP="005F4027" w:rsidRDefault="004B3AE5" w14:paraId="60889DAC" w14:textId="77777777">
      <w:pPr>
        <w:tabs>
          <w:tab w:val="left" w:pos="720"/>
        </w:tabs>
        <w:spacing w:after="0" w:line="240" w:lineRule="auto"/>
        <w:ind w:left="720" w:hanging="720"/>
        <w:rPr>
          <w:rFonts w:ascii="Times New Roman" w:hAnsi="Times New Roman"/>
          <w:sz w:val="24"/>
          <w:szCs w:val="24"/>
        </w:rPr>
      </w:pPr>
    </w:p>
    <w:p w:rsidR="00D77E12" w:rsidP="00940817" w:rsidRDefault="00D77E12" w14:paraId="54749846" w14:textId="7802BC41">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lastRenderedPageBreak/>
        <w:t>ESTIMATED BURDEN OF INFORMATION COLLECTION</w:t>
      </w:r>
    </w:p>
    <w:p w:rsidR="00B94216" w:rsidP="00B94216" w:rsidRDefault="00B94216" w14:paraId="1BFCF331" w14:textId="294CABAE">
      <w:pPr>
        <w:tabs>
          <w:tab w:val="left" w:pos="720"/>
        </w:tabs>
        <w:spacing w:after="0" w:line="240" w:lineRule="auto"/>
        <w:rPr>
          <w:rFonts w:ascii="Times New Roman" w:hAnsi="Times New Roman"/>
          <w:sz w:val="24"/>
          <w:szCs w:val="24"/>
          <w:u w:val="single"/>
        </w:rPr>
      </w:pPr>
    </w:p>
    <w:p w:rsidRPr="00B94216" w:rsidR="00B94216" w:rsidP="00DA7264" w:rsidRDefault="00B94216" w14:paraId="61E77217" w14:textId="5968A793">
      <w:pPr>
        <w:tabs>
          <w:tab w:val="left" w:pos="-1440"/>
        </w:tabs>
        <w:spacing w:line="240" w:lineRule="auto"/>
        <w:ind w:left="720"/>
        <w:rPr>
          <w:rFonts w:ascii="Times New Roman" w:hAnsi="Times New Roman" w:eastAsia="Times New Roman"/>
          <w:iCs/>
          <w:sz w:val="24"/>
          <w:szCs w:val="20"/>
        </w:rPr>
      </w:pPr>
      <w:r w:rsidRPr="00B94216">
        <w:rPr>
          <w:rFonts w:ascii="Times New Roman" w:hAnsi="Times New Roman" w:eastAsia="Times New Roman"/>
          <w:iCs/>
          <w:sz w:val="24"/>
          <w:szCs w:val="20"/>
        </w:rPr>
        <w:t xml:space="preserve">PHS Act 2719A and the final regulations affect only plans and participants in plans that require participants to designate a primary care physician and are non-grandfathered plans.  The Departments assume that this is most likely to happen in Health Maintenance Organization (HMO and Point-of-Service (POS) type arrangements.  Therefore, the Department has estimated the number of plans and participants that have HMO- or POS-type coverage that are not grandfathered group health plans.  Further, </w:t>
      </w:r>
      <w:bookmarkStart w:name="OLE_LINK3" w:id="0"/>
      <w:bookmarkStart w:name="OLE_LINK4" w:id="1"/>
      <w:r w:rsidRPr="00B94216">
        <w:rPr>
          <w:rFonts w:ascii="Times New Roman" w:hAnsi="Times New Roman" w:eastAsia="Times New Roman"/>
          <w:iCs/>
          <w:sz w:val="24"/>
          <w:szCs w:val="20"/>
        </w:rPr>
        <w:t xml:space="preserve">the Department believes that plans that are still grandfathered in 2022 will become subject to this notice requirement for the first time and incur the one-time costs to prepare the notice.  In subsequent years, this notice would remain </w:t>
      </w:r>
      <w:proofErr w:type="gramStart"/>
      <w:r w:rsidRPr="00B94216">
        <w:rPr>
          <w:rFonts w:ascii="Times New Roman" w:hAnsi="Times New Roman" w:eastAsia="Times New Roman"/>
          <w:iCs/>
          <w:sz w:val="24"/>
          <w:szCs w:val="20"/>
        </w:rPr>
        <w:t>unchanged</w:t>
      </w:r>
      <w:proofErr w:type="gramEnd"/>
      <w:r w:rsidRPr="00B94216">
        <w:rPr>
          <w:rFonts w:ascii="Times New Roman" w:hAnsi="Times New Roman" w:eastAsia="Times New Roman"/>
          <w:iCs/>
          <w:sz w:val="24"/>
          <w:szCs w:val="20"/>
        </w:rPr>
        <w:t xml:space="preserve"> and its costs are factored into the burden estimates associated with the Summary Plan Description information collection request (OMB Control Number 1210-0039).</w:t>
      </w:r>
      <w:bookmarkEnd w:id="0"/>
      <w:bookmarkEnd w:id="1"/>
    </w:p>
    <w:p w:rsidRPr="00B94216" w:rsidR="00B94216" w:rsidP="00B94216" w:rsidRDefault="00B94216" w14:paraId="0710BBD1" w14:textId="77777777">
      <w:pPr>
        <w:tabs>
          <w:tab w:val="left" w:pos="-1440"/>
        </w:tabs>
        <w:autoSpaceDE w:val="0"/>
        <w:autoSpaceDN w:val="0"/>
        <w:adjustRightInd w:val="0"/>
        <w:spacing w:after="0" w:line="240" w:lineRule="auto"/>
        <w:ind w:left="720"/>
        <w:rPr>
          <w:rFonts w:ascii="Times New Roman" w:hAnsi="Times New Roman" w:eastAsia="Times New Roman"/>
          <w:iCs/>
          <w:sz w:val="24"/>
          <w:szCs w:val="24"/>
        </w:rPr>
      </w:pPr>
      <w:r w:rsidRPr="00B94216">
        <w:rPr>
          <w:rFonts w:ascii="Times New Roman" w:hAnsi="Times New Roman" w:eastAsia="Times New Roman"/>
          <w:iCs/>
          <w:sz w:val="24"/>
          <w:szCs w:val="24"/>
        </w:rPr>
        <w:t>While not all HMO and POS options require the designation of a primary care physician or a prior authorization or referral before a woman can visit an OB/GYN, the Department is unable to estimate this number. The Department has estimated the number of grandfathered plans that will be subject to this notice requirement by multiplying the number of ERISA-covered plans, the percent of firms offering at least one grandfathered health plans, and the percent of plans that have an HMO option and POS option.</w:t>
      </w:r>
      <w:r w:rsidRPr="00B94216">
        <w:rPr>
          <w:rFonts w:ascii="Times New Roman" w:hAnsi="Times New Roman" w:eastAsia="Times New Roman"/>
          <w:bCs/>
          <w:iCs/>
          <w:sz w:val="24"/>
          <w:szCs w:val="24"/>
        </w:rPr>
        <w:t xml:space="preserve"> Therefore, these estimates should be considered an overestimate of the number of affected entities.  </w:t>
      </w:r>
    </w:p>
    <w:p w:rsidRPr="00B94216" w:rsidR="00B94216" w:rsidP="00B94216" w:rsidRDefault="00B94216" w14:paraId="2802042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iCs/>
          <w:sz w:val="24"/>
          <w:szCs w:val="24"/>
        </w:rPr>
      </w:pPr>
    </w:p>
    <w:p w:rsidRPr="00B94216" w:rsidR="00B94216" w:rsidP="00B94216" w:rsidRDefault="00B94216" w14:paraId="706589EE" w14:textId="5E291B6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iCs/>
          <w:sz w:val="24"/>
          <w:szCs w:val="24"/>
        </w:rPr>
      </w:pPr>
      <w:r w:rsidRPr="00B94216">
        <w:rPr>
          <w:rFonts w:ascii="Times New Roman" w:hAnsi="Times New Roman" w:eastAsia="Times New Roman"/>
          <w:iCs/>
          <w:sz w:val="24"/>
          <w:szCs w:val="24"/>
        </w:rPr>
        <w:t xml:space="preserve">The </w:t>
      </w:r>
      <w:r w:rsidR="00B90B19">
        <w:rPr>
          <w:rFonts w:ascii="Times New Roman" w:hAnsi="Times New Roman" w:eastAsia="Times New Roman"/>
          <w:iCs/>
          <w:sz w:val="24"/>
          <w:szCs w:val="24"/>
        </w:rPr>
        <w:t>Agency</w:t>
      </w:r>
      <w:r w:rsidRPr="00B94216">
        <w:rPr>
          <w:rFonts w:ascii="Times New Roman" w:hAnsi="Times New Roman" w:eastAsia="Times New Roman"/>
          <w:iCs/>
          <w:sz w:val="24"/>
          <w:szCs w:val="24"/>
        </w:rPr>
        <w:t xml:space="preserve"> estimates that there are 2.0 million ERISA-covered plans.  Data obtained from the 2020 Kaiser/HRET Survey of Employer Sponsored Health Benefits finds that </w:t>
      </w:r>
      <w:r w:rsidRPr="00B94216">
        <w:rPr>
          <w:rFonts w:ascii="Times New Roman" w:hAnsi="Times New Roman" w:eastAsia="Times New Roman"/>
          <w:bCs/>
          <w:iCs/>
          <w:sz w:val="24"/>
          <w:szCs w:val="24"/>
        </w:rPr>
        <w:t>16 percent of firms offering health benefits offer at least one grandfathered health plan</w:t>
      </w:r>
      <w:r w:rsidRPr="00B94216">
        <w:rPr>
          <w:rFonts w:ascii="Times New Roman" w:hAnsi="Times New Roman" w:eastAsia="Times New Roman"/>
          <w:iCs/>
          <w:sz w:val="24"/>
          <w:szCs w:val="24"/>
        </w:rPr>
        <w:t xml:space="preserve">s.  The </w:t>
      </w:r>
      <w:r w:rsidR="00B90B19">
        <w:rPr>
          <w:rFonts w:ascii="Times New Roman" w:hAnsi="Times New Roman" w:eastAsia="Times New Roman"/>
          <w:iCs/>
          <w:sz w:val="24"/>
          <w:szCs w:val="24"/>
        </w:rPr>
        <w:t>Agency</w:t>
      </w:r>
      <w:r w:rsidRPr="00B94216">
        <w:rPr>
          <w:rFonts w:ascii="Times New Roman" w:hAnsi="Times New Roman" w:eastAsia="Times New Roman"/>
          <w:iCs/>
          <w:sz w:val="24"/>
          <w:szCs w:val="24"/>
        </w:rPr>
        <w:t xml:space="preserve"> estimates that all grandfathered plans will be required to prepare this notice requirement.  The data from the 2021 Kaiser/HRET Survey of Employer Sponsored Health Benefits finds that 8 percent of plans have an HMO </w:t>
      </w:r>
      <w:proofErr w:type="gramStart"/>
      <w:r w:rsidRPr="00B94216">
        <w:rPr>
          <w:rFonts w:ascii="Times New Roman" w:hAnsi="Times New Roman" w:eastAsia="Times New Roman"/>
          <w:iCs/>
          <w:sz w:val="24"/>
          <w:szCs w:val="24"/>
        </w:rPr>
        <w:t>option</w:t>
      </w:r>
      <w:proofErr w:type="gramEnd"/>
      <w:r w:rsidRPr="00B94216">
        <w:rPr>
          <w:rFonts w:ascii="Times New Roman" w:hAnsi="Times New Roman" w:eastAsia="Times New Roman"/>
          <w:iCs/>
          <w:sz w:val="24"/>
          <w:szCs w:val="24"/>
        </w:rPr>
        <w:t xml:space="preserve"> and that 13 percent of plans offer a POS option.  Thus, the </w:t>
      </w:r>
      <w:r w:rsidR="00B90B19">
        <w:rPr>
          <w:rFonts w:ascii="Times New Roman" w:hAnsi="Times New Roman" w:eastAsia="Times New Roman"/>
          <w:iCs/>
          <w:sz w:val="24"/>
          <w:szCs w:val="24"/>
        </w:rPr>
        <w:t>Agency</w:t>
      </w:r>
      <w:r w:rsidRPr="00B94216">
        <w:rPr>
          <w:rFonts w:ascii="Times New Roman" w:hAnsi="Times New Roman" w:eastAsia="Times New Roman"/>
          <w:iCs/>
          <w:sz w:val="24"/>
          <w:szCs w:val="24"/>
        </w:rPr>
        <w:t xml:space="preserve"> estimates that in 2022, </w:t>
      </w:r>
      <w:bookmarkStart w:name="_Hlk94693110" w:id="2"/>
      <w:r w:rsidRPr="00B94216">
        <w:rPr>
          <w:rFonts w:ascii="Times New Roman" w:hAnsi="Times New Roman" w:eastAsia="Times New Roman"/>
          <w:iCs/>
          <w:sz w:val="24"/>
          <w:szCs w:val="24"/>
        </w:rPr>
        <w:t xml:space="preserve">67,445 </w:t>
      </w:r>
      <w:bookmarkEnd w:id="2"/>
      <w:r w:rsidRPr="00B94216">
        <w:rPr>
          <w:rFonts w:ascii="Times New Roman" w:hAnsi="Times New Roman" w:eastAsia="Times New Roman"/>
          <w:iCs/>
          <w:sz w:val="24"/>
          <w:szCs w:val="24"/>
        </w:rPr>
        <w:t xml:space="preserve">grandfathered plans will be subject to this notice requirement. </w:t>
      </w:r>
      <w:r w:rsidRPr="00B94216">
        <w:rPr>
          <w:rFonts w:ascii="Times New Roman" w:hAnsi="Times New Roman" w:eastAsia="Times New Roman"/>
          <w:iCs/>
          <w:sz w:val="24"/>
          <w:szCs w:val="24"/>
          <w:vertAlign w:val="superscript"/>
        </w:rPr>
        <w:t xml:space="preserve"> </w:t>
      </w:r>
      <w:r w:rsidRPr="00B94216">
        <w:rPr>
          <w:rFonts w:ascii="Times New Roman" w:hAnsi="Times New Roman" w:eastAsia="Times New Roman"/>
          <w:iCs/>
          <w:sz w:val="24"/>
          <w:szCs w:val="24"/>
        </w:rPr>
        <w:t>There will be no additional costs in 2023 and 2024 to prepare the notice, since all plans and issuers will have incurred the cost by 2022.</w:t>
      </w:r>
    </w:p>
    <w:p w:rsidRPr="00B94216" w:rsidR="00B94216" w:rsidP="00B94216" w:rsidRDefault="00B94216" w14:paraId="026959CA" w14:textId="77777777">
      <w:pPr>
        <w:tabs>
          <w:tab w:val="left" w:pos="-1440"/>
        </w:tabs>
        <w:autoSpaceDE w:val="0"/>
        <w:autoSpaceDN w:val="0"/>
        <w:adjustRightInd w:val="0"/>
        <w:spacing w:after="0" w:line="240" w:lineRule="auto"/>
        <w:rPr>
          <w:rFonts w:ascii="Times New Roman" w:hAnsi="Times New Roman" w:eastAsia="Times New Roman"/>
          <w:iCs/>
          <w:sz w:val="24"/>
          <w:szCs w:val="24"/>
        </w:rPr>
      </w:pPr>
    </w:p>
    <w:p w:rsidRPr="00B94216" w:rsidR="00B94216" w:rsidP="00BB7960" w:rsidRDefault="00B94216" w14:paraId="6E8946B8" w14:textId="7795331E">
      <w:pPr>
        <w:tabs>
          <w:tab w:val="left" w:pos="-1440"/>
        </w:tabs>
        <w:spacing w:line="240" w:lineRule="auto"/>
        <w:ind w:left="720"/>
        <w:rPr>
          <w:rFonts w:ascii="Times New Roman" w:hAnsi="Times New Roman" w:eastAsia="Times New Roman"/>
          <w:iCs/>
          <w:sz w:val="24"/>
          <w:szCs w:val="20"/>
        </w:rPr>
      </w:pPr>
      <w:r w:rsidRPr="00B94216">
        <w:rPr>
          <w:rFonts w:ascii="Times New Roman" w:hAnsi="Times New Roman" w:eastAsia="Times New Roman"/>
          <w:iCs/>
          <w:sz w:val="24"/>
          <w:szCs w:val="20"/>
        </w:rPr>
        <w:t>Each of the plans will require a compensation and benefits manager to spend 10 minutes individualizing the model notice to fit the plan’s specifications at an hourly rate of $121.78.  In 2022, this results in 11,241</w:t>
      </w:r>
      <w:r w:rsidRPr="004F3DD3" w:rsidR="009B76C4">
        <w:rPr>
          <w:rStyle w:val="FootnoteReference"/>
          <w:rFonts w:ascii="Times New Roman" w:hAnsi="Times New Roman" w:eastAsia="Times New Roman"/>
          <w:iCs/>
          <w:sz w:val="24"/>
          <w:szCs w:val="20"/>
          <w:vertAlign w:val="superscript"/>
        </w:rPr>
        <w:footnoteReference w:id="1"/>
      </w:r>
      <w:r w:rsidRPr="00B94216">
        <w:rPr>
          <w:rFonts w:ascii="Times New Roman" w:hAnsi="Times New Roman" w:eastAsia="Times New Roman"/>
          <w:iCs/>
          <w:sz w:val="24"/>
          <w:szCs w:val="20"/>
        </w:rPr>
        <w:t xml:space="preserve"> hours of burden at an equivalent cost of</w:t>
      </w:r>
      <w:r w:rsidRPr="00B94216">
        <w:rPr>
          <w:rFonts w:ascii="Times New Roman" w:hAnsi="Times New Roman" w:eastAsia="Times New Roman"/>
          <w:b/>
          <w:bCs/>
          <w:sz w:val="20"/>
          <w:szCs w:val="20"/>
        </w:rPr>
        <w:t xml:space="preserve"> </w:t>
      </w:r>
      <w:r w:rsidRPr="00B94216">
        <w:rPr>
          <w:rFonts w:ascii="Times New Roman" w:hAnsi="Times New Roman" w:eastAsia="Times New Roman"/>
          <w:iCs/>
          <w:sz w:val="24"/>
          <w:szCs w:val="20"/>
        </w:rPr>
        <w:t xml:space="preserve">$1,368,913.  </w:t>
      </w:r>
    </w:p>
    <w:p w:rsidRPr="00B94216" w:rsidR="00B94216" w:rsidP="00B94216" w:rsidRDefault="00B94216" w14:paraId="236AF0A4" w14:textId="77777777">
      <w:pPr>
        <w:tabs>
          <w:tab w:val="left" w:pos="-1440"/>
        </w:tabs>
        <w:autoSpaceDE w:val="0"/>
        <w:autoSpaceDN w:val="0"/>
        <w:adjustRightInd w:val="0"/>
        <w:spacing w:after="0" w:line="240" w:lineRule="auto"/>
        <w:ind w:left="720"/>
        <w:rPr>
          <w:rFonts w:ascii="Times New Roman" w:hAnsi="Times New Roman" w:eastAsia="Times New Roman"/>
          <w:bCs/>
          <w:iCs/>
          <w:sz w:val="24"/>
          <w:szCs w:val="20"/>
        </w:rPr>
      </w:pPr>
      <w:r w:rsidRPr="00B94216">
        <w:rPr>
          <w:rFonts w:ascii="Times New Roman" w:hAnsi="Times New Roman" w:eastAsia="Times New Roman"/>
          <w:iCs/>
          <w:sz w:val="24"/>
          <w:szCs w:val="20"/>
        </w:rPr>
        <w:t xml:space="preserve">Each plan will also require clerical staff to spend 5 minutes adding the notice to the plan’s documents at an hourly rate of $55.23.  In 2022, this results in 5,620 hours of burden at an equivalent cost of </w:t>
      </w:r>
      <w:r w:rsidRPr="00B94216">
        <w:rPr>
          <w:rFonts w:ascii="Times New Roman" w:hAnsi="Times New Roman" w:eastAsia="Times New Roman"/>
          <w:bCs/>
          <w:iCs/>
          <w:sz w:val="24"/>
          <w:szCs w:val="20"/>
        </w:rPr>
        <w:t xml:space="preserve">$310,417.  </w:t>
      </w:r>
    </w:p>
    <w:p w:rsidRPr="00B94216" w:rsidR="00B94216" w:rsidP="00B94216" w:rsidRDefault="00B94216" w14:paraId="589E775A" w14:textId="77777777">
      <w:pPr>
        <w:tabs>
          <w:tab w:val="left" w:pos="-1440"/>
        </w:tabs>
        <w:autoSpaceDE w:val="0"/>
        <w:autoSpaceDN w:val="0"/>
        <w:adjustRightInd w:val="0"/>
        <w:spacing w:after="0" w:line="240" w:lineRule="auto"/>
        <w:rPr>
          <w:rFonts w:ascii="Times New Roman" w:hAnsi="Times New Roman" w:eastAsia="Times New Roman"/>
          <w:iCs/>
          <w:sz w:val="24"/>
          <w:szCs w:val="20"/>
        </w:rPr>
      </w:pPr>
    </w:p>
    <w:p w:rsidR="00F721BF" w:rsidP="00B94216" w:rsidRDefault="00B94216" w14:paraId="05CF4153" w14:textId="77777777">
      <w:pPr>
        <w:tabs>
          <w:tab w:val="left" w:pos="-1440"/>
        </w:tabs>
        <w:autoSpaceDE w:val="0"/>
        <w:autoSpaceDN w:val="0"/>
        <w:adjustRightInd w:val="0"/>
        <w:spacing w:after="0" w:line="240" w:lineRule="auto"/>
        <w:ind w:left="720"/>
        <w:rPr>
          <w:rFonts w:ascii="Times New Roman" w:hAnsi="Times New Roman" w:eastAsia="Times New Roman"/>
          <w:iCs/>
          <w:sz w:val="24"/>
          <w:szCs w:val="20"/>
        </w:rPr>
      </w:pPr>
      <w:r w:rsidRPr="00B94216">
        <w:rPr>
          <w:rFonts w:ascii="Times New Roman" w:hAnsi="Times New Roman" w:eastAsia="Times New Roman"/>
          <w:iCs/>
          <w:sz w:val="24"/>
          <w:szCs w:val="20"/>
        </w:rPr>
        <w:t xml:space="preserve">In 2022, the total burden associated with this ICR is 16,861 hours at an equivalent cost of $1,679,330.  Therefore, the three-year average burden is approximately 5,620 hours at an equivalent cost of $559,777. The </w:t>
      </w:r>
      <w:r w:rsidR="00B90B19">
        <w:rPr>
          <w:rFonts w:ascii="Times New Roman" w:hAnsi="Times New Roman" w:eastAsia="Times New Roman"/>
          <w:iCs/>
          <w:sz w:val="24"/>
          <w:szCs w:val="20"/>
        </w:rPr>
        <w:t>Agency</w:t>
      </w:r>
      <w:r w:rsidRPr="00B94216">
        <w:rPr>
          <w:rFonts w:ascii="Times New Roman" w:hAnsi="Times New Roman" w:eastAsia="Times New Roman"/>
          <w:iCs/>
          <w:sz w:val="24"/>
          <w:szCs w:val="20"/>
        </w:rPr>
        <w:t xml:space="preserve"> shares this burden equally with the Department </w:t>
      </w:r>
    </w:p>
    <w:p w:rsidR="00B94216" w:rsidP="00B94216" w:rsidRDefault="00B94216" w14:paraId="5255A53D" w14:textId="5A2CDAB5">
      <w:pPr>
        <w:tabs>
          <w:tab w:val="left" w:pos="-1440"/>
        </w:tabs>
        <w:autoSpaceDE w:val="0"/>
        <w:autoSpaceDN w:val="0"/>
        <w:adjustRightInd w:val="0"/>
        <w:spacing w:after="0" w:line="240" w:lineRule="auto"/>
        <w:ind w:left="720"/>
        <w:rPr>
          <w:rFonts w:ascii="Times New Roman" w:hAnsi="Times New Roman" w:eastAsia="Times New Roman"/>
          <w:iCs/>
          <w:sz w:val="24"/>
          <w:szCs w:val="20"/>
        </w:rPr>
      </w:pPr>
      <w:r w:rsidRPr="00B94216">
        <w:rPr>
          <w:rFonts w:ascii="Times New Roman" w:hAnsi="Times New Roman" w:eastAsia="Times New Roman"/>
          <w:iCs/>
          <w:sz w:val="24"/>
          <w:szCs w:val="20"/>
        </w:rPr>
        <w:t xml:space="preserve">of </w:t>
      </w:r>
      <w:r w:rsidR="00B90B19">
        <w:rPr>
          <w:rFonts w:ascii="Times New Roman" w:hAnsi="Times New Roman" w:eastAsia="Times New Roman"/>
          <w:iCs/>
          <w:sz w:val="24"/>
          <w:szCs w:val="20"/>
        </w:rPr>
        <w:t>Labor</w:t>
      </w:r>
      <w:r w:rsidRPr="00B94216">
        <w:rPr>
          <w:rFonts w:ascii="Times New Roman" w:hAnsi="Times New Roman" w:eastAsia="Times New Roman"/>
          <w:iCs/>
          <w:sz w:val="24"/>
          <w:szCs w:val="20"/>
        </w:rPr>
        <w:t xml:space="preserve">.  Therefore, </w:t>
      </w:r>
      <w:r w:rsidR="00B90B19">
        <w:rPr>
          <w:rFonts w:ascii="Times New Roman" w:hAnsi="Times New Roman" w:eastAsia="Times New Roman"/>
          <w:iCs/>
          <w:sz w:val="24"/>
          <w:szCs w:val="20"/>
        </w:rPr>
        <w:t>IRS</w:t>
      </w:r>
      <w:r w:rsidRPr="00B94216">
        <w:rPr>
          <w:rFonts w:ascii="Times New Roman" w:hAnsi="Times New Roman" w:eastAsia="Times New Roman"/>
          <w:iCs/>
          <w:sz w:val="24"/>
          <w:szCs w:val="20"/>
        </w:rPr>
        <w:t xml:space="preserve">’s three-year average share of the hour burden is approximately 2,810 hours at an equivalent cost of $279,888. </w:t>
      </w:r>
    </w:p>
    <w:p w:rsidR="00DA7264" w:rsidP="00B94216" w:rsidRDefault="00DA7264" w14:paraId="59C0DDAD" w14:textId="57051083">
      <w:pPr>
        <w:tabs>
          <w:tab w:val="left" w:pos="-1440"/>
        </w:tabs>
        <w:autoSpaceDE w:val="0"/>
        <w:autoSpaceDN w:val="0"/>
        <w:adjustRightInd w:val="0"/>
        <w:spacing w:after="0" w:line="240" w:lineRule="auto"/>
        <w:ind w:left="720"/>
        <w:rPr>
          <w:rFonts w:ascii="Times New Roman" w:hAnsi="Times New Roman" w:eastAsia="Times New Roman"/>
          <w:iCs/>
          <w:sz w:val="24"/>
          <w:szCs w:val="20"/>
        </w:rPr>
      </w:pPr>
    </w:p>
    <w:p w:rsidRPr="00DA7264" w:rsidR="00DA7264" w:rsidP="00DA7264" w:rsidRDefault="00DA7264" w14:paraId="54080142" w14:textId="77777777">
      <w:pPr>
        <w:tabs>
          <w:tab w:val="left" w:pos="-1440"/>
        </w:tabs>
        <w:ind w:left="720"/>
        <w:jc w:val="center"/>
        <w:rPr>
          <w:b/>
          <w:bCs/>
          <w:iCs/>
          <w:sz w:val="24"/>
          <w:szCs w:val="20"/>
        </w:rPr>
      </w:pPr>
      <w:r w:rsidRPr="00DA7264">
        <w:rPr>
          <w:b/>
          <w:bCs/>
          <w:iCs/>
          <w:sz w:val="24"/>
        </w:rPr>
        <w:t>Estimated Annualized Respondent Cost and Hour Burden</w:t>
      </w:r>
    </w:p>
    <w:tbl>
      <w:tblPr>
        <w:tblW w:w="10065" w:type="dxa"/>
        <w:tblInd w:w="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332"/>
        <w:gridCol w:w="1140"/>
        <w:gridCol w:w="1204"/>
        <w:gridCol w:w="1015"/>
        <w:gridCol w:w="1094"/>
        <w:gridCol w:w="1262"/>
      </w:tblGrid>
      <w:tr w:rsidR="00DA7264" w:rsidTr="00545B57" w14:paraId="53508011"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759F28CB" w14:textId="624573CF">
            <w:pPr>
              <w:spacing w:after="0"/>
              <w:jc w:val="center"/>
              <w:textAlignment w:val="baseline"/>
              <w:rPr>
                <w:b/>
                <w:bCs/>
                <w:sz w:val="24"/>
                <w:szCs w:val="24"/>
              </w:rPr>
            </w:pPr>
            <w:r>
              <w:t>Activity</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75ECDB25" w14:textId="77777777">
            <w:pPr>
              <w:spacing w:after="0"/>
              <w:jc w:val="center"/>
              <w:textAlignment w:val="baseline"/>
              <w:rPr>
                <w:sz w:val="24"/>
                <w:szCs w:val="24"/>
              </w:rPr>
            </w:pPr>
            <w:r>
              <w:t>No. of Respondents</w:t>
            </w:r>
          </w:p>
        </w:tc>
        <w:tc>
          <w:tcPr>
            <w:tcW w:w="133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032B8" w:rsidR="00DA7264" w:rsidP="00AC6CF5" w:rsidRDefault="00DA7264" w14:paraId="74040419" w14:textId="148E174B">
            <w:pPr>
              <w:spacing w:after="0"/>
              <w:jc w:val="center"/>
              <w:textAlignment w:val="baseline"/>
            </w:pPr>
            <w:r>
              <w:t>No. of</w:t>
            </w:r>
            <w:r w:rsidR="00D032B8">
              <w:t xml:space="preserve"> </w:t>
            </w:r>
            <w:r>
              <w:t>Responses</w:t>
            </w:r>
            <w:r w:rsidR="00D032B8">
              <w:t xml:space="preserve"> </w:t>
            </w:r>
            <w:r>
              <w:t>per</w:t>
            </w:r>
            <w:r w:rsidR="00D032B8">
              <w:t xml:space="preserve"> </w:t>
            </w:r>
            <w:r>
              <w:t>Respondent</w:t>
            </w:r>
          </w:p>
        </w:tc>
        <w:tc>
          <w:tcPr>
            <w:tcW w:w="114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591E2FD6" w14:textId="77777777">
            <w:pPr>
              <w:spacing w:after="0"/>
              <w:jc w:val="center"/>
              <w:textAlignment w:val="baseline"/>
              <w:rPr>
                <w:sz w:val="24"/>
                <w:szCs w:val="24"/>
              </w:rPr>
            </w:pPr>
            <w: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761E0F36" w14:textId="2A204B80">
            <w:pPr>
              <w:spacing w:after="0"/>
              <w:jc w:val="center"/>
              <w:textAlignment w:val="baseline"/>
              <w:rPr>
                <w:sz w:val="24"/>
                <w:szCs w:val="24"/>
              </w:rPr>
            </w:pPr>
            <w:r>
              <w:t>Average Burden (Hours)</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7A3A8F16" w14:textId="33FD2A45">
            <w:pPr>
              <w:spacing w:after="0"/>
              <w:jc w:val="center"/>
              <w:textAlignment w:val="baseline"/>
              <w:rPr>
                <w:sz w:val="24"/>
                <w:szCs w:val="24"/>
              </w:rPr>
            </w:pPr>
            <w:r>
              <w:t>Total Burden (Hours)</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40A4299A" w14:textId="585F7CD9">
            <w:pPr>
              <w:spacing w:after="0"/>
              <w:jc w:val="center"/>
              <w:textAlignment w:val="baseline"/>
              <w:rPr>
                <w:sz w:val="24"/>
                <w:szCs w:val="24"/>
              </w:rPr>
            </w:pPr>
            <w:r>
              <w:t>Hourly</w:t>
            </w:r>
            <w:r w:rsidR="00D032B8">
              <w:t xml:space="preserve"> </w:t>
            </w:r>
            <w:r>
              <w:t>Wage Rate</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DA7264" w:rsidP="00AC6CF5" w:rsidRDefault="00DA7264" w14:paraId="74DCBD21" w14:textId="3DF8C095">
            <w:pPr>
              <w:spacing w:after="0"/>
              <w:jc w:val="center"/>
              <w:textAlignment w:val="baseline"/>
              <w:rPr>
                <w:sz w:val="24"/>
                <w:szCs w:val="24"/>
              </w:rPr>
            </w:pPr>
            <w:r>
              <w:t>Total Burden</w:t>
            </w:r>
            <w:r w:rsidR="00D032B8">
              <w:t xml:space="preserve"> </w:t>
            </w:r>
            <w:r>
              <w:t>Cost</w:t>
            </w:r>
          </w:p>
        </w:tc>
      </w:tr>
      <w:tr w:rsidR="00DA7264" w:rsidTr="00545B57" w14:paraId="1507F54E" w14:textId="77777777">
        <w:trPr>
          <w:trHeight w:val="246"/>
        </w:trPr>
        <w:tc>
          <w:tcPr>
            <w:tcW w:w="1765" w:type="dxa"/>
            <w:tcBorders>
              <w:top w:val="single" w:color="auto" w:sz="6" w:space="0"/>
              <w:left w:val="single" w:color="auto" w:sz="6" w:space="0"/>
              <w:bottom w:val="single" w:color="auto" w:sz="6" w:space="0"/>
              <w:right w:val="single" w:color="auto" w:sz="6" w:space="0"/>
            </w:tcBorders>
            <w:vAlign w:val="bottom"/>
            <w:hideMark/>
          </w:tcPr>
          <w:p w:rsidR="00DA7264" w:rsidP="00FF7029" w:rsidRDefault="00DA7264" w14:paraId="524DE75D" w14:textId="77777777">
            <w:pPr>
              <w:spacing w:after="120"/>
              <w:textAlignment w:val="baseline"/>
              <w:rPr>
                <w:sz w:val="20"/>
                <w:szCs w:val="20"/>
              </w:rPr>
            </w:pPr>
            <w:r>
              <w:rPr>
                <w:b/>
              </w:rPr>
              <w:t>Compensation and benefits manager draft notice (2022)</w:t>
            </w:r>
          </w:p>
        </w:tc>
        <w:tc>
          <w:tcPr>
            <w:tcW w:w="1253"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11B1B6CD" w14:textId="77777777">
            <w:pPr>
              <w:spacing w:after="120"/>
              <w:jc w:val="center"/>
              <w:textAlignment w:val="baseline"/>
              <w:rPr>
                <w:b/>
              </w:rPr>
            </w:pPr>
            <w:r>
              <w:rPr>
                <w:b/>
              </w:rPr>
              <w:t>67,445</w:t>
            </w:r>
          </w:p>
        </w:tc>
        <w:tc>
          <w:tcPr>
            <w:tcW w:w="1332"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69BE8C0B" w14:textId="77777777">
            <w:pPr>
              <w:spacing w:after="120"/>
              <w:jc w:val="center"/>
              <w:textAlignment w:val="baseline"/>
              <w:rPr>
                <w:b/>
              </w:rPr>
            </w:pPr>
            <w:r>
              <w:rPr>
                <w:b/>
              </w:rPr>
              <w:t>1</w:t>
            </w:r>
          </w:p>
        </w:tc>
        <w:tc>
          <w:tcPr>
            <w:tcW w:w="1140"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4E0F7D54" w14:textId="77777777">
            <w:pPr>
              <w:spacing w:after="120"/>
              <w:jc w:val="center"/>
              <w:textAlignment w:val="baseline"/>
              <w:rPr>
                <w:b/>
              </w:rPr>
            </w:pPr>
            <w:r>
              <w:rPr>
                <w:b/>
              </w:rPr>
              <w:t>67,445</w:t>
            </w:r>
          </w:p>
        </w:tc>
        <w:tc>
          <w:tcPr>
            <w:tcW w:w="120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4347D89B" w14:textId="77777777">
            <w:pPr>
              <w:spacing w:after="120"/>
              <w:jc w:val="center"/>
              <w:textAlignment w:val="baseline"/>
              <w:rPr>
                <w:b/>
              </w:rPr>
            </w:pPr>
            <w:r>
              <w:rPr>
                <w:b/>
              </w:rPr>
              <w:t>10/60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364D8B06" w14:textId="77777777">
            <w:pPr>
              <w:spacing w:after="120"/>
              <w:jc w:val="center"/>
              <w:textAlignment w:val="baseline"/>
              <w:rPr>
                <w:b/>
              </w:rPr>
            </w:pPr>
            <w:r>
              <w:rPr>
                <w:b/>
              </w:rPr>
              <w:t xml:space="preserve">11,241 </w:t>
            </w:r>
          </w:p>
        </w:tc>
        <w:tc>
          <w:tcPr>
            <w:tcW w:w="109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57DB416A" w14:textId="77777777">
            <w:pPr>
              <w:spacing w:after="120"/>
              <w:jc w:val="center"/>
              <w:textAlignment w:val="baseline"/>
              <w:rPr>
                <w:b/>
              </w:rPr>
            </w:pPr>
            <w:r>
              <w:rPr>
                <w:b/>
              </w:rPr>
              <w:t>$121.78</w:t>
            </w:r>
          </w:p>
        </w:tc>
        <w:tc>
          <w:tcPr>
            <w:tcW w:w="1262"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1169705A" w14:textId="77777777">
            <w:pPr>
              <w:spacing w:after="120"/>
              <w:jc w:val="center"/>
              <w:textAlignment w:val="baseline"/>
              <w:rPr>
                <w:b/>
              </w:rPr>
            </w:pPr>
            <w:r>
              <w:rPr>
                <w:b/>
              </w:rPr>
              <w:t>$1,368,913</w:t>
            </w:r>
          </w:p>
        </w:tc>
      </w:tr>
      <w:tr w:rsidR="00DA7264" w:rsidTr="00545B57" w14:paraId="2D753896" w14:textId="77777777">
        <w:tc>
          <w:tcPr>
            <w:tcW w:w="1765" w:type="dxa"/>
            <w:tcBorders>
              <w:top w:val="single" w:color="auto" w:sz="6" w:space="0"/>
              <w:left w:val="single" w:color="auto" w:sz="6" w:space="0"/>
              <w:bottom w:val="single" w:color="auto" w:sz="6" w:space="0"/>
              <w:right w:val="single" w:color="auto" w:sz="6" w:space="0"/>
            </w:tcBorders>
            <w:vAlign w:val="bottom"/>
            <w:hideMark/>
          </w:tcPr>
          <w:p w:rsidR="00DA7264" w:rsidP="00FF7029" w:rsidRDefault="00DA7264" w14:paraId="6D5A652F" w14:textId="77777777">
            <w:pPr>
              <w:spacing w:after="120"/>
              <w:textAlignment w:val="baseline"/>
              <w:rPr>
                <w:b/>
              </w:rPr>
            </w:pPr>
            <w:r>
              <w:rPr>
                <w:b/>
              </w:rPr>
              <w:t>Clerical staff insert notice into existing documentation (2022)</w:t>
            </w:r>
          </w:p>
        </w:tc>
        <w:tc>
          <w:tcPr>
            <w:tcW w:w="1253"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3FE8B097" w14:textId="77777777">
            <w:pPr>
              <w:spacing w:after="120"/>
              <w:jc w:val="center"/>
              <w:textAlignment w:val="baseline"/>
              <w:rPr>
                <w:b/>
              </w:rPr>
            </w:pPr>
            <w:r>
              <w:rPr>
                <w:b/>
              </w:rPr>
              <w:t>67,445</w:t>
            </w:r>
          </w:p>
        </w:tc>
        <w:tc>
          <w:tcPr>
            <w:tcW w:w="1332"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5CCB55B7" w14:textId="77777777">
            <w:pPr>
              <w:spacing w:after="120"/>
              <w:jc w:val="center"/>
              <w:textAlignment w:val="baseline"/>
              <w:rPr>
                <w:b/>
              </w:rPr>
            </w:pPr>
            <w:r>
              <w:rPr>
                <w:b/>
              </w:rPr>
              <w:t>1</w:t>
            </w:r>
          </w:p>
        </w:tc>
        <w:tc>
          <w:tcPr>
            <w:tcW w:w="1140"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7FA4248B" w14:textId="77777777">
            <w:pPr>
              <w:spacing w:after="120"/>
              <w:jc w:val="center"/>
              <w:textAlignment w:val="baseline"/>
              <w:rPr>
                <w:b/>
              </w:rPr>
            </w:pPr>
            <w:r>
              <w:rPr>
                <w:b/>
              </w:rPr>
              <w:t>67,445</w:t>
            </w:r>
          </w:p>
        </w:tc>
        <w:tc>
          <w:tcPr>
            <w:tcW w:w="120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571AEB3F" w14:textId="77777777">
            <w:pPr>
              <w:spacing w:after="120"/>
              <w:jc w:val="center"/>
              <w:textAlignment w:val="baseline"/>
              <w:rPr>
                <w:b/>
              </w:rPr>
            </w:pPr>
            <w:r>
              <w:rPr>
                <w:b/>
              </w:rPr>
              <w:t>5/60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3EBFA861" w14:textId="77777777">
            <w:pPr>
              <w:spacing w:after="120"/>
              <w:jc w:val="center"/>
              <w:textAlignment w:val="baseline"/>
              <w:rPr>
                <w:b/>
              </w:rPr>
            </w:pPr>
            <w:r>
              <w:rPr>
                <w:b/>
              </w:rPr>
              <w:t xml:space="preserve">5,620 </w:t>
            </w:r>
          </w:p>
        </w:tc>
        <w:tc>
          <w:tcPr>
            <w:tcW w:w="109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59AB5892" w14:textId="77777777">
            <w:pPr>
              <w:spacing w:after="120"/>
              <w:jc w:val="center"/>
              <w:textAlignment w:val="baseline"/>
              <w:rPr>
                <w:b/>
              </w:rPr>
            </w:pPr>
            <w:r>
              <w:rPr>
                <w:b/>
              </w:rPr>
              <w:t>$55.23</w:t>
            </w:r>
          </w:p>
        </w:tc>
        <w:tc>
          <w:tcPr>
            <w:tcW w:w="1262"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1D71AFE2" w14:textId="77777777">
            <w:pPr>
              <w:spacing w:after="120"/>
              <w:jc w:val="center"/>
              <w:textAlignment w:val="baseline"/>
              <w:rPr>
                <w:b/>
              </w:rPr>
            </w:pPr>
            <w:r>
              <w:rPr>
                <w:b/>
              </w:rPr>
              <w:t>$310,417</w:t>
            </w:r>
          </w:p>
        </w:tc>
      </w:tr>
      <w:tr w:rsidR="00DA7264" w:rsidTr="00545B57" w14:paraId="49A353E1" w14:textId="77777777">
        <w:tc>
          <w:tcPr>
            <w:tcW w:w="1765" w:type="dxa"/>
            <w:tcBorders>
              <w:top w:val="single" w:color="auto" w:sz="6" w:space="0"/>
              <w:left w:val="single" w:color="auto" w:sz="6" w:space="0"/>
              <w:bottom w:val="single" w:color="auto" w:sz="6" w:space="0"/>
              <w:right w:val="single" w:color="auto" w:sz="6" w:space="0"/>
            </w:tcBorders>
            <w:vAlign w:val="bottom"/>
            <w:hideMark/>
          </w:tcPr>
          <w:p w:rsidR="00DA7264" w:rsidP="00FF7029" w:rsidRDefault="00DA7264" w14:paraId="050890E9" w14:textId="77777777">
            <w:pPr>
              <w:spacing w:after="120"/>
              <w:textAlignment w:val="baseline"/>
              <w:rPr>
                <w:b/>
              </w:rPr>
            </w:pPr>
            <w:r>
              <w:t xml:space="preserve">Total (3-year </w:t>
            </w:r>
            <w:proofErr w:type="gramStart"/>
            <w:r>
              <w:t>average)*</w:t>
            </w:r>
            <w:proofErr w:type="gramEnd"/>
          </w:p>
        </w:tc>
        <w:tc>
          <w:tcPr>
            <w:tcW w:w="1253"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34ABF9E3" w14:textId="77777777">
            <w:pPr>
              <w:spacing w:after="120"/>
              <w:jc w:val="center"/>
              <w:textAlignment w:val="baseline"/>
            </w:pPr>
            <w:r>
              <w:rPr>
                <w:b/>
              </w:rPr>
              <w:t>11,241</w:t>
            </w:r>
          </w:p>
        </w:tc>
        <w:tc>
          <w:tcPr>
            <w:tcW w:w="1332" w:type="dxa"/>
            <w:tcBorders>
              <w:top w:val="single" w:color="auto" w:sz="6" w:space="0"/>
              <w:left w:val="single" w:color="auto" w:sz="6" w:space="0"/>
              <w:bottom w:val="single" w:color="auto" w:sz="6" w:space="0"/>
              <w:right w:val="single" w:color="auto" w:sz="6" w:space="0"/>
            </w:tcBorders>
            <w:vAlign w:val="center"/>
          </w:tcPr>
          <w:p w:rsidR="00DA7264" w:rsidP="00FF7029" w:rsidRDefault="00DA7264" w14:paraId="449E38A1" w14:textId="77777777">
            <w:pPr>
              <w:spacing w:after="120"/>
              <w:jc w:val="center"/>
              <w:textAlignment w:val="baseline"/>
              <w:rPr>
                <w:b/>
              </w:rPr>
            </w:pPr>
          </w:p>
        </w:tc>
        <w:tc>
          <w:tcPr>
            <w:tcW w:w="1140"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04EF570D" w14:textId="1212F0D1">
            <w:pPr>
              <w:spacing w:after="120"/>
              <w:jc w:val="center"/>
              <w:textAlignment w:val="baseline"/>
              <w:rPr>
                <w:b/>
              </w:rPr>
            </w:pPr>
            <w:r>
              <w:rPr>
                <w:b/>
              </w:rPr>
              <w:t>148,181</w:t>
            </w:r>
            <w:r w:rsidR="009B76C4">
              <w:rPr>
                <w:b/>
              </w:rPr>
              <w:t>*</w:t>
            </w:r>
          </w:p>
        </w:tc>
        <w:tc>
          <w:tcPr>
            <w:tcW w:w="120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6CEB4A0A" w14:textId="77777777">
            <w:pPr>
              <w:spacing w:after="120"/>
              <w:jc w:val="center"/>
              <w:textAlignment w:val="baseline"/>
              <w:rPr>
                <w:b/>
              </w:rPr>
            </w:pPr>
            <w:r>
              <w:rPr>
                <w:b/>
              </w:rPr>
              <w:t>0.019</w:t>
            </w:r>
          </w:p>
        </w:tc>
        <w:tc>
          <w:tcPr>
            <w:tcW w:w="1015"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198443F1" w14:textId="77777777">
            <w:pPr>
              <w:spacing w:after="120"/>
              <w:jc w:val="center"/>
              <w:textAlignment w:val="baseline"/>
              <w:rPr>
                <w:b/>
              </w:rPr>
            </w:pPr>
            <w:r>
              <w:rPr>
                <w:b/>
              </w:rPr>
              <w:t>2,810</w:t>
            </w:r>
          </w:p>
        </w:tc>
        <w:tc>
          <w:tcPr>
            <w:tcW w:w="1094"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022F3405" w14:textId="77777777">
            <w:pPr>
              <w:spacing w:after="120"/>
              <w:jc w:val="center"/>
              <w:textAlignment w:val="baseline"/>
              <w:rPr>
                <w:b/>
              </w:rPr>
            </w:pPr>
            <w:r>
              <w:rPr>
                <w:b/>
              </w:rPr>
              <w:t>-</w:t>
            </w:r>
          </w:p>
        </w:tc>
        <w:tc>
          <w:tcPr>
            <w:tcW w:w="1262" w:type="dxa"/>
            <w:tcBorders>
              <w:top w:val="single" w:color="auto" w:sz="6" w:space="0"/>
              <w:left w:val="single" w:color="auto" w:sz="6" w:space="0"/>
              <w:bottom w:val="single" w:color="auto" w:sz="6" w:space="0"/>
              <w:right w:val="single" w:color="auto" w:sz="6" w:space="0"/>
            </w:tcBorders>
            <w:vAlign w:val="center"/>
            <w:hideMark/>
          </w:tcPr>
          <w:p w:rsidR="00DA7264" w:rsidP="00FF7029" w:rsidRDefault="00DA7264" w14:paraId="67EB5185" w14:textId="77777777">
            <w:pPr>
              <w:spacing w:after="120"/>
              <w:jc w:val="center"/>
              <w:textAlignment w:val="baseline"/>
              <w:rPr>
                <w:b/>
              </w:rPr>
            </w:pPr>
            <w:r>
              <w:rPr>
                <w:b/>
              </w:rPr>
              <w:t>$279,888</w:t>
            </w:r>
          </w:p>
        </w:tc>
      </w:tr>
    </w:tbl>
    <w:p w:rsidRPr="00B94216" w:rsidR="00DA7264" w:rsidP="00B94216" w:rsidRDefault="00DA7264" w14:paraId="7857432F" w14:textId="77777777">
      <w:pPr>
        <w:tabs>
          <w:tab w:val="left" w:pos="-1440"/>
        </w:tabs>
        <w:autoSpaceDE w:val="0"/>
        <w:autoSpaceDN w:val="0"/>
        <w:adjustRightInd w:val="0"/>
        <w:spacing w:after="0" w:line="240" w:lineRule="auto"/>
        <w:ind w:left="720"/>
        <w:rPr>
          <w:rFonts w:ascii="Times New Roman" w:hAnsi="Times New Roman" w:eastAsia="Times New Roman"/>
          <w:iCs/>
          <w:sz w:val="24"/>
          <w:szCs w:val="20"/>
        </w:rPr>
      </w:pPr>
    </w:p>
    <w:p w:rsidR="00DA7264" w:rsidP="00DA7264" w:rsidRDefault="00B94216" w14:paraId="51C973CC" w14:textId="604E7CF0">
      <w:pPr>
        <w:tabs>
          <w:tab w:val="left" w:pos="720"/>
        </w:tabs>
        <w:spacing w:after="0" w:line="240" w:lineRule="auto"/>
        <w:ind w:left="720" w:hanging="720"/>
        <w:rPr>
          <w:rFonts w:ascii="Times New Roman" w:hAnsi="Times New Roman"/>
        </w:rPr>
      </w:pPr>
      <w:r w:rsidRPr="00DA7264">
        <w:rPr>
          <w:rFonts w:ascii="Times New Roman" w:hAnsi="Times New Roman"/>
        </w:rPr>
        <w:t xml:space="preserve"> </w:t>
      </w:r>
      <w:r w:rsidRPr="00DA7264" w:rsidR="00DA7264">
        <w:rPr>
          <w:rFonts w:ascii="Times New Roman" w:hAnsi="Times New Roman"/>
        </w:rPr>
        <w:t xml:space="preserve">          * Note: The </w:t>
      </w:r>
      <w:r w:rsidR="00C4124E">
        <w:rPr>
          <w:rFonts w:ascii="Times New Roman" w:hAnsi="Times New Roman"/>
        </w:rPr>
        <w:t>Agency</w:t>
      </w:r>
      <w:r w:rsidRPr="00DA7264" w:rsidR="00DA7264">
        <w:rPr>
          <w:rFonts w:ascii="Times New Roman" w:hAnsi="Times New Roman"/>
        </w:rPr>
        <w:t xml:space="preserve"> estimates that there are 67,445 respondents in 2022, and zero respondents in 2023 and 2024.  Thus, the three-year average number of respondents is 11,241. The </w:t>
      </w:r>
      <w:r w:rsidR="00B90B19">
        <w:rPr>
          <w:rFonts w:ascii="Times New Roman" w:hAnsi="Times New Roman"/>
        </w:rPr>
        <w:t>Agency</w:t>
      </w:r>
      <w:r w:rsidR="009B76C4">
        <w:rPr>
          <w:rFonts w:ascii="Times New Roman" w:hAnsi="Times New Roman"/>
        </w:rPr>
        <w:t xml:space="preserve"> </w:t>
      </w:r>
      <w:r w:rsidRPr="00DA7264" w:rsidR="00DA7264">
        <w:rPr>
          <w:rFonts w:ascii="Times New Roman" w:hAnsi="Times New Roman"/>
        </w:rPr>
        <w:t xml:space="preserve">estimates that there are 889,085 responses in 2022, and zero responses in 2023 and 2024. Thus, the three-year average number of responses for </w:t>
      </w:r>
      <w:r w:rsidR="00C4124E">
        <w:rPr>
          <w:rFonts w:ascii="Times New Roman" w:hAnsi="Times New Roman"/>
        </w:rPr>
        <w:t>the IRS</w:t>
      </w:r>
      <w:r w:rsidRPr="00DA7264" w:rsidR="00DA7264">
        <w:rPr>
          <w:rFonts w:ascii="Times New Roman" w:hAnsi="Times New Roman"/>
        </w:rPr>
        <w:t xml:space="preserve"> is 148,181</w:t>
      </w:r>
      <w:r w:rsidRPr="004F3DD3" w:rsidR="009B76C4">
        <w:rPr>
          <w:rStyle w:val="FootnoteReference"/>
          <w:rFonts w:ascii="Times New Roman" w:hAnsi="Times New Roman"/>
          <w:vertAlign w:val="superscript"/>
        </w:rPr>
        <w:footnoteReference w:id="2"/>
      </w:r>
      <w:r w:rsidRPr="00DA7264" w:rsidR="00DA7264">
        <w:rPr>
          <w:rFonts w:ascii="Times New Roman" w:hAnsi="Times New Roman"/>
        </w:rPr>
        <w:t>.</w:t>
      </w:r>
    </w:p>
    <w:p w:rsidR="008C5F7A" w:rsidP="008F6899" w:rsidRDefault="008C5F7A" w14:paraId="054189AB" w14:textId="77777777">
      <w:pPr>
        <w:tabs>
          <w:tab w:val="left" w:pos="720"/>
        </w:tabs>
        <w:spacing w:after="0" w:line="240" w:lineRule="auto"/>
        <w:ind w:left="720" w:hanging="720"/>
        <w:rPr>
          <w:rFonts w:ascii="Times New Roman" w:hAnsi="Times New Roman"/>
          <w:sz w:val="24"/>
          <w:szCs w:val="24"/>
        </w:rPr>
      </w:pPr>
    </w:p>
    <w:p w:rsidRPr="00742ABE" w:rsidR="00636E57" w:rsidP="008F6899" w:rsidRDefault="005F4027" w14:paraId="44FBA423" w14:textId="2DDCA8B9">
      <w:pPr>
        <w:tabs>
          <w:tab w:val="left" w:pos="720"/>
        </w:tabs>
        <w:spacing w:after="0" w:line="240" w:lineRule="auto"/>
        <w:ind w:left="720" w:hanging="720"/>
        <w:rPr>
          <w:rFonts w:ascii="Times New Roman" w:hAnsi="Times New Roman"/>
          <w:sz w:val="24"/>
          <w:szCs w:val="24"/>
          <w:u w:val="single"/>
        </w:rPr>
      </w:pPr>
      <w:r w:rsidRPr="00742ABE">
        <w:rPr>
          <w:rFonts w:ascii="Times New Roman" w:hAnsi="Times New Roman"/>
          <w:sz w:val="24"/>
          <w:szCs w:val="24"/>
        </w:rPr>
        <w:t>13.</w:t>
      </w:r>
      <w:r w:rsidRPr="00742ABE">
        <w:rPr>
          <w:rFonts w:ascii="Times New Roman" w:hAnsi="Times New Roman"/>
          <w:sz w:val="24"/>
          <w:szCs w:val="24"/>
        </w:rPr>
        <w:tab/>
      </w:r>
      <w:r w:rsidRPr="00742ABE" w:rsidR="00636E57">
        <w:rPr>
          <w:rFonts w:ascii="Times New Roman" w:hAnsi="Times New Roman"/>
          <w:sz w:val="24"/>
          <w:szCs w:val="24"/>
          <w:u w:val="single"/>
        </w:rPr>
        <w:t xml:space="preserve">ESTIMATED TOTAL ANNUAL COST BURDEN TO RESPONDENTS </w:t>
      </w:r>
    </w:p>
    <w:p w:rsidRPr="00050D59" w:rsidR="005F4027" w:rsidP="008F6899" w:rsidRDefault="005F4027" w14:paraId="04D4993A" w14:textId="77777777">
      <w:pPr>
        <w:tabs>
          <w:tab w:val="left" w:pos="720"/>
        </w:tabs>
        <w:spacing w:after="0" w:line="240" w:lineRule="auto"/>
        <w:ind w:left="720" w:hanging="720"/>
        <w:rPr>
          <w:rFonts w:ascii="Times New Roman" w:hAnsi="Times New Roman"/>
          <w:sz w:val="24"/>
          <w:szCs w:val="24"/>
        </w:rPr>
      </w:pPr>
    </w:p>
    <w:p w:rsidRPr="00CA0203" w:rsidR="00CA0203" w:rsidP="00CA0203" w:rsidRDefault="005F4027" w14:paraId="6B06F69F" w14:textId="378E6688">
      <w:pPr>
        <w:tabs>
          <w:tab w:val="left" w:pos="720"/>
        </w:tabs>
        <w:spacing w:after="0" w:line="240" w:lineRule="auto"/>
        <w:ind w:left="720" w:hanging="720"/>
        <w:rPr>
          <w:rFonts w:ascii="Times New Roman" w:hAnsi="Times New Roman"/>
          <w:sz w:val="24"/>
          <w:szCs w:val="24"/>
        </w:rPr>
      </w:pPr>
      <w:r w:rsidRPr="00156098">
        <w:rPr>
          <w:rFonts w:ascii="Times New Roman" w:hAnsi="Times New Roman"/>
          <w:sz w:val="24"/>
          <w:szCs w:val="24"/>
        </w:rPr>
        <w:tab/>
      </w:r>
      <w:r w:rsidRPr="00CA0203" w:rsidR="00CA0203">
        <w:rPr>
          <w:rFonts w:ascii="Times New Roman" w:hAnsi="Times New Roman"/>
          <w:sz w:val="24"/>
          <w:szCs w:val="24"/>
        </w:rPr>
        <w:t xml:space="preserve">The </w:t>
      </w:r>
      <w:r w:rsidR="004B30BF">
        <w:rPr>
          <w:rFonts w:ascii="Times New Roman" w:hAnsi="Times New Roman"/>
          <w:sz w:val="24"/>
          <w:szCs w:val="24"/>
        </w:rPr>
        <w:t>Agency</w:t>
      </w:r>
      <w:r w:rsidRPr="00CA0203" w:rsidR="00CA0203">
        <w:rPr>
          <w:rFonts w:ascii="Times New Roman" w:hAnsi="Times New Roman"/>
          <w:sz w:val="24"/>
          <w:szCs w:val="24"/>
        </w:rPr>
        <w:t xml:space="preserve"> assume</w:t>
      </w:r>
      <w:r w:rsidR="004B30BF">
        <w:rPr>
          <w:rFonts w:ascii="Times New Roman" w:hAnsi="Times New Roman"/>
          <w:sz w:val="24"/>
          <w:szCs w:val="24"/>
        </w:rPr>
        <w:t>s</w:t>
      </w:r>
      <w:r w:rsidRPr="00CA0203" w:rsidR="00CA0203">
        <w:rPr>
          <w:rFonts w:ascii="Times New Roman" w:hAnsi="Times New Roman"/>
          <w:sz w:val="24"/>
          <w:szCs w:val="24"/>
        </w:rPr>
        <w:t xml:space="preserve"> that only printing and material costs are associated with the disclosure requirement, because the interim final regulations provide model language that can be incorporated into existing plan documents, such as a </w:t>
      </w:r>
      <w:r w:rsidR="00950FCA">
        <w:rPr>
          <w:rFonts w:ascii="Times New Roman" w:hAnsi="Times New Roman"/>
          <w:sz w:val="24"/>
          <w:szCs w:val="24"/>
        </w:rPr>
        <w:t>Summary Plan Description (</w:t>
      </w:r>
      <w:r w:rsidRPr="00CA0203" w:rsidR="00CA0203">
        <w:rPr>
          <w:rFonts w:ascii="Times New Roman" w:hAnsi="Times New Roman"/>
          <w:sz w:val="24"/>
          <w:szCs w:val="24"/>
        </w:rPr>
        <w:t>SPD</w:t>
      </w:r>
      <w:r w:rsidR="00950FCA">
        <w:rPr>
          <w:rFonts w:ascii="Times New Roman" w:hAnsi="Times New Roman"/>
          <w:sz w:val="24"/>
          <w:szCs w:val="24"/>
        </w:rPr>
        <w:t>)</w:t>
      </w:r>
      <w:r w:rsidRPr="00CA0203" w:rsidR="00CA0203">
        <w:rPr>
          <w:rFonts w:ascii="Times New Roman" w:hAnsi="Times New Roman"/>
          <w:sz w:val="24"/>
          <w:szCs w:val="24"/>
        </w:rPr>
        <w:t xml:space="preserve">.  The </w:t>
      </w:r>
      <w:r w:rsidR="004B30BF">
        <w:rPr>
          <w:rFonts w:ascii="Times New Roman" w:hAnsi="Times New Roman"/>
          <w:sz w:val="24"/>
          <w:szCs w:val="24"/>
        </w:rPr>
        <w:t>Agency’s</w:t>
      </w:r>
      <w:r w:rsidRPr="00CA0203" w:rsidR="00CA0203">
        <w:rPr>
          <w:rFonts w:ascii="Times New Roman" w:hAnsi="Times New Roman"/>
          <w:sz w:val="24"/>
          <w:szCs w:val="24"/>
        </w:rPr>
        <w:t xml:space="preserve"> estimate that the notice will require one-half of a page, five cents per page printing and material cost will be incurred, and 58.2 percent of the notices will be delivered electronically. </w:t>
      </w:r>
    </w:p>
    <w:p w:rsidRPr="00CA0203" w:rsidR="00CA0203" w:rsidP="00CA0203" w:rsidRDefault="00CA0203" w14:paraId="05302694" w14:textId="77777777">
      <w:pPr>
        <w:tabs>
          <w:tab w:val="left" w:pos="720"/>
        </w:tabs>
        <w:spacing w:after="0" w:line="240" w:lineRule="auto"/>
        <w:ind w:left="720" w:hanging="720"/>
        <w:rPr>
          <w:rFonts w:ascii="Times New Roman" w:hAnsi="Times New Roman"/>
          <w:sz w:val="24"/>
          <w:szCs w:val="24"/>
        </w:rPr>
      </w:pPr>
    </w:p>
    <w:p w:rsidRPr="00156098" w:rsidR="00636E57" w:rsidP="00CA0203" w:rsidRDefault="00CA0203" w14:paraId="2344B623" w14:textId="784FDB95">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C4124E" w:rsidR="00C4124E">
        <w:rPr>
          <w:rFonts w:ascii="Times New Roman" w:hAnsi="Times New Roman"/>
          <w:sz w:val="24"/>
          <w:szCs w:val="24"/>
        </w:rPr>
        <w:t xml:space="preserve">The </w:t>
      </w:r>
      <w:r w:rsidR="00C4124E">
        <w:rPr>
          <w:rFonts w:ascii="Times New Roman" w:hAnsi="Times New Roman"/>
          <w:sz w:val="24"/>
          <w:szCs w:val="24"/>
        </w:rPr>
        <w:t>Agency</w:t>
      </w:r>
      <w:r w:rsidRPr="00C4124E" w:rsidR="00C4124E">
        <w:rPr>
          <w:rFonts w:ascii="Times New Roman" w:hAnsi="Times New Roman"/>
          <w:sz w:val="24"/>
          <w:szCs w:val="24"/>
        </w:rPr>
        <w:t xml:space="preserve"> estimates that there are 60.8 million ERISA-covered policyholders.  Data obtained from the 2020 Kaiser/HRET Survey of Employer Sponsored Health Benefits finds that 14 percent of covered workers are enrolled in a grandfathered plan.  As stated </w:t>
      </w:r>
      <w:r w:rsidRPr="00C4124E" w:rsidR="00C4124E">
        <w:rPr>
          <w:rFonts w:ascii="Times New Roman" w:hAnsi="Times New Roman"/>
          <w:sz w:val="24"/>
          <w:szCs w:val="24"/>
        </w:rPr>
        <w:lastRenderedPageBreak/>
        <w:t xml:space="preserve">in question 12, all grandfathered plans will be required to prepare this notice requirement. The data from the 2021 Kaiser/HRET Survey of Employer Sponsored Health Benefits finds that 16 percent of covered workers have an HMO option and that 9 percent of covered workers have a POS option.  The </w:t>
      </w:r>
      <w:r w:rsidR="00C4124E">
        <w:rPr>
          <w:rFonts w:ascii="Times New Roman" w:hAnsi="Times New Roman"/>
          <w:sz w:val="24"/>
          <w:szCs w:val="24"/>
        </w:rPr>
        <w:t>Agency</w:t>
      </w:r>
      <w:r w:rsidRPr="00C4124E" w:rsidR="00C4124E">
        <w:rPr>
          <w:rFonts w:ascii="Times New Roman" w:hAnsi="Times New Roman"/>
          <w:sz w:val="24"/>
          <w:szCs w:val="24"/>
        </w:rPr>
        <w:t xml:space="preserve"> estimates that plans will produce 889,085 notices in 2022, and zero notices in 2023 and 2024.   This results in a cost burden of approximately $44,454 in 2022, and $0 in 2023 and 2024.  Therefore, the three-year average cost burden is approximately $14,818. T</w:t>
      </w:r>
      <w:r w:rsidR="00C4124E">
        <w:rPr>
          <w:rFonts w:ascii="Times New Roman" w:hAnsi="Times New Roman"/>
          <w:sz w:val="24"/>
          <w:szCs w:val="24"/>
        </w:rPr>
        <w:t>he Agency</w:t>
      </w:r>
      <w:r w:rsidRPr="00C4124E" w:rsidR="00C4124E">
        <w:rPr>
          <w:rFonts w:ascii="Times New Roman" w:hAnsi="Times New Roman"/>
          <w:sz w:val="24"/>
          <w:szCs w:val="24"/>
        </w:rPr>
        <w:t xml:space="preserve"> shares this burden equally with the Department of </w:t>
      </w:r>
      <w:r w:rsidR="00C4124E">
        <w:rPr>
          <w:rFonts w:ascii="Times New Roman" w:hAnsi="Times New Roman"/>
          <w:sz w:val="24"/>
          <w:szCs w:val="24"/>
        </w:rPr>
        <w:t>Labor</w:t>
      </w:r>
      <w:r w:rsidRPr="00C4124E" w:rsidR="00C4124E">
        <w:rPr>
          <w:rFonts w:ascii="Times New Roman" w:hAnsi="Times New Roman"/>
          <w:sz w:val="24"/>
          <w:szCs w:val="24"/>
        </w:rPr>
        <w:t xml:space="preserve">.  Therefore, </w:t>
      </w:r>
      <w:r w:rsidR="00C4124E">
        <w:rPr>
          <w:rFonts w:ascii="Times New Roman" w:hAnsi="Times New Roman"/>
          <w:sz w:val="24"/>
          <w:szCs w:val="24"/>
        </w:rPr>
        <w:t>IRS</w:t>
      </w:r>
      <w:r w:rsidRPr="00C4124E" w:rsidR="00C4124E">
        <w:rPr>
          <w:rFonts w:ascii="Times New Roman" w:hAnsi="Times New Roman"/>
          <w:sz w:val="24"/>
          <w:szCs w:val="24"/>
        </w:rPr>
        <w:t xml:space="preserve"> three-year average share of the cost burden is approximately $7,409.  </w:t>
      </w:r>
      <w:r w:rsidRPr="00CA0203">
        <w:rPr>
          <w:rFonts w:ascii="Times New Roman" w:hAnsi="Times New Roman"/>
          <w:sz w:val="24"/>
          <w:szCs w:val="24"/>
        </w:rPr>
        <w:t xml:space="preserve">  </w:t>
      </w:r>
    </w:p>
    <w:p w:rsidRPr="008F6899" w:rsidR="005F4027" w:rsidP="005F4027" w:rsidRDefault="005F4027" w14:paraId="1E0C234D"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5F4027" w14:paraId="52B2F87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14.</w:t>
      </w:r>
      <w:r w:rsidRPr="008F6899">
        <w:rPr>
          <w:rFonts w:ascii="Times New Roman" w:hAnsi="Times New Roman"/>
          <w:sz w:val="24"/>
          <w:szCs w:val="24"/>
        </w:rPr>
        <w:tab/>
      </w:r>
      <w:r w:rsidRPr="008F6899" w:rsidR="00636E57">
        <w:rPr>
          <w:rFonts w:ascii="Times New Roman" w:hAnsi="Times New Roman"/>
          <w:sz w:val="24"/>
          <w:szCs w:val="24"/>
          <w:u w:val="single"/>
        </w:rPr>
        <w:t>ESTIMATED ANNUALIZED COST TO THE FEDERAL GOVERNMENT</w:t>
      </w:r>
    </w:p>
    <w:p w:rsidRPr="008F6899" w:rsidR="005F4027" w:rsidP="005F4027" w:rsidRDefault="005F4027" w14:paraId="36F3EA77" w14:textId="77777777">
      <w:pPr>
        <w:tabs>
          <w:tab w:val="left" w:pos="720"/>
        </w:tabs>
        <w:spacing w:after="0" w:line="240" w:lineRule="auto"/>
        <w:ind w:left="720" w:hanging="720"/>
        <w:rPr>
          <w:rFonts w:ascii="Times New Roman" w:hAnsi="Times New Roman"/>
          <w:sz w:val="24"/>
          <w:szCs w:val="24"/>
        </w:rPr>
      </w:pPr>
    </w:p>
    <w:p w:rsidRPr="00A17A03" w:rsidR="00636E57" w:rsidP="005F4027" w:rsidRDefault="005F4027" w14:paraId="4676B84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940817" w:rsidR="00A17A03">
        <w:rPr>
          <w:rFonts w:ascii="Times New Roman" w:hAnsi="Times New Roman"/>
          <w:sz w:val="24"/>
          <w:szCs w:val="24"/>
        </w:rPr>
        <w:t>There is no annualized cost to the federal government.</w:t>
      </w:r>
    </w:p>
    <w:p w:rsidRPr="008F6899" w:rsidR="005F4027" w:rsidP="005F4027" w:rsidRDefault="005F4027" w14:paraId="5387C4CB"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5F4027" w14:paraId="1A95938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15.</w:t>
      </w:r>
      <w:r w:rsidRPr="008F6899">
        <w:rPr>
          <w:rFonts w:ascii="Times New Roman" w:hAnsi="Times New Roman"/>
          <w:sz w:val="24"/>
          <w:szCs w:val="24"/>
        </w:rPr>
        <w:tab/>
      </w:r>
      <w:r w:rsidRPr="00263BD6" w:rsidR="00636E57">
        <w:rPr>
          <w:rFonts w:ascii="Times New Roman" w:hAnsi="Times New Roman"/>
          <w:sz w:val="24"/>
          <w:szCs w:val="24"/>
          <w:u w:val="single"/>
        </w:rPr>
        <w:t>REAS</w:t>
      </w:r>
      <w:r w:rsidRPr="008F6899" w:rsidR="00636E57">
        <w:rPr>
          <w:rFonts w:ascii="Times New Roman" w:hAnsi="Times New Roman"/>
          <w:sz w:val="24"/>
          <w:szCs w:val="24"/>
          <w:u w:val="single"/>
        </w:rPr>
        <w:t>ONS FOR CHANGE IN BURDEN</w:t>
      </w:r>
    </w:p>
    <w:p w:rsidRPr="008F6899" w:rsidR="005F4027" w:rsidP="005F4027" w:rsidRDefault="005F4027" w14:paraId="7748D46A" w14:textId="77777777">
      <w:pPr>
        <w:tabs>
          <w:tab w:val="left" w:pos="720"/>
        </w:tabs>
        <w:spacing w:after="0" w:line="240" w:lineRule="auto"/>
        <w:ind w:left="720" w:hanging="720"/>
        <w:rPr>
          <w:rFonts w:ascii="Times New Roman" w:hAnsi="Times New Roman"/>
          <w:sz w:val="24"/>
          <w:szCs w:val="24"/>
        </w:rPr>
      </w:pPr>
    </w:p>
    <w:p w:rsidRPr="004C0FFA" w:rsidR="004C0FFA" w:rsidP="004C0FFA" w:rsidRDefault="005F4027" w14:paraId="4009DFD1" w14:textId="1ACC2774">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C4124E" w:rsidR="00C4124E">
        <w:rPr>
          <w:rFonts w:ascii="Times New Roman" w:hAnsi="Times New Roman"/>
          <w:sz w:val="24"/>
          <w:szCs w:val="24"/>
        </w:rPr>
        <w:t xml:space="preserve">The No Surprises Act added section 2799A-7 of the PHS Act, which contains the patient protections regarding choice of health care professional moved from section 2719A of the PHS Act.  The patient protections under the No Surprises Act apply generally to all group health plans and health insurance coverage, including grandfathered health plans.  The </w:t>
      </w:r>
      <w:r w:rsidR="00B90B19">
        <w:rPr>
          <w:rFonts w:ascii="Times New Roman" w:hAnsi="Times New Roman"/>
          <w:sz w:val="24"/>
          <w:szCs w:val="24"/>
        </w:rPr>
        <w:t>Agency</w:t>
      </w:r>
      <w:r w:rsidRPr="00C4124E" w:rsidR="00C4124E">
        <w:rPr>
          <w:rFonts w:ascii="Times New Roman" w:hAnsi="Times New Roman"/>
          <w:sz w:val="24"/>
          <w:szCs w:val="24"/>
        </w:rPr>
        <w:t xml:space="preserve"> believes that plans that are still grandfathered in 2022 will become subject to this notice requirement for the first time and incur the one-time costs to prepare the notice.  </w:t>
      </w:r>
      <w:r w:rsidRPr="004C0FFA" w:rsidR="004C0FFA">
        <w:rPr>
          <w:rFonts w:ascii="Times New Roman" w:hAnsi="Times New Roman"/>
          <w:sz w:val="24"/>
          <w:szCs w:val="24"/>
        </w:rPr>
        <w:t xml:space="preserve"> </w:t>
      </w:r>
    </w:p>
    <w:p w:rsidRPr="004C0FFA" w:rsidR="004C0FFA" w:rsidP="004C0FFA" w:rsidRDefault="004C0FFA" w14:paraId="55DC31C3" w14:textId="77777777">
      <w:pPr>
        <w:tabs>
          <w:tab w:val="left" w:pos="720"/>
        </w:tabs>
        <w:spacing w:after="0" w:line="240" w:lineRule="auto"/>
        <w:ind w:left="720" w:hanging="720"/>
        <w:rPr>
          <w:rFonts w:ascii="Times New Roman" w:hAnsi="Times New Roman"/>
          <w:sz w:val="24"/>
          <w:szCs w:val="24"/>
        </w:rPr>
      </w:pPr>
    </w:p>
    <w:p w:rsidR="00636E57" w:rsidP="004C0FFA" w:rsidRDefault="004C0FFA" w14:paraId="7B6DE1B3" w14:textId="31E40765">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4C0FFA">
        <w:rPr>
          <w:rFonts w:ascii="Times New Roman" w:hAnsi="Times New Roman"/>
          <w:sz w:val="24"/>
          <w:szCs w:val="24"/>
        </w:rPr>
        <w:t xml:space="preserve">Adjustments to the burden estimates also result from updated estimates on the number of plans and policyholders affected by the regulations, an increase in the share of notices assumed to be transmitted electronically and increases in wage rates.  </w:t>
      </w:r>
      <w:r w:rsidRPr="00716BA0">
        <w:rPr>
          <w:rFonts w:ascii="Times New Roman" w:hAnsi="Times New Roman"/>
          <w:sz w:val="24"/>
          <w:szCs w:val="24"/>
        </w:rPr>
        <w:t xml:space="preserve">These updated data inputs </w:t>
      </w:r>
      <w:r w:rsidRPr="00716BA0" w:rsidR="00C80AB1">
        <w:rPr>
          <w:rFonts w:ascii="Times New Roman" w:hAnsi="Times New Roman"/>
          <w:sz w:val="24"/>
          <w:szCs w:val="24"/>
        </w:rPr>
        <w:t>decrease</w:t>
      </w:r>
      <w:r w:rsidRPr="00716BA0">
        <w:rPr>
          <w:rFonts w:ascii="Times New Roman" w:hAnsi="Times New Roman"/>
          <w:sz w:val="24"/>
          <w:szCs w:val="24"/>
        </w:rPr>
        <w:t xml:space="preserve"> the hour burden by </w:t>
      </w:r>
      <w:r w:rsidRPr="00716BA0" w:rsidR="00C80AB1">
        <w:rPr>
          <w:rFonts w:ascii="Times New Roman" w:hAnsi="Times New Roman"/>
          <w:sz w:val="24"/>
          <w:szCs w:val="24"/>
        </w:rPr>
        <w:t>-</w:t>
      </w:r>
      <w:r w:rsidRPr="00716BA0" w:rsidR="00716BA0">
        <w:rPr>
          <w:rFonts w:ascii="Times New Roman" w:hAnsi="Times New Roman"/>
          <w:sz w:val="24"/>
          <w:szCs w:val="24"/>
        </w:rPr>
        <w:t>784</w:t>
      </w:r>
      <w:r w:rsidRPr="00716BA0">
        <w:rPr>
          <w:rFonts w:ascii="Times New Roman" w:hAnsi="Times New Roman"/>
          <w:sz w:val="24"/>
          <w:szCs w:val="24"/>
        </w:rPr>
        <w:t xml:space="preserve"> hours compared with the prior submission</w:t>
      </w:r>
      <w:r w:rsidRPr="00716BA0" w:rsidR="00C80AB1">
        <w:rPr>
          <w:rFonts w:ascii="Times New Roman" w:hAnsi="Times New Roman"/>
          <w:sz w:val="24"/>
          <w:szCs w:val="24"/>
        </w:rPr>
        <w:t xml:space="preserve">, </w:t>
      </w:r>
      <w:r w:rsidRPr="00716BA0" w:rsidR="00716BA0">
        <w:rPr>
          <w:rFonts w:ascii="Times New Roman" w:hAnsi="Times New Roman"/>
          <w:sz w:val="24"/>
          <w:szCs w:val="24"/>
        </w:rPr>
        <w:t>increases</w:t>
      </w:r>
      <w:r w:rsidRPr="00716BA0" w:rsidR="00C80AB1">
        <w:rPr>
          <w:rFonts w:ascii="Times New Roman" w:hAnsi="Times New Roman"/>
          <w:sz w:val="24"/>
          <w:szCs w:val="24"/>
        </w:rPr>
        <w:t xml:space="preserve"> the number of responses by </w:t>
      </w:r>
      <w:r w:rsidRPr="00716BA0" w:rsidR="00716BA0">
        <w:rPr>
          <w:rFonts w:ascii="Times New Roman" w:hAnsi="Times New Roman"/>
          <w:sz w:val="24"/>
          <w:szCs w:val="24"/>
        </w:rPr>
        <w:t>20,048</w:t>
      </w:r>
      <w:r w:rsidRPr="00716BA0" w:rsidR="00C80AB1">
        <w:rPr>
          <w:rFonts w:ascii="Times New Roman" w:hAnsi="Times New Roman"/>
          <w:sz w:val="24"/>
          <w:szCs w:val="24"/>
        </w:rPr>
        <w:t>,</w:t>
      </w:r>
      <w:r w:rsidRPr="00716BA0">
        <w:rPr>
          <w:rFonts w:ascii="Times New Roman" w:hAnsi="Times New Roman"/>
          <w:sz w:val="24"/>
          <w:szCs w:val="24"/>
        </w:rPr>
        <w:t xml:space="preserve"> and </w:t>
      </w:r>
      <w:r w:rsidRPr="00716BA0" w:rsidR="00716BA0">
        <w:rPr>
          <w:rFonts w:ascii="Times New Roman" w:hAnsi="Times New Roman"/>
          <w:sz w:val="24"/>
          <w:szCs w:val="24"/>
        </w:rPr>
        <w:t>increases</w:t>
      </w:r>
      <w:r w:rsidRPr="00716BA0">
        <w:rPr>
          <w:rFonts w:ascii="Times New Roman" w:hAnsi="Times New Roman"/>
          <w:sz w:val="24"/>
          <w:szCs w:val="24"/>
        </w:rPr>
        <w:t xml:space="preserve"> the cost burden by $</w:t>
      </w:r>
      <w:r w:rsidRPr="00716BA0" w:rsidR="00716BA0">
        <w:rPr>
          <w:rFonts w:ascii="Times New Roman" w:hAnsi="Times New Roman"/>
          <w:sz w:val="24"/>
          <w:szCs w:val="24"/>
        </w:rPr>
        <w:t>5,807</w:t>
      </w:r>
      <w:r w:rsidRPr="00716BA0">
        <w:rPr>
          <w:rFonts w:ascii="Times New Roman" w:hAnsi="Times New Roman"/>
          <w:sz w:val="24"/>
          <w:szCs w:val="24"/>
        </w:rPr>
        <w:t xml:space="preserve"> compared with the prior submission.</w:t>
      </w:r>
    </w:p>
    <w:p w:rsidR="00B176E6" w:rsidP="005F4027" w:rsidRDefault="00B176E6" w14:paraId="41788464" w14:textId="77777777">
      <w:pPr>
        <w:tabs>
          <w:tab w:val="left" w:pos="720"/>
        </w:tabs>
        <w:spacing w:after="0" w:line="240" w:lineRule="auto"/>
        <w:ind w:left="720" w:hanging="720"/>
        <w:rPr>
          <w:rFonts w:ascii="Times New Roman" w:hAnsi="Times New Roman"/>
          <w:sz w:val="24"/>
          <w:szCs w:val="24"/>
        </w:rPr>
      </w:pPr>
    </w:p>
    <w:tbl>
      <w:tblPr>
        <w:tblW w:w="5000" w:type="pct"/>
        <w:tblInd w:w="35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1"/>
        <w:gridCol w:w="1308"/>
        <w:gridCol w:w="1308"/>
        <w:gridCol w:w="1308"/>
        <w:gridCol w:w="1308"/>
        <w:gridCol w:w="1308"/>
        <w:gridCol w:w="1303"/>
      </w:tblGrid>
      <w:tr w:rsidRPr="00B176E6" w:rsidR="00B176E6" w:rsidTr="00986869" w14:paraId="666CF1C3" w14:textId="77777777">
        <w:tc>
          <w:tcPr>
            <w:tcW w:w="803"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477BCD9D"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738BDF5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8040E9B"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EB12FD8"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E853BA5"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384E226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Potential Violation of the PRA</w:t>
            </w:r>
          </w:p>
        </w:tc>
        <w:tc>
          <w:tcPr>
            <w:tcW w:w="698"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88A8DC1"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Previously Approved</w:t>
            </w:r>
          </w:p>
        </w:tc>
      </w:tr>
      <w:tr w:rsidRPr="00B176E6" w:rsidR="00050245" w:rsidTr="00986869" w14:paraId="0711425F"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7C83BF1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654611B1" w14:textId="50E61D1B">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Pr>
                <w:rFonts w:ascii="Arial Narrow" w:hAnsi="Arial Narrow" w:eastAsia="Times New Roman" w:cs="Arial"/>
                <w:color w:val="000000"/>
                <w:sz w:val="18"/>
                <w:szCs w:val="18"/>
              </w:rPr>
              <w:t>148,181</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4C21B2C1" w14:textId="32098EBB">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43D36ED4" w14:textId="6DAFB24F">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w:t>
            </w:r>
          </w:p>
        </w:tc>
        <w:tc>
          <w:tcPr>
            <w:tcW w:w="0" w:type="auto"/>
            <w:tcBorders>
              <w:top w:val="outset" w:color="auto" w:sz="6" w:space="0"/>
              <w:left w:val="outset" w:color="auto" w:sz="6" w:space="0"/>
              <w:bottom w:val="outset" w:color="auto" w:sz="6" w:space="0"/>
              <w:right w:val="outset" w:color="auto" w:sz="6" w:space="0"/>
            </w:tcBorders>
          </w:tcPr>
          <w:p w:rsidRPr="00B176E6" w:rsidR="00050245" w:rsidP="00050245" w:rsidRDefault="00FA34E4" w14:paraId="214F9741" w14:textId="3AFADD57">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20,048</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056A631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5D685853" w14:textId="11DCD9B9">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Pr>
                <w:rFonts w:ascii="Arial Narrow" w:hAnsi="Arial Narrow" w:eastAsia="Times New Roman" w:cs="Arial"/>
                <w:color w:val="000000"/>
                <w:sz w:val="18"/>
                <w:szCs w:val="18"/>
              </w:rPr>
              <w:t>128,133</w:t>
            </w:r>
          </w:p>
        </w:tc>
      </w:tr>
      <w:tr w:rsidRPr="00B176E6" w:rsidR="00050245" w:rsidTr="00986869" w14:paraId="2352E987"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3C2BDE4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Time Burden (</w:t>
            </w:r>
            <w:proofErr w:type="spellStart"/>
            <w:r w:rsidRPr="00B176E6">
              <w:rPr>
                <w:rFonts w:ascii="Arial Narrow" w:hAnsi="Arial Narrow" w:eastAsia="Times New Roman" w:cs="Arial"/>
                <w:color w:val="000000"/>
                <w:sz w:val="18"/>
                <w:szCs w:val="18"/>
              </w:rPr>
              <w:t>Hr</w:t>
            </w:r>
            <w:proofErr w:type="spellEnd"/>
            <w:r w:rsidRPr="00B176E6">
              <w:rPr>
                <w:rFonts w:ascii="Arial Narrow" w:hAnsi="Arial Narrow" w:eastAsia="Times New Roman"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79FBF4C1" w14:textId="020E4E1C">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Pr>
                <w:rFonts w:ascii="Arial Narrow" w:hAnsi="Arial Narrow" w:eastAsia="Times New Roman" w:cs="Arial"/>
                <w:color w:val="000000"/>
                <w:sz w:val="18"/>
                <w:szCs w:val="18"/>
              </w:rPr>
              <w:t xml:space="preserve"> 2,810</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51E98693" w14:textId="4F6F8B46">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Pr>
                <w:rFonts w:ascii="Arial Narrow" w:hAnsi="Arial Narrow" w:eastAsia="Times New Roman" w:cs="Arial"/>
                <w:color w:val="000000"/>
                <w:sz w:val="18"/>
                <w:szCs w:val="18"/>
              </w:rPr>
              <w:t xml:space="preserve">  0 </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06DC95FD" w14:textId="42569DB4">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Pr>
                <w:rFonts w:ascii="Arial Narrow" w:hAnsi="Arial Narrow" w:eastAsia="Times New Roman" w:cs="Arial"/>
                <w:color w:val="000000"/>
                <w:sz w:val="18"/>
                <w:szCs w:val="18"/>
              </w:rPr>
              <w:t xml:space="preserve">  0 </w:t>
            </w:r>
          </w:p>
        </w:tc>
        <w:tc>
          <w:tcPr>
            <w:tcW w:w="0" w:type="auto"/>
            <w:tcBorders>
              <w:top w:val="outset" w:color="auto" w:sz="6" w:space="0"/>
              <w:left w:val="outset" w:color="auto" w:sz="6" w:space="0"/>
              <w:bottom w:val="outset" w:color="auto" w:sz="6" w:space="0"/>
              <w:right w:val="outset" w:color="auto" w:sz="6" w:space="0"/>
            </w:tcBorders>
          </w:tcPr>
          <w:p w:rsidRPr="00B176E6" w:rsidR="00050245" w:rsidP="00050245" w:rsidRDefault="00050245" w14:paraId="5772C38E" w14:textId="10C15ABA">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Pr>
                <w:rFonts w:ascii="Arial Narrow" w:hAnsi="Arial Narrow" w:eastAsia="Times New Roman" w:cs="Arial"/>
                <w:color w:val="000000"/>
                <w:sz w:val="18"/>
                <w:szCs w:val="18"/>
              </w:rPr>
              <w:t>-784</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68C504B6"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6952AA0F" w14:textId="608BDF21">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Pr>
                <w:rFonts w:ascii="Arial Narrow" w:hAnsi="Arial Narrow" w:eastAsia="Times New Roman" w:cs="Arial"/>
                <w:color w:val="000000"/>
                <w:sz w:val="18"/>
                <w:szCs w:val="18"/>
              </w:rPr>
              <w:t xml:space="preserve"> 3,534</w:t>
            </w:r>
          </w:p>
        </w:tc>
      </w:tr>
      <w:tr w:rsidRPr="00B176E6" w:rsidR="00050245" w:rsidTr="00986869" w14:paraId="55DC8B6C"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3ED59EFC"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2440F334" w14:textId="2C7CA94D">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Pr="00716BA0">
              <w:rPr>
                <w:rFonts w:ascii="Arial Narrow" w:hAnsi="Arial Narrow" w:eastAsia="Times New Roman" w:cs="Arial"/>
                <w:color w:val="000000"/>
                <w:sz w:val="18"/>
                <w:szCs w:val="18"/>
              </w:rPr>
              <w:t>7,409</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6ABEDA92" w14:textId="37088510">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 </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36D3F439" w14:textId="0F2819D2">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 </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7C4CF8BC" w14:textId="0DA5DA9A">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Pr>
                <w:rFonts w:ascii="Arial Narrow" w:hAnsi="Arial Narrow" w:eastAsia="Times New Roman" w:cs="Arial"/>
                <w:color w:val="000000"/>
                <w:sz w:val="18"/>
                <w:szCs w:val="18"/>
              </w:rPr>
              <w:t>5,807</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2FEF2FD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050245" w:rsidP="00050245" w:rsidRDefault="00050245" w14:paraId="060A57F2" w14:textId="625148C9">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Pr>
                <w:rFonts w:ascii="Arial Narrow" w:hAnsi="Arial Narrow" w:eastAsia="Times New Roman" w:cs="Arial"/>
                <w:color w:val="000000"/>
                <w:sz w:val="18"/>
                <w:szCs w:val="18"/>
              </w:rPr>
              <w:t>1,602</w:t>
            </w:r>
          </w:p>
        </w:tc>
      </w:tr>
    </w:tbl>
    <w:p w:rsidR="006A02F9" w:rsidP="005F4027" w:rsidRDefault="006A02F9" w14:paraId="08DD8408" w14:textId="593AF05E">
      <w:pPr>
        <w:tabs>
          <w:tab w:val="left" w:pos="720"/>
        </w:tabs>
        <w:spacing w:after="0" w:line="240" w:lineRule="auto"/>
        <w:ind w:left="720" w:hanging="720"/>
        <w:rPr>
          <w:rFonts w:ascii="Times New Roman" w:hAnsi="Times New Roman"/>
          <w:iCs/>
          <w:sz w:val="24"/>
          <w:szCs w:val="24"/>
        </w:rPr>
      </w:pPr>
    </w:p>
    <w:p w:rsidR="00986869" w:rsidP="005F4027" w:rsidRDefault="00986869" w14:paraId="61DD252E" w14:textId="77777777">
      <w:pPr>
        <w:tabs>
          <w:tab w:val="left" w:pos="720"/>
        </w:tabs>
        <w:spacing w:after="0" w:line="240" w:lineRule="auto"/>
        <w:ind w:left="720" w:hanging="720"/>
        <w:rPr>
          <w:rFonts w:ascii="Times Roman" w:hAnsi="Times Roman"/>
          <w:sz w:val="24"/>
          <w:szCs w:val="24"/>
        </w:rPr>
      </w:pPr>
    </w:p>
    <w:p w:rsidRPr="005F4027" w:rsidR="00636E57" w:rsidP="005F4027" w:rsidRDefault="005F4027" w14:paraId="7B8D14B1" w14:textId="231E70E1">
      <w:pPr>
        <w:tabs>
          <w:tab w:val="left" w:pos="720"/>
        </w:tabs>
        <w:spacing w:after="0" w:line="240" w:lineRule="auto"/>
        <w:ind w:left="720" w:hanging="720"/>
        <w:rPr>
          <w:rFonts w:ascii="Times Roman" w:hAnsi="Times Roman"/>
          <w:sz w:val="24"/>
          <w:szCs w:val="24"/>
        </w:rPr>
      </w:pPr>
      <w:r>
        <w:rPr>
          <w:rFonts w:ascii="Times Roman" w:hAnsi="Times Roman"/>
          <w:sz w:val="24"/>
          <w:szCs w:val="24"/>
        </w:rPr>
        <w:t>16.</w:t>
      </w:r>
      <w:r>
        <w:rPr>
          <w:rFonts w:ascii="Times Roman" w:hAnsi="Times Roman"/>
          <w:sz w:val="24"/>
          <w:szCs w:val="24"/>
        </w:rPr>
        <w:tab/>
      </w:r>
      <w:r w:rsidRPr="005F4027" w:rsidR="00636E57">
        <w:rPr>
          <w:rFonts w:ascii="Times Roman" w:hAnsi="Times Roman"/>
          <w:sz w:val="24"/>
          <w:szCs w:val="24"/>
          <w:u w:val="single"/>
        </w:rPr>
        <w:t>PLANS FOR TABULATION, STATISTICAL ANALYSIS AND PUBLICATION</w:t>
      </w:r>
    </w:p>
    <w:p w:rsidR="005F4027" w:rsidP="005F4027" w:rsidRDefault="005F4027" w14:paraId="6E5FD105" w14:textId="77777777">
      <w:pPr>
        <w:tabs>
          <w:tab w:val="left" w:pos="720"/>
        </w:tabs>
        <w:spacing w:after="0" w:line="240" w:lineRule="auto"/>
        <w:ind w:left="720" w:hanging="720"/>
        <w:rPr>
          <w:rFonts w:ascii="Times Roman" w:hAnsi="Times Roman"/>
          <w:sz w:val="24"/>
          <w:szCs w:val="24"/>
        </w:rPr>
      </w:pPr>
    </w:p>
    <w:p w:rsidRPr="008E6275" w:rsidR="00A17A03" w:rsidP="00A17A03" w:rsidRDefault="00A17A03" w14:paraId="6CE29D6E" w14:textId="77777777">
      <w:pPr>
        <w:ind w:left="720"/>
        <w:rPr>
          <w:rFonts w:ascii="Times New Roman" w:hAnsi="Times New Roman"/>
          <w:sz w:val="24"/>
          <w:szCs w:val="24"/>
        </w:rPr>
      </w:pPr>
      <w:r w:rsidRPr="008E6275">
        <w:rPr>
          <w:rFonts w:ascii="Times New Roman" w:hAnsi="Times New Roman"/>
          <w:sz w:val="24"/>
          <w:szCs w:val="24"/>
        </w:rPr>
        <w:t>There are no plans for tabulation, statistical analysis</w:t>
      </w:r>
      <w:r w:rsidRPr="008E6275" w:rsidR="00263BD6">
        <w:rPr>
          <w:rFonts w:ascii="Times New Roman" w:hAnsi="Times New Roman"/>
          <w:sz w:val="24"/>
          <w:szCs w:val="24"/>
        </w:rPr>
        <w:t>,</w:t>
      </w:r>
      <w:r w:rsidRPr="008E6275">
        <w:rPr>
          <w:rFonts w:ascii="Times New Roman" w:hAnsi="Times New Roman"/>
          <w:sz w:val="24"/>
          <w:szCs w:val="24"/>
        </w:rPr>
        <w:t xml:space="preserve"> and publication.</w:t>
      </w:r>
    </w:p>
    <w:p w:rsidRPr="005F4027" w:rsidR="00636E57" w:rsidP="005F4027" w:rsidRDefault="005F4027" w14:paraId="4CBE8576"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17.</w:t>
      </w:r>
      <w:r>
        <w:rPr>
          <w:rFonts w:ascii="Times Roman" w:hAnsi="Times Roman"/>
          <w:sz w:val="24"/>
          <w:szCs w:val="24"/>
        </w:rPr>
        <w:tab/>
      </w:r>
      <w:r w:rsidRPr="005F4027" w:rsidR="00636E57">
        <w:rPr>
          <w:rFonts w:ascii="Times Roman" w:hAnsi="Times Roman"/>
          <w:sz w:val="24"/>
          <w:szCs w:val="24"/>
          <w:u w:val="single"/>
        </w:rPr>
        <w:t>REASONS WHY DISPLAYING THE OMB EXPIRATION DATE IS INAPPROPRIATE</w:t>
      </w:r>
      <w:r w:rsidRPr="005F4027" w:rsidR="00636E57">
        <w:rPr>
          <w:rFonts w:ascii="Times Roman" w:hAnsi="Times Roman"/>
          <w:sz w:val="24"/>
          <w:szCs w:val="24"/>
        </w:rPr>
        <w:t xml:space="preserve"> </w:t>
      </w:r>
    </w:p>
    <w:p w:rsidR="005F4027" w:rsidP="008F6899" w:rsidRDefault="005F4027" w14:paraId="4412ED7D" w14:textId="77777777">
      <w:pPr>
        <w:tabs>
          <w:tab w:val="left" w:pos="720"/>
        </w:tabs>
        <w:spacing w:after="0" w:line="240" w:lineRule="auto"/>
        <w:ind w:left="720" w:hanging="720"/>
        <w:rPr>
          <w:rFonts w:ascii="Times Roman" w:hAnsi="Times Roman"/>
          <w:sz w:val="24"/>
          <w:szCs w:val="24"/>
        </w:rPr>
      </w:pPr>
    </w:p>
    <w:p w:rsidRPr="008F6899" w:rsidR="008F6899" w:rsidP="008F6899" w:rsidRDefault="00551D50" w14:paraId="252DA449" w14:textId="2F675DD8">
      <w:pPr>
        <w:spacing w:after="0" w:line="240" w:lineRule="auto"/>
        <w:ind w:left="720"/>
        <w:rPr>
          <w:rFonts w:ascii="Times New Roman" w:hAnsi="Times New Roman"/>
          <w:sz w:val="24"/>
          <w:szCs w:val="24"/>
        </w:rPr>
      </w:pPr>
      <w:r>
        <w:rPr>
          <w:rFonts w:ascii="Times New Roman" w:hAnsi="Times New Roman"/>
          <w:sz w:val="24"/>
          <w:szCs w:val="24"/>
        </w:rPr>
        <w:t>The IRS</w:t>
      </w:r>
      <w:r w:rsidRPr="008F6899" w:rsidR="008F6899">
        <w:rPr>
          <w:rFonts w:ascii="Times New Roman" w:hAnsi="Times New Roman"/>
          <w:sz w:val="24"/>
          <w:szCs w:val="24"/>
        </w:rPr>
        <w:t xml:space="preserve"> believe</w:t>
      </w:r>
      <w:r>
        <w:rPr>
          <w:rFonts w:ascii="Times New Roman" w:hAnsi="Times New Roman"/>
          <w:sz w:val="24"/>
          <w:szCs w:val="24"/>
        </w:rPr>
        <w:t>s</w:t>
      </w:r>
      <w:r w:rsidRPr="008F6899" w:rsidR="008F6899">
        <w:rPr>
          <w:rFonts w:ascii="Times New Roman" w:hAnsi="Times New Roman"/>
          <w:sz w:val="24"/>
          <w:szCs w:val="24"/>
        </w:rPr>
        <w:t xml:space="preserve"> that displaying the OMB expiration date is inappropriate because it could cause confusion by leading taxpayers to believe that the regulations sunset as of the expiration date.  Taxpayers are not likely to be aware that the </w:t>
      </w:r>
      <w:r w:rsidR="00B90B19">
        <w:rPr>
          <w:rFonts w:ascii="Times New Roman" w:hAnsi="Times New Roman"/>
          <w:sz w:val="24"/>
          <w:szCs w:val="24"/>
        </w:rPr>
        <w:t>IRS</w:t>
      </w:r>
      <w:r w:rsidRPr="008F6899" w:rsidR="008F6899">
        <w:rPr>
          <w:rFonts w:ascii="Times New Roman" w:hAnsi="Times New Roman"/>
          <w:sz w:val="24"/>
          <w:szCs w:val="24"/>
        </w:rPr>
        <w:t xml:space="preserve"> intends to request renewal of the OMB approval and obtain a new expiration date before the old one expires.</w:t>
      </w:r>
    </w:p>
    <w:p w:rsidRPr="005F4027" w:rsidR="005F4027" w:rsidP="005F4027" w:rsidRDefault="008F6899" w14:paraId="6304501F"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005F4027" w:rsidP="005F4027" w:rsidRDefault="005F4027" w14:paraId="378299AB"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18.</w:t>
      </w:r>
      <w:r>
        <w:rPr>
          <w:rFonts w:ascii="Times Roman" w:hAnsi="Times Roman"/>
          <w:sz w:val="24"/>
          <w:szCs w:val="24"/>
        </w:rPr>
        <w:tab/>
      </w:r>
      <w:r w:rsidRPr="005F4027" w:rsidR="00636E57">
        <w:rPr>
          <w:rFonts w:ascii="Times Roman" w:hAnsi="Times Roman"/>
          <w:sz w:val="24"/>
          <w:szCs w:val="24"/>
          <w:u w:val="single"/>
        </w:rPr>
        <w:t xml:space="preserve">EXCEPTIONS TO THE CERTIFICATION STATEMENT </w:t>
      </w:r>
    </w:p>
    <w:p w:rsidR="00A17A03" w:rsidP="005F4027" w:rsidRDefault="005F4027" w14:paraId="284DF7E2"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Pr="00A17A03" w:rsidR="00A17A03" w:rsidP="00A17A03" w:rsidRDefault="00A17A03" w14:paraId="522B6CDF" w14:textId="77777777">
      <w:pPr>
        <w:ind w:left="720"/>
        <w:rPr>
          <w:rFonts w:ascii="Times New Roman" w:hAnsi="Times New Roman"/>
        </w:rPr>
      </w:pPr>
      <w:r w:rsidRPr="00A17A03">
        <w:rPr>
          <w:rFonts w:ascii="Times New Roman" w:hAnsi="Times New Roman"/>
        </w:rPr>
        <w:t>There are no exceptions to the certification statement.</w:t>
      </w:r>
    </w:p>
    <w:p w:rsidRPr="00156098" w:rsidR="00742ABE" w:rsidP="00A17A03" w:rsidRDefault="00742ABE" w14:paraId="66FC83B2" w14:textId="14AC5D01">
      <w:pPr>
        <w:tabs>
          <w:tab w:val="left" w:pos="1440"/>
        </w:tabs>
        <w:spacing w:after="0" w:line="240" w:lineRule="auto"/>
        <w:ind w:left="576" w:hanging="720"/>
        <w:rPr>
          <w:rFonts w:ascii="Times New Roman" w:hAnsi="Times New Roman"/>
          <w:sz w:val="24"/>
          <w:szCs w:val="24"/>
        </w:rPr>
      </w:pPr>
      <w:r w:rsidRPr="00156098">
        <w:rPr>
          <w:rFonts w:ascii="Times New Roman" w:hAnsi="Times New Roman"/>
          <w:sz w:val="24"/>
          <w:szCs w:val="24"/>
          <w:u w:val="single"/>
        </w:rPr>
        <w:t>Note</w:t>
      </w:r>
      <w:r w:rsidRPr="00156098">
        <w:rPr>
          <w:rFonts w:ascii="Times New Roman" w:hAnsi="Times New Roman"/>
          <w:sz w:val="24"/>
          <w:szCs w:val="24"/>
        </w:rPr>
        <w:t xml:space="preserve">: </w:t>
      </w:r>
      <w:r w:rsidRPr="00156098">
        <w:rPr>
          <w:rFonts w:ascii="Times New Roman" w:hAnsi="Times New Roman"/>
          <w:sz w:val="24"/>
          <w:szCs w:val="24"/>
        </w:rPr>
        <w:tab/>
        <w:t>The following paragraph applies to all the collections of information in this submission:</w:t>
      </w:r>
    </w:p>
    <w:p w:rsidRPr="00156098" w:rsidR="00742ABE" w:rsidP="00156098" w:rsidRDefault="00742ABE" w14:paraId="005537F5" w14:textId="77777777">
      <w:pPr>
        <w:tabs>
          <w:tab w:val="left" w:pos="1440"/>
        </w:tabs>
        <w:spacing w:after="0" w:line="240" w:lineRule="auto"/>
        <w:ind w:left="1440" w:hanging="720"/>
        <w:rPr>
          <w:rFonts w:ascii="Times New Roman" w:hAnsi="Times New Roman"/>
          <w:sz w:val="24"/>
          <w:szCs w:val="24"/>
        </w:rPr>
      </w:pPr>
    </w:p>
    <w:p w:rsidRPr="00156098" w:rsidR="00742ABE" w:rsidP="00156098" w:rsidRDefault="00742ABE" w14:paraId="605061E2" w14:textId="77777777">
      <w:pPr>
        <w:spacing w:after="0" w:line="240" w:lineRule="auto"/>
        <w:ind w:left="720"/>
        <w:rPr>
          <w:rFonts w:ascii="Times New Roman" w:hAnsi="Times New Roman"/>
          <w:sz w:val="24"/>
          <w:szCs w:val="24"/>
        </w:rPr>
      </w:pPr>
      <w:r w:rsidRPr="00156098">
        <w:rPr>
          <w:rFonts w:ascii="Times New Roman" w:hAnsi="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56098">
        <w:rPr>
          <w:rFonts w:ascii="Times New Roman" w:hAnsi="Times New Roman"/>
          <w:sz w:val="24"/>
          <w:szCs w:val="24"/>
        </w:rPr>
        <w:t>as long as</w:t>
      </w:r>
      <w:proofErr w:type="gramEnd"/>
      <w:r w:rsidRPr="00156098">
        <w:rPr>
          <w:rFonts w:ascii="Times New Roman" w:hAnsi="Times New Roman"/>
          <w:sz w:val="24"/>
          <w:szCs w:val="24"/>
        </w:rPr>
        <w:t xml:space="preserve"> their contents may become material in the administration of any internal revenue law.  Generally, tax returns and tax return information are confidential, as required by 26 U.S.C. 6103.</w:t>
      </w:r>
    </w:p>
    <w:p w:rsidRPr="005F4027" w:rsidR="00742ABE" w:rsidP="005F4027" w:rsidRDefault="00742ABE" w14:paraId="06C7F791" w14:textId="77777777">
      <w:pPr>
        <w:tabs>
          <w:tab w:val="left" w:pos="720"/>
        </w:tabs>
        <w:spacing w:after="0" w:line="240" w:lineRule="auto"/>
        <w:ind w:left="720" w:hanging="720"/>
        <w:rPr>
          <w:rFonts w:ascii="Times Roman" w:hAnsi="Times Roman"/>
          <w:sz w:val="24"/>
          <w:szCs w:val="24"/>
        </w:rPr>
      </w:pPr>
    </w:p>
    <w:sectPr w:rsidRPr="005F4027" w:rsidR="00742A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3E9E" w14:textId="77777777" w:rsidR="00DE0012" w:rsidRDefault="00DE0012" w:rsidP="006B6BF5">
      <w:pPr>
        <w:spacing w:after="0" w:line="240" w:lineRule="auto"/>
      </w:pPr>
      <w:r>
        <w:separator/>
      </w:r>
    </w:p>
  </w:endnote>
  <w:endnote w:type="continuationSeparator" w:id="0">
    <w:p w14:paraId="2D07E282" w14:textId="77777777" w:rsidR="00DE0012" w:rsidRDefault="00DE0012" w:rsidP="006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7F2" w14:textId="60F8C9DF" w:rsidR="00C015D2" w:rsidRPr="00156098" w:rsidRDefault="00C015D2" w:rsidP="00156098">
    <w:pPr>
      <w:pStyle w:val="Footer"/>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DDEF" w14:textId="77777777" w:rsidR="00DE0012" w:rsidRDefault="00DE0012" w:rsidP="006B6BF5">
      <w:pPr>
        <w:spacing w:after="0" w:line="240" w:lineRule="auto"/>
      </w:pPr>
      <w:r>
        <w:separator/>
      </w:r>
    </w:p>
  </w:footnote>
  <w:footnote w:type="continuationSeparator" w:id="0">
    <w:p w14:paraId="71405AA2" w14:textId="77777777" w:rsidR="00DE0012" w:rsidRDefault="00DE0012" w:rsidP="006B6BF5">
      <w:pPr>
        <w:spacing w:after="0" w:line="240" w:lineRule="auto"/>
      </w:pPr>
      <w:r>
        <w:continuationSeparator/>
      </w:r>
    </w:p>
  </w:footnote>
  <w:footnote w:id="1">
    <w:p w14:paraId="31D6FFE2" w14:textId="091F1A81" w:rsidR="009B76C4" w:rsidRDefault="009B76C4">
      <w:pPr>
        <w:pStyle w:val="FootnoteText"/>
      </w:pPr>
      <w:r>
        <w:rPr>
          <w:rStyle w:val="FootnoteReference"/>
        </w:rPr>
        <w:footnoteRef/>
      </w:r>
      <w:r>
        <w:t xml:space="preserve"> </w:t>
      </w:r>
      <w:r w:rsidRPr="00F721BF">
        <w:rPr>
          <w:b w:val="0"/>
          <w:sz w:val="20"/>
        </w:rPr>
        <w:t>2022: 2.0 million ERISA-covered plans x 16% grandfathered plans x (8% HMOs + 13% POSs) = 67,445 affected plans; 2023 and 2024:</w:t>
      </w:r>
      <w:r w:rsidRPr="00F721BF">
        <w:rPr>
          <w:b w:val="0"/>
          <w:iCs/>
          <w:sz w:val="20"/>
        </w:rPr>
        <w:t xml:space="preserve"> There will be no additional costs in 2023 and 2024 to prepare the </w:t>
      </w:r>
      <w:proofErr w:type="gramStart"/>
      <w:r w:rsidRPr="00F721BF">
        <w:rPr>
          <w:b w:val="0"/>
          <w:iCs/>
          <w:sz w:val="20"/>
        </w:rPr>
        <w:t>notice, since</w:t>
      </w:r>
      <w:proofErr w:type="gramEnd"/>
      <w:r w:rsidRPr="00F721BF">
        <w:rPr>
          <w:b w:val="0"/>
          <w:iCs/>
          <w:sz w:val="20"/>
        </w:rPr>
        <w:t xml:space="preserve"> all plans and issuers will have incurred the cost by 2022. Therefore, the three-year average number of respondents is 22,482. The </w:t>
      </w:r>
      <w:r w:rsidR="004C6C20">
        <w:rPr>
          <w:b w:val="0"/>
          <w:iCs/>
          <w:sz w:val="20"/>
        </w:rPr>
        <w:t xml:space="preserve">Agency </w:t>
      </w:r>
      <w:r w:rsidRPr="00F721BF">
        <w:rPr>
          <w:b w:val="0"/>
          <w:iCs/>
          <w:sz w:val="20"/>
        </w:rPr>
        <w:t>shares this burden equally with the Department of</w:t>
      </w:r>
      <w:r>
        <w:rPr>
          <w:b w:val="0"/>
          <w:iCs/>
          <w:sz w:val="20"/>
        </w:rPr>
        <w:t xml:space="preserve"> Labor (DOL)</w:t>
      </w:r>
      <w:r w:rsidRPr="00F721BF">
        <w:rPr>
          <w:b w:val="0"/>
          <w:iCs/>
          <w:sz w:val="20"/>
        </w:rPr>
        <w:t>.  Thus, the three-year average number of respondents for</w:t>
      </w:r>
      <w:r>
        <w:rPr>
          <w:b w:val="0"/>
          <w:iCs/>
          <w:sz w:val="20"/>
        </w:rPr>
        <w:t xml:space="preserve"> IRS</w:t>
      </w:r>
      <w:r w:rsidRPr="00F721BF">
        <w:rPr>
          <w:b w:val="0"/>
          <w:iCs/>
          <w:sz w:val="20"/>
        </w:rPr>
        <w:t xml:space="preserve"> is 11,241.</w:t>
      </w:r>
    </w:p>
  </w:footnote>
  <w:footnote w:id="2">
    <w:p w14:paraId="3AA8F8D2" w14:textId="06C13F30" w:rsidR="009B76C4" w:rsidRDefault="009B76C4">
      <w:pPr>
        <w:pStyle w:val="FootnoteText"/>
      </w:pPr>
      <w:r>
        <w:rPr>
          <w:rStyle w:val="FootnoteReference"/>
        </w:rPr>
        <w:footnoteRef/>
      </w:r>
      <w:r w:rsidRPr="004F3DD3">
        <w:rPr>
          <w:b w:val="0"/>
          <w:bCs w:val="0"/>
        </w:rPr>
        <w:t xml:space="preserve"> </w:t>
      </w:r>
      <w:r w:rsidRPr="004F3DD3">
        <w:rPr>
          <w:b w:val="0"/>
          <w:bCs w:val="0"/>
          <w:sz w:val="20"/>
        </w:rPr>
        <w:t xml:space="preserve">2022:  60.8 million ERISA-covered policyholders x 14% of covered employees in grandfathered plans x (8% in HMOs + 13% in POSs) *41.8% = 889,085 notices; 2023 and 2024: </w:t>
      </w:r>
      <w:r w:rsidRPr="004F3DD3">
        <w:rPr>
          <w:b w:val="0"/>
          <w:bCs w:val="0"/>
          <w:iCs/>
          <w:sz w:val="20"/>
        </w:rPr>
        <w:t>There will be no additional costs in 2023 and 2024 to prepare the notice, since all plans and issuers will have incurred the cost by 2022. Therefore, the three-year</w:t>
      </w:r>
      <w:r>
        <w:rPr>
          <w:b w:val="0"/>
          <w:bCs w:val="0"/>
          <w:iCs/>
          <w:sz w:val="20"/>
        </w:rPr>
        <w:t xml:space="preserve"> </w:t>
      </w:r>
      <w:r w:rsidRPr="004F3DD3">
        <w:rPr>
          <w:b w:val="0"/>
          <w:bCs w:val="0"/>
          <w:iCs/>
          <w:sz w:val="20"/>
        </w:rPr>
        <w:t xml:space="preserve">average number of responses is 296,362. The </w:t>
      </w:r>
      <w:r w:rsidR="004C6C20">
        <w:rPr>
          <w:b w:val="0"/>
          <w:bCs w:val="0"/>
          <w:iCs/>
          <w:sz w:val="20"/>
        </w:rPr>
        <w:t xml:space="preserve">Agency </w:t>
      </w:r>
      <w:r w:rsidRPr="004F3DD3">
        <w:rPr>
          <w:b w:val="0"/>
          <w:bCs w:val="0"/>
          <w:iCs/>
          <w:sz w:val="20"/>
        </w:rPr>
        <w:t xml:space="preserve">shares this burden equally with the </w:t>
      </w:r>
      <w:r>
        <w:rPr>
          <w:b w:val="0"/>
          <w:bCs w:val="0"/>
          <w:iCs/>
          <w:sz w:val="20"/>
        </w:rPr>
        <w:t>DOL</w:t>
      </w:r>
      <w:r w:rsidRPr="004F3DD3">
        <w:rPr>
          <w:b w:val="0"/>
          <w:bCs w:val="0"/>
          <w:iCs/>
          <w:sz w:val="20"/>
        </w:rPr>
        <w:t xml:space="preserve">. Thus, the three-year average number of respondents for </w:t>
      </w:r>
      <w:r>
        <w:rPr>
          <w:b w:val="0"/>
          <w:bCs w:val="0"/>
          <w:iCs/>
          <w:sz w:val="20"/>
        </w:rPr>
        <w:t>IRS</w:t>
      </w:r>
      <w:r w:rsidRPr="004F3DD3">
        <w:rPr>
          <w:b w:val="0"/>
          <w:bCs w:val="0"/>
          <w:iCs/>
          <w:sz w:val="20"/>
        </w:rPr>
        <w:t xml:space="preserve"> is 148,18</w:t>
      </w:r>
      <w:r w:rsidR="004F3DD3">
        <w:rPr>
          <w:b w:val="0"/>
          <w:bCs w:val="0"/>
          <w:iCs/>
          <w:sz w:val="20"/>
        </w:rPr>
        <w:t>1</w:t>
      </w:r>
      <w:r w:rsidRPr="00F721BF">
        <w:rPr>
          <w:iCs/>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09B4"/>
    <w:multiLevelType w:val="hybridMultilevel"/>
    <w:tmpl w:val="954AB4AA"/>
    <w:lvl w:ilvl="0" w:tplc="7E7CDE98">
      <w:start w:val="1"/>
      <w:numFmt w:val="decimal"/>
      <w:lvlText w:val="%1."/>
      <w:lvlJc w:val="left"/>
      <w:pPr>
        <w:ind w:left="360" w:hanging="360"/>
      </w:pPr>
      <w:rPr>
        <w:rFonts w:hint="default"/>
        <w:b w:val="0"/>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4200B"/>
    <w:rsid w:val="00050245"/>
    <w:rsid w:val="00050D59"/>
    <w:rsid w:val="00066835"/>
    <w:rsid w:val="00081487"/>
    <w:rsid w:val="000A11F1"/>
    <w:rsid w:val="000F4122"/>
    <w:rsid w:val="000F5D65"/>
    <w:rsid w:val="00115DB4"/>
    <w:rsid w:val="00130875"/>
    <w:rsid w:val="00144A5F"/>
    <w:rsid w:val="00156098"/>
    <w:rsid w:val="00172CC0"/>
    <w:rsid w:val="001926D4"/>
    <w:rsid w:val="001A2426"/>
    <w:rsid w:val="001C08F6"/>
    <w:rsid w:val="001D03FA"/>
    <w:rsid w:val="001D47E0"/>
    <w:rsid w:val="001F6E44"/>
    <w:rsid w:val="00201E4F"/>
    <w:rsid w:val="00240603"/>
    <w:rsid w:val="0025117D"/>
    <w:rsid w:val="00263BD6"/>
    <w:rsid w:val="002A69A8"/>
    <w:rsid w:val="002B5668"/>
    <w:rsid w:val="002B6DEF"/>
    <w:rsid w:val="002D1560"/>
    <w:rsid w:val="002D66CA"/>
    <w:rsid w:val="002F0B54"/>
    <w:rsid w:val="002F4E9E"/>
    <w:rsid w:val="00302C0B"/>
    <w:rsid w:val="00323BA7"/>
    <w:rsid w:val="00365EB2"/>
    <w:rsid w:val="00384560"/>
    <w:rsid w:val="00391259"/>
    <w:rsid w:val="00393E31"/>
    <w:rsid w:val="003B020B"/>
    <w:rsid w:val="003B28EE"/>
    <w:rsid w:val="003C7DF8"/>
    <w:rsid w:val="003F3EC8"/>
    <w:rsid w:val="003F47C6"/>
    <w:rsid w:val="004037A2"/>
    <w:rsid w:val="00446CDE"/>
    <w:rsid w:val="0045735C"/>
    <w:rsid w:val="004577B4"/>
    <w:rsid w:val="00460E95"/>
    <w:rsid w:val="00481553"/>
    <w:rsid w:val="00481DB8"/>
    <w:rsid w:val="00493D48"/>
    <w:rsid w:val="004B30BF"/>
    <w:rsid w:val="004B3AE5"/>
    <w:rsid w:val="004C0FFA"/>
    <w:rsid w:val="004C6C20"/>
    <w:rsid w:val="004D6A6D"/>
    <w:rsid w:val="004E1F98"/>
    <w:rsid w:val="004F3DD3"/>
    <w:rsid w:val="004F4BF5"/>
    <w:rsid w:val="00514C77"/>
    <w:rsid w:val="00545B57"/>
    <w:rsid w:val="00551D50"/>
    <w:rsid w:val="00555B6D"/>
    <w:rsid w:val="00575761"/>
    <w:rsid w:val="005863B1"/>
    <w:rsid w:val="00596C92"/>
    <w:rsid w:val="005A020F"/>
    <w:rsid w:val="005E4A46"/>
    <w:rsid w:val="005F3A1B"/>
    <w:rsid w:val="005F4027"/>
    <w:rsid w:val="00606604"/>
    <w:rsid w:val="006273A7"/>
    <w:rsid w:val="00633513"/>
    <w:rsid w:val="00636E57"/>
    <w:rsid w:val="00654C6D"/>
    <w:rsid w:val="006A02F9"/>
    <w:rsid w:val="006B6BF5"/>
    <w:rsid w:val="006F4C02"/>
    <w:rsid w:val="00716BA0"/>
    <w:rsid w:val="00742ABE"/>
    <w:rsid w:val="00755A44"/>
    <w:rsid w:val="007809BE"/>
    <w:rsid w:val="007A1744"/>
    <w:rsid w:val="007A27D4"/>
    <w:rsid w:val="007B24C7"/>
    <w:rsid w:val="007B2DEE"/>
    <w:rsid w:val="007C01F9"/>
    <w:rsid w:val="007C29F1"/>
    <w:rsid w:val="00812B05"/>
    <w:rsid w:val="00840161"/>
    <w:rsid w:val="008469F8"/>
    <w:rsid w:val="00853B65"/>
    <w:rsid w:val="008A459E"/>
    <w:rsid w:val="008C54AF"/>
    <w:rsid w:val="008C5F7A"/>
    <w:rsid w:val="008E6275"/>
    <w:rsid w:val="008F3775"/>
    <w:rsid w:val="008F6899"/>
    <w:rsid w:val="00904CEC"/>
    <w:rsid w:val="00905F3E"/>
    <w:rsid w:val="00917CA7"/>
    <w:rsid w:val="009222D3"/>
    <w:rsid w:val="00940817"/>
    <w:rsid w:val="00950FCA"/>
    <w:rsid w:val="0095570C"/>
    <w:rsid w:val="00972398"/>
    <w:rsid w:val="00986869"/>
    <w:rsid w:val="009B76C4"/>
    <w:rsid w:val="009C2334"/>
    <w:rsid w:val="009C5EB5"/>
    <w:rsid w:val="00A101D9"/>
    <w:rsid w:val="00A17A03"/>
    <w:rsid w:val="00A351CA"/>
    <w:rsid w:val="00A43770"/>
    <w:rsid w:val="00A75DE3"/>
    <w:rsid w:val="00A83A9C"/>
    <w:rsid w:val="00A83F20"/>
    <w:rsid w:val="00A9095A"/>
    <w:rsid w:val="00A9591D"/>
    <w:rsid w:val="00AA47AB"/>
    <w:rsid w:val="00AA5A02"/>
    <w:rsid w:val="00AC3931"/>
    <w:rsid w:val="00AC6CF5"/>
    <w:rsid w:val="00AD0572"/>
    <w:rsid w:val="00AD557A"/>
    <w:rsid w:val="00AE096A"/>
    <w:rsid w:val="00AE74EF"/>
    <w:rsid w:val="00AF0490"/>
    <w:rsid w:val="00AF381B"/>
    <w:rsid w:val="00B07EB4"/>
    <w:rsid w:val="00B1586E"/>
    <w:rsid w:val="00B176E6"/>
    <w:rsid w:val="00B33887"/>
    <w:rsid w:val="00B46FE8"/>
    <w:rsid w:val="00B54EEA"/>
    <w:rsid w:val="00B75338"/>
    <w:rsid w:val="00B8264E"/>
    <w:rsid w:val="00B90B19"/>
    <w:rsid w:val="00B94216"/>
    <w:rsid w:val="00B96FED"/>
    <w:rsid w:val="00BB2348"/>
    <w:rsid w:val="00BB7960"/>
    <w:rsid w:val="00BC6424"/>
    <w:rsid w:val="00BD43D5"/>
    <w:rsid w:val="00BE4F01"/>
    <w:rsid w:val="00BF08C6"/>
    <w:rsid w:val="00C015D2"/>
    <w:rsid w:val="00C37EA2"/>
    <w:rsid w:val="00C4124E"/>
    <w:rsid w:val="00C60464"/>
    <w:rsid w:val="00C621CD"/>
    <w:rsid w:val="00C63DB2"/>
    <w:rsid w:val="00C70654"/>
    <w:rsid w:val="00C80AB1"/>
    <w:rsid w:val="00C83EA3"/>
    <w:rsid w:val="00C83EE1"/>
    <w:rsid w:val="00C8489E"/>
    <w:rsid w:val="00C84A9B"/>
    <w:rsid w:val="00C875C4"/>
    <w:rsid w:val="00CA0203"/>
    <w:rsid w:val="00CA049A"/>
    <w:rsid w:val="00CA4911"/>
    <w:rsid w:val="00CB7328"/>
    <w:rsid w:val="00CC495D"/>
    <w:rsid w:val="00CC4ADE"/>
    <w:rsid w:val="00CD36A2"/>
    <w:rsid w:val="00CF0D12"/>
    <w:rsid w:val="00D032B8"/>
    <w:rsid w:val="00D05D39"/>
    <w:rsid w:val="00D14646"/>
    <w:rsid w:val="00D239B2"/>
    <w:rsid w:val="00D345E5"/>
    <w:rsid w:val="00D45A87"/>
    <w:rsid w:val="00D77E12"/>
    <w:rsid w:val="00DA7264"/>
    <w:rsid w:val="00DD0D2A"/>
    <w:rsid w:val="00DE0012"/>
    <w:rsid w:val="00DE3162"/>
    <w:rsid w:val="00E300D4"/>
    <w:rsid w:val="00E335D1"/>
    <w:rsid w:val="00E74E49"/>
    <w:rsid w:val="00E76A67"/>
    <w:rsid w:val="00E91079"/>
    <w:rsid w:val="00EB2FFB"/>
    <w:rsid w:val="00EE447B"/>
    <w:rsid w:val="00EE5204"/>
    <w:rsid w:val="00F10AC4"/>
    <w:rsid w:val="00F10AF6"/>
    <w:rsid w:val="00F17593"/>
    <w:rsid w:val="00F23924"/>
    <w:rsid w:val="00F423A2"/>
    <w:rsid w:val="00F721BF"/>
    <w:rsid w:val="00F82BA7"/>
    <w:rsid w:val="00FA34E4"/>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link w:val="Heading4Char"/>
    <w:uiPriority w:val="9"/>
    <w:qFormat/>
    <w:rsid w:val="0084016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rsid w:val="00CA0203"/>
  </w:style>
  <w:style w:type="paragraph" w:styleId="FootnoteText">
    <w:name w:val="footnote text"/>
    <w:basedOn w:val="Normal"/>
    <w:link w:val="FootnoteTextChar"/>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unhideWhenUsed/>
    <w:rsid w:val="0025117D"/>
    <w:rPr>
      <w:sz w:val="20"/>
      <w:szCs w:val="20"/>
    </w:rPr>
  </w:style>
  <w:style w:type="character" w:customStyle="1" w:styleId="CommentTextChar">
    <w:name w:val="Comment Text Char"/>
    <w:basedOn w:val="DefaultParagraphFont"/>
    <w:link w:val="CommentText"/>
    <w:uiPriority w:val="99"/>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 w:type="character" w:styleId="Hyperlink">
    <w:name w:val="Hyperlink"/>
    <w:basedOn w:val="DefaultParagraphFont"/>
    <w:unhideWhenUsed/>
    <w:rsid w:val="005A020F"/>
    <w:rPr>
      <w:color w:val="0563C1" w:themeColor="hyperlink"/>
      <w:u w:val="single"/>
    </w:rPr>
  </w:style>
  <w:style w:type="character" w:customStyle="1" w:styleId="Heading4Char">
    <w:name w:val="Heading 4 Char"/>
    <w:basedOn w:val="DefaultParagraphFont"/>
    <w:link w:val="Heading4"/>
    <w:uiPriority w:val="9"/>
    <w:rsid w:val="00840161"/>
    <w:rPr>
      <w:rFonts w:ascii="Times New Roman" w:eastAsia="Times New Roman" w:hAnsi="Times New Roman"/>
      <w:b/>
      <w:bCs/>
      <w:sz w:val="24"/>
      <w:szCs w:val="24"/>
    </w:rPr>
  </w:style>
  <w:style w:type="character" w:styleId="Emphasis">
    <w:name w:val="Emphasis"/>
    <w:basedOn w:val="DefaultParagraphFont"/>
    <w:uiPriority w:val="20"/>
    <w:qFormat/>
    <w:rsid w:val="00840161"/>
    <w:rPr>
      <w:i/>
      <w:iCs/>
    </w:rPr>
  </w:style>
  <w:style w:type="paragraph" w:styleId="Revision">
    <w:name w:val="Revision"/>
    <w:hidden/>
    <w:uiPriority w:val="99"/>
    <w:semiHidden/>
    <w:rsid w:val="00F721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4639">
      <w:bodyDiv w:val="1"/>
      <w:marLeft w:val="0"/>
      <w:marRight w:val="0"/>
      <w:marTop w:val="0"/>
      <w:marBottom w:val="0"/>
      <w:divBdr>
        <w:top w:val="none" w:sz="0" w:space="0" w:color="auto"/>
        <w:left w:val="none" w:sz="0" w:space="0" w:color="auto"/>
        <w:bottom w:val="none" w:sz="0" w:space="0" w:color="auto"/>
        <w:right w:val="none" w:sz="0" w:space="0" w:color="auto"/>
      </w:divBdr>
    </w:div>
    <w:div w:id="271061645">
      <w:bodyDiv w:val="1"/>
      <w:marLeft w:val="0"/>
      <w:marRight w:val="0"/>
      <w:marTop w:val="0"/>
      <w:marBottom w:val="0"/>
      <w:divBdr>
        <w:top w:val="none" w:sz="0" w:space="0" w:color="auto"/>
        <w:left w:val="none" w:sz="0" w:space="0" w:color="auto"/>
        <w:bottom w:val="none" w:sz="0" w:space="0" w:color="auto"/>
        <w:right w:val="none" w:sz="0" w:space="0" w:color="auto"/>
      </w:divBdr>
    </w:div>
    <w:div w:id="354813490">
      <w:bodyDiv w:val="1"/>
      <w:marLeft w:val="0"/>
      <w:marRight w:val="0"/>
      <w:marTop w:val="0"/>
      <w:marBottom w:val="0"/>
      <w:divBdr>
        <w:top w:val="none" w:sz="0" w:space="0" w:color="auto"/>
        <w:left w:val="none" w:sz="0" w:space="0" w:color="auto"/>
        <w:bottom w:val="none" w:sz="0" w:space="0" w:color="auto"/>
        <w:right w:val="none" w:sz="0" w:space="0" w:color="auto"/>
      </w:divBdr>
    </w:div>
    <w:div w:id="1200167555">
      <w:bodyDiv w:val="1"/>
      <w:marLeft w:val="0"/>
      <w:marRight w:val="0"/>
      <w:marTop w:val="0"/>
      <w:marBottom w:val="0"/>
      <w:divBdr>
        <w:top w:val="none" w:sz="0" w:space="0" w:color="auto"/>
        <w:left w:val="none" w:sz="0" w:space="0" w:color="auto"/>
        <w:bottom w:val="none" w:sz="0" w:space="0" w:color="auto"/>
        <w:right w:val="none" w:sz="0" w:space="0" w:color="auto"/>
      </w:divBdr>
    </w:div>
    <w:div w:id="1208689403">
      <w:bodyDiv w:val="1"/>
      <w:marLeft w:val="0"/>
      <w:marRight w:val="0"/>
      <w:marTop w:val="0"/>
      <w:marBottom w:val="0"/>
      <w:divBdr>
        <w:top w:val="none" w:sz="0" w:space="0" w:color="auto"/>
        <w:left w:val="none" w:sz="0" w:space="0" w:color="auto"/>
        <w:bottom w:val="none" w:sz="0" w:space="0" w:color="auto"/>
        <w:right w:val="none" w:sz="0" w:space="0" w:color="auto"/>
      </w:divBdr>
      <w:divsChild>
        <w:div w:id="1955362282">
          <w:marLeft w:val="0"/>
          <w:marRight w:val="0"/>
          <w:marTop w:val="0"/>
          <w:marBottom w:val="0"/>
          <w:divBdr>
            <w:top w:val="none" w:sz="0" w:space="0" w:color="auto"/>
            <w:left w:val="none" w:sz="0" w:space="0" w:color="auto"/>
            <w:bottom w:val="none" w:sz="0" w:space="0" w:color="auto"/>
            <w:right w:val="none" w:sz="0" w:space="0" w:color="auto"/>
          </w:divBdr>
          <w:divsChild>
            <w:div w:id="1236429484">
              <w:marLeft w:val="0"/>
              <w:marRight w:val="0"/>
              <w:marTop w:val="0"/>
              <w:marBottom w:val="0"/>
              <w:divBdr>
                <w:top w:val="single" w:sz="6" w:space="11" w:color="FCFCFC"/>
                <w:left w:val="single" w:sz="6" w:space="11" w:color="ECECEC"/>
                <w:bottom w:val="single" w:sz="6" w:space="4" w:color="ECECEC"/>
                <w:right w:val="single" w:sz="6" w:space="11" w:color="ECECEC"/>
              </w:divBdr>
              <w:divsChild>
                <w:div w:id="186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8160">
      <w:bodyDiv w:val="1"/>
      <w:marLeft w:val="0"/>
      <w:marRight w:val="0"/>
      <w:marTop w:val="0"/>
      <w:marBottom w:val="0"/>
      <w:divBdr>
        <w:top w:val="none" w:sz="0" w:space="0" w:color="auto"/>
        <w:left w:val="none" w:sz="0" w:space="0" w:color="auto"/>
        <w:bottom w:val="none" w:sz="0" w:space="0" w:color="auto"/>
        <w:right w:val="none" w:sz="0" w:space="0" w:color="auto"/>
      </w:divBdr>
    </w:div>
    <w:div w:id="1513371895">
      <w:bodyDiv w:val="1"/>
      <w:marLeft w:val="0"/>
      <w:marRight w:val="0"/>
      <w:marTop w:val="0"/>
      <w:marBottom w:val="0"/>
      <w:divBdr>
        <w:top w:val="none" w:sz="0" w:space="0" w:color="auto"/>
        <w:left w:val="none" w:sz="0" w:space="0" w:color="auto"/>
        <w:bottom w:val="none" w:sz="0" w:space="0" w:color="auto"/>
        <w:right w:val="none" w:sz="0" w:space="0" w:color="auto"/>
      </w:divBdr>
    </w:div>
    <w:div w:id="1688822224">
      <w:bodyDiv w:val="1"/>
      <w:marLeft w:val="0"/>
      <w:marRight w:val="0"/>
      <w:marTop w:val="0"/>
      <w:marBottom w:val="0"/>
      <w:divBdr>
        <w:top w:val="none" w:sz="0" w:space="0" w:color="auto"/>
        <w:left w:val="none" w:sz="0" w:space="0" w:color="auto"/>
        <w:bottom w:val="none" w:sz="0" w:space="0" w:color="auto"/>
        <w:right w:val="none" w:sz="0" w:space="0" w:color="auto"/>
      </w:divBdr>
    </w:div>
    <w:div w:id="1866866726">
      <w:bodyDiv w:val="1"/>
      <w:marLeft w:val="0"/>
      <w:marRight w:val="0"/>
      <w:marTop w:val="0"/>
      <w:marBottom w:val="0"/>
      <w:divBdr>
        <w:top w:val="none" w:sz="0" w:space="0" w:color="auto"/>
        <w:left w:val="none" w:sz="0" w:space="0" w:color="auto"/>
        <w:bottom w:val="none" w:sz="0" w:space="0" w:color="auto"/>
        <w:right w:val="none" w:sz="0" w:space="0" w:color="auto"/>
      </w:divBdr>
    </w:div>
    <w:div w:id="204979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A0EB-D2A5-438A-9A86-5C663F56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2022-06-21T15:21:00Z</dcterms:created>
  <dcterms:modified xsi:type="dcterms:W3CDTF">2022-06-21T16:19:00Z</dcterms:modified>
</cp:coreProperties>
</file>