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2DC9" w:rsidR="00794B3F" w:rsidP="005C2DC9" w:rsidRDefault="005C2DC9" w14:paraId="498EA2EF" w14:textId="2E266097">
      <w:pPr>
        <w:pStyle w:val="CM12"/>
        <w:jc w:val="center"/>
        <w:rPr>
          <w:rFonts w:asciiTheme="minorHAnsi" w:hAnsiTheme="minorHAnsi"/>
          <w:bCs/>
          <w:color w:val="000000"/>
          <w:sz w:val="22"/>
          <w:szCs w:val="22"/>
        </w:rPr>
      </w:pPr>
      <w:r>
        <w:rPr>
          <w:rFonts w:asciiTheme="minorHAnsi" w:hAnsiTheme="minorHAnsi"/>
          <w:bCs/>
          <w:color w:val="000000"/>
          <w:sz w:val="22"/>
          <w:szCs w:val="22"/>
        </w:rPr>
        <w:t>SUPPORTING STATEMENT</w:t>
      </w:r>
    </w:p>
    <w:p w:rsidR="00001ED6" w:rsidP="005C2DC9" w:rsidRDefault="00001ED6" w14:paraId="000D9347" w14:textId="14079C7F">
      <w:pPr>
        <w:pStyle w:val="Default"/>
        <w:jc w:val="center"/>
        <w:rPr>
          <w:rFonts w:cs="Times New Roman" w:asciiTheme="minorHAnsi" w:hAnsiTheme="minorHAnsi"/>
          <w:bCs/>
          <w:sz w:val="22"/>
          <w:szCs w:val="22"/>
        </w:rPr>
      </w:pPr>
      <w:r w:rsidRPr="005C2DC9">
        <w:rPr>
          <w:rFonts w:cs="Times New Roman" w:asciiTheme="minorHAnsi" w:hAnsiTheme="minorHAnsi"/>
          <w:bCs/>
          <w:sz w:val="22"/>
          <w:szCs w:val="22"/>
        </w:rPr>
        <w:t>Internal Revenue Service</w:t>
      </w:r>
      <w:r w:rsidR="005C2DC9">
        <w:rPr>
          <w:rFonts w:cs="Times New Roman" w:asciiTheme="minorHAnsi" w:hAnsiTheme="minorHAnsi"/>
          <w:bCs/>
          <w:sz w:val="22"/>
          <w:szCs w:val="22"/>
        </w:rPr>
        <w:t xml:space="preserve"> (IRS)</w:t>
      </w:r>
    </w:p>
    <w:p w:rsidRPr="005C2DC9" w:rsidR="00005F14" w:rsidP="00005F14" w:rsidRDefault="00005F14" w14:paraId="66DDABDA" w14:textId="74E201AF">
      <w:pPr>
        <w:pStyle w:val="Default"/>
        <w:jc w:val="center"/>
        <w:rPr>
          <w:rFonts w:cs="Times New Roman" w:asciiTheme="minorHAnsi" w:hAnsiTheme="minorHAnsi"/>
          <w:bCs/>
          <w:sz w:val="22"/>
          <w:szCs w:val="22"/>
        </w:rPr>
      </w:pPr>
      <w:r w:rsidRPr="005C2DC9">
        <w:rPr>
          <w:rFonts w:cs="Times New Roman" w:asciiTheme="minorHAnsi" w:hAnsiTheme="minorHAnsi"/>
          <w:bCs/>
          <w:sz w:val="22"/>
          <w:szCs w:val="22"/>
        </w:rPr>
        <w:t>Form 5316</w:t>
      </w:r>
      <w:r w:rsidR="00B91BFE">
        <w:rPr>
          <w:rFonts w:cs="Times New Roman" w:asciiTheme="minorHAnsi" w:hAnsiTheme="minorHAnsi"/>
          <w:bCs/>
          <w:sz w:val="22"/>
          <w:szCs w:val="22"/>
        </w:rPr>
        <w:t>,</w:t>
      </w:r>
      <w:r w:rsidRPr="005C2DC9">
        <w:rPr>
          <w:rFonts w:cs="Times New Roman" w:asciiTheme="minorHAnsi" w:hAnsiTheme="minorHAnsi"/>
          <w:bCs/>
          <w:sz w:val="22"/>
          <w:szCs w:val="22"/>
        </w:rPr>
        <w:t xml:space="preserve"> Application for Group or Pooled </w:t>
      </w:r>
      <w:r>
        <w:rPr>
          <w:rFonts w:cs="Times New Roman" w:asciiTheme="minorHAnsi" w:hAnsiTheme="minorHAnsi"/>
          <w:bCs/>
          <w:sz w:val="22"/>
          <w:szCs w:val="22"/>
        </w:rPr>
        <w:t>T</w:t>
      </w:r>
      <w:r w:rsidRPr="005C2DC9">
        <w:rPr>
          <w:rFonts w:cs="Times New Roman" w:asciiTheme="minorHAnsi" w:hAnsiTheme="minorHAnsi"/>
          <w:bCs/>
          <w:sz w:val="22"/>
          <w:szCs w:val="22"/>
        </w:rPr>
        <w:t>rust Ruling</w:t>
      </w:r>
    </w:p>
    <w:p w:rsidRPr="005C2DC9" w:rsidR="00005F14" w:rsidP="005C2DC9" w:rsidRDefault="00005F14" w14:paraId="030B62E5" w14:textId="77777777">
      <w:pPr>
        <w:pStyle w:val="Default"/>
        <w:jc w:val="center"/>
        <w:rPr>
          <w:rFonts w:cs="Times New Roman" w:asciiTheme="minorHAnsi" w:hAnsiTheme="minorHAnsi"/>
          <w:bCs/>
          <w:sz w:val="22"/>
          <w:szCs w:val="22"/>
        </w:rPr>
      </w:pPr>
    </w:p>
    <w:p w:rsidRPr="005C2DC9" w:rsidR="00794B3F" w:rsidP="005C2DC9" w:rsidRDefault="00794B3F" w14:paraId="23D7C637" w14:textId="1EE63CA1">
      <w:pPr>
        <w:pStyle w:val="Default"/>
        <w:jc w:val="center"/>
        <w:rPr>
          <w:rFonts w:cs="Times New Roman" w:asciiTheme="minorHAnsi" w:hAnsiTheme="minorHAnsi"/>
          <w:bCs/>
          <w:sz w:val="22"/>
          <w:szCs w:val="22"/>
        </w:rPr>
      </w:pPr>
      <w:r w:rsidRPr="005C2DC9">
        <w:rPr>
          <w:rFonts w:cs="Times New Roman" w:asciiTheme="minorHAnsi" w:hAnsiTheme="minorHAnsi"/>
          <w:bCs/>
          <w:sz w:val="22"/>
          <w:szCs w:val="22"/>
        </w:rPr>
        <w:t xml:space="preserve">OMB </w:t>
      </w:r>
      <w:r w:rsidR="00B91BFE">
        <w:rPr>
          <w:rFonts w:cs="Times New Roman" w:asciiTheme="minorHAnsi" w:hAnsiTheme="minorHAnsi"/>
          <w:bCs/>
          <w:sz w:val="22"/>
          <w:szCs w:val="22"/>
        </w:rPr>
        <w:t xml:space="preserve">Control Number </w:t>
      </w:r>
      <w:r w:rsidRPr="005C2DC9">
        <w:rPr>
          <w:rFonts w:cs="Times New Roman" w:asciiTheme="minorHAnsi" w:hAnsiTheme="minorHAnsi"/>
          <w:bCs/>
          <w:sz w:val="22"/>
          <w:szCs w:val="22"/>
        </w:rPr>
        <w:t>1545-2166</w:t>
      </w:r>
    </w:p>
    <w:p w:rsidRPr="005C2DC9" w:rsidR="00794B3F" w:rsidP="00794B3F" w:rsidRDefault="00794B3F" w14:paraId="3954C819" w14:textId="77777777">
      <w:pPr>
        <w:pStyle w:val="CM12"/>
        <w:rPr>
          <w:rFonts w:asciiTheme="minorHAnsi" w:hAnsiTheme="minorHAnsi"/>
          <w:color w:val="000000"/>
          <w:sz w:val="22"/>
          <w:szCs w:val="22"/>
        </w:rPr>
      </w:pPr>
    </w:p>
    <w:p w:rsidRPr="005C2DC9" w:rsidR="00794B3F" w:rsidP="00794B3F" w:rsidRDefault="00794B3F" w14:paraId="048D38E8" w14:textId="77777777">
      <w:pPr>
        <w:pStyle w:val="Default"/>
        <w:rPr>
          <w:rFonts w:cs="Times New Roman" w:asciiTheme="minorHAnsi" w:hAnsiTheme="minorHAnsi"/>
          <w:sz w:val="22"/>
          <w:szCs w:val="22"/>
        </w:rPr>
      </w:pPr>
    </w:p>
    <w:p w:rsidRPr="00E2237D" w:rsidR="00794B3F" w:rsidP="00E2237D" w:rsidRDefault="00794B3F" w14:paraId="38CCDD3F"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CIRCUMSTANCES NECESSITATING COLLECTION OF INFORMATION </w:t>
      </w:r>
    </w:p>
    <w:p w:rsidRPr="005C2DC9" w:rsidR="00794B3F" w:rsidP="00794B3F" w:rsidRDefault="00794B3F" w14:paraId="26507FDF" w14:textId="77777777">
      <w:pPr>
        <w:pStyle w:val="Default"/>
        <w:tabs>
          <w:tab w:val="left" w:pos="540"/>
        </w:tabs>
        <w:ind w:left="540" w:hanging="540"/>
        <w:rPr>
          <w:rFonts w:cs="Times New Roman" w:asciiTheme="minorHAnsi" w:hAnsiTheme="minorHAnsi"/>
          <w:sz w:val="22"/>
          <w:szCs w:val="22"/>
        </w:rPr>
      </w:pPr>
    </w:p>
    <w:p w:rsidR="006E55FE" w:rsidP="00E2237D" w:rsidRDefault="00E2237D" w14:paraId="7503220C" w14:textId="5B15BF0D">
      <w:pPr>
        <w:ind w:left="720"/>
        <w:rPr>
          <w:rFonts w:ascii="Calibri" w:hAnsi="Calibri"/>
          <w:sz w:val="22"/>
          <w:szCs w:val="22"/>
        </w:rPr>
      </w:pPr>
      <w:r w:rsidRPr="00E2237D">
        <w:rPr>
          <w:rFonts w:ascii="Calibri" w:hAnsi="Calibri"/>
          <w:sz w:val="22"/>
          <w:szCs w:val="22"/>
        </w:rPr>
        <w:t xml:space="preserve">Treasury Regulations section 601.201, as authorized by 5 U.S.C. 301 and 5 U.S.C. 552, provides that it is the practice of the </w:t>
      </w:r>
      <w:r w:rsidR="00286546">
        <w:rPr>
          <w:rFonts w:ascii="Calibri" w:hAnsi="Calibri"/>
          <w:sz w:val="22"/>
          <w:szCs w:val="22"/>
        </w:rPr>
        <w:t>IRS</w:t>
      </w:r>
      <w:r w:rsidRPr="00E2237D">
        <w:rPr>
          <w:rFonts w:ascii="Calibri" w:hAnsi="Calibri"/>
          <w:sz w:val="22"/>
          <w:szCs w:val="22"/>
        </w:rPr>
        <w:t xml:space="preserve"> to answer inquiries of individuals and organizations, whenever appropriate in the interest of sound tax administration, as to their status for tax purposes and as to the tax effects of their acts or transactions. </w:t>
      </w:r>
      <w:r w:rsidR="00286546">
        <w:rPr>
          <w:rFonts w:ascii="Calibri" w:hAnsi="Calibri"/>
          <w:sz w:val="22"/>
          <w:szCs w:val="22"/>
        </w:rPr>
        <w:t xml:space="preserve">Rev. Proc. 2022-4, updated annually, </w:t>
      </w:r>
      <w:r w:rsidRPr="00286546" w:rsidR="00286546">
        <w:rPr>
          <w:rFonts w:ascii="Calibri" w:hAnsi="Calibri"/>
          <w:sz w:val="22"/>
          <w:szCs w:val="22"/>
        </w:rPr>
        <w:t xml:space="preserve">explains how the </w:t>
      </w:r>
      <w:r w:rsidR="00286546">
        <w:rPr>
          <w:rFonts w:ascii="Calibri" w:hAnsi="Calibri"/>
          <w:sz w:val="22"/>
          <w:szCs w:val="22"/>
        </w:rPr>
        <w:t>IRS</w:t>
      </w:r>
      <w:r w:rsidRPr="00286546" w:rsidR="00286546">
        <w:rPr>
          <w:rFonts w:ascii="Calibri" w:hAnsi="Calibri"/>
          <w:sz w:val="22"/>
          <w:szCs w:val="22"/>
        </w:rPr>
        <w:t xml:space="preserve"> provides advice to taxpayers on issues under the jurisdiction of the Commissioner, Tax Exempt and Government Entities Division, Employee Plans Rulings and Agreements Office</w:t>
      </w:r>
      <w:r w:rsidR="00286546">
        <w:rPr>
          <w:rFonts w:ascii="Calibri" w:hAnsi="Calibri"/>
          <w:sz w:val="22"/>
          <w:szCs w:val="22"/>
        </w:rPr>
        <w:t xml:space="preserve">. </w:t>
      </w:r>
      <w:r w:rsidRPr="00286546" w:rsidR="00286546">
        <w:rPr>
          <w:rFonts w:ascii="Calibri" w:hAnsi="Calibri"/>
          <w:sz w:val="22"/>
          <w:szCs w:val="22"/>
        </w:rPr>
        <w:t>It also details the types of advice available to taxpayers and the procedures for requesting such advice.</w:t>
      </w:r>
    </w:p>
    <w:p w:rsidR="006E55FE" w:rsidP="00E2237D" w:rsidRDefault="006E55FE" w14:paraId="2D51EB8B" w14:textId="77777777">
      <w:pPr>
        <w:ind w:left="720"/>
        <w:rPr>
          <w:rFonts w:ascii="Calibri" w:hAnsi="Calibri"/>
          <w:sz w:val="22"/>
          <w:szCs w:val="22"/>
        </w:rPr>
      </w:pPr>
    </w:p>
    <w:p w:rsidR="006E55FE" w:rsidP="00E2237D" w:rsidRDefault="006E55FE" w14:paraId="59CC9B7E" w14:textId="02802563">
      <w:pPr>
        <w:ind w:left="720"/>
        <w:rPr>
          <w:rFonts w:ascii="Calibri" w:hAnsi="Calibri"/>
          <w:sz w:val="22"/>
          <w:szCs w:val="22"/>
        </w:rPr>
      </w:pPr>
      <w:r>
        <w:rPr>
          <w:rFonts w:ascii="Calibri" w:hAnsi="Calibri"/>
          <w:sz w:val="22"/>
          <w:szCs w:val="22"/>
        </w:rPr>
        <w:t xml:space="preserve">Internal Revenue Code (IRC) section 501(a) provides, in part, that a trust described in IRC section 401(a) shall be exempt from income tax. </w:t>
      </w:r>
      <w:r w:rsidR="00A857AA">
        <w:rPr>
          <w:rFonts w:ascii="Calibri" w:hAnsi="Calibri"/>
          <w:sz w:val="22"/>
          <w:szCs w:val="22"/>
        </w:rPr>
        <w:t xml:space="preserve">IRC section 401(a) requires that a qualified trust be created or organized in the United States and form part of a stock bonus, pension, or profit-sharing plan of an employer for the exclusive benefit of its employees or their beneficiaries. </w:t>
      </w:r>
      <w:r>
        <w:rPr>
          <w:rFonts w:ascii="Calibri" w:hAnsi="Calibri"/>
          <w:sz w:val="22"/>
          <w:szCs w:val="22"/>
        </w:rPr>
        <w:t>Qualified group or pooled trusts are described in Rev</w:t>
      </w:r>
      <w:r w:rsidR="00FD045A">
        <w:rPr>
          <w:rFonts w:ascii="Calibri" w:hAnsi="Calibri"/>
          <w:sz w:val="22"/>
          <w:szCs w:val="22"/>
        </w:rPr>
        <w:t>.</w:t>
      </w:r>
      <w:r>
        <w:rPr>
          <w:rFonts w:ascii="Calibri" w:hAnsi="Calibri"/>
          <w:sz w:val="22"/>
          <w:szCs w:val="22"/>
        </w:rPr>
        <w:t xml:space="preserve"> Rul</w:t>
      </w:r>
      <w:r w:rsidR="00FD045A">
        <w:rPr>
          <w:rFonts w:ascii="Calibri" w:hAnsi="Calibri"/>
          <w:sz w:val="22"/>
          <w:szCs w:val="22"/>
        </w:rPr>
        <w:t>.</w:t>
      </w:r>
      <w:r>
        <w:rPr>
          <w:rFonts w:ascii="Calibri" w:hAnsi="Calibri"/>
          <w:sz w:val="22"/>
          <w:szCs w:val="22"/>
        </w:rPr>
        <w:t xml:space="preserve"> </w:t>
      </w:r>
      <w:r w:rsidR="00FD045A">
        <w:rPr>
          <w:rFonts w:ascii="Calibri" w:hAnsi="Calibri"/>
          <w:sz w:val="22"/>
          <w:szCs w:val="22"/>
        </w:rPr>
        <w:t xml:space="preserve">81-100, as clarified and modified by Rev. Rul. 2004-67, Rev. Rul. 2011-1, Rev. </w:t>
      </w:r>
      <w:r w:rsidR="00286546">
        <w:rPr>
          <w:rFonts w:ascii="Calibri" w:hAnsi="Calibri"/>
          <w:sz w:val="22"/>
          <w:szCs w:val="22"/>
        </w:rPr>
        <w:t xml:space="preserve">Rul. </w:t>
      </w:r>
      <w:r w:rsidR="00FD045A">
        <w:rPr>
          <w:rFonts w:ascii="Calibri" w:hAnsi="Calibri"/>
          <w:sz w:val="22"/>
          <w:szCs w:val="22"/>
        </w:rPr>
        <w:t>2014-24, and section 336(e) of the Protecting Americans from Tax Hikes Act of 2015, P.L. 114-113.</w:t>
      </w:r>
    </w:p>
    <w:p w:rsidR="006E55FE" w:rsidP="00E2237D" w:rsidRDefault="006E55FE" w14:paraId="620BC8FD" w14:textId="77777777">
      <w:pPr>
        <w:ind w:left="720"/>
        <w:rPr>
          <w:rFonts w:ascii="Calibri" w:hAnsi="Calibri"/>
          <w:sz w:val="22"/>
          <w:szCs w:val="22"/>
        </w:rPr>
      </w:pPr>
    </w:p>
    <w:p w:rsidRPr="00E2237D" w:rsidR="00794B3F" w:rsidP="00E2237D" w:rsidRDefault="00E2237D" w14:paraId="1B0B3EE4" w14:textId="2DCEDFDB">
      <w:pPr>
        <w:ind w:left="720"/>
        <w:rPr>
          <w:rFonts w:ascii="Calibri" w:hAnsi="Calibri"/>
          <w:sz w:val="22"/>
          <w:szCs w:val="22"/>
        </w:rPr>
      </w:pPr>
      <w:r w:rsidRPr="00E2237D">
        <w:rPr>
          <w:rFonts w:ascii="Calibri" w:hAnsi="Calibri"/>
          <w:sz w:val="22"/>
          <w:szCs w:val="22"/>
        </w:rPr>
        <w:t xml:space="preserve">Form </w:t>
      </w:r>
      <w:r w:rsidR="00286546">
        <w:rPr>
          <w:rFonts w:ascii="Calibri" w:hAnsi="Calibri"/>
          <w:sz w:val="22"/>
          <w:szCs w:val="22"/>
        </w:rPr>
        <w:t xml:space="preserve">5316 is used by trust sponsors to </w:t>
      </w:r>
      <w:r w:rsidR="00BD68CF">
        <w:rPr>
          <w:rFonts w:ascii="Calibri" w:hAnsi="Calibri"/>
          <w:sz w:val="22"/>
          <w:szCs w:val="22"/>
        </w:rPr>
        <w:t>apply for</w:t>
      </w:r>
      <w:r w:rsidR="00286546">
        <w:rPr>
          <w:rFonts w:ascii="Calibri" w:hAnsi="Calibri"/>
          <w:sz w:val="22"/>
          <w:szCs w:val="22"/>
        </w:rPr>
        <w:t xml:space="preserve"> a determination letter from the IRS</w:t>
      </w:r>
      <w:r w:rsidR="007B32F9">
        <w:rPr>
          <w:rFonts w:ascii="Calibri" w:hAnsi="Calibri"/>
          <w:sz w:val="22"/>
          <w:szCs w:val="22"/>
        </w:rPr>
        <w:t xml:space="preserve"> </w:t>
      </w:r>
      <w:r w:rsidR="00BD68CF">
        <w:rPr>
          <w:rFonts w:ascii="Calibri" w:hAnsi="Calibri"/>
          <w:sz w:val="22"/>
          <w:szCs w:val="22"/>
        </w:rPr>
        <w:t>on the qualified status of a group or pooled trust</w:t>
      </w:r>
      <w:r w:rsidRPr="00E2237D">
        <w:rPr>
          <w:rFonts w:ascii="Calibri" w:hAnsi="Calibri"/>
          <w:sz w:val="22"/>
          <w:szCs w:val="22"/>
        </w:rPr>
        <w:t>.</w:t>
      </w:r>
      <w:r w:rsidRPr="00E2237D" w:rsidR="00794B3F">
        <w:rPr>
          <w:rFonts w:ascii="Calibri" w:hAnsi="Calibri"/>
          <w:sz w:val="22"/>
          <w:szCs w:val="22"/>
        </w:rPr>
        <w:t xml:space="preserve"> </w:t>
      </w:r>
    </w:p>
    <w:p w:rsidRPr="00E2237D" w:rsidR="00794B3F" w:rsidP="00E2237D" w:rsidRDefault="00794B3F" w14:paraId="19786881" w14:textId="77777777">
      <w:pPr>
        <w:ind w:left="720"/>
        <w:rPr>
          <w:rFonts w:ascii="Calibri" w:hAnsi="Calibri"/>
          <w:sz w:val="22"/>
          <w:szCs w:val="22"/>
        </w:rPr>
      </w:pPr>
    </w:p>
    <w:p w:rsidRPr="00E2237D" w:rsidR="00794B3F" w:rsidP="00E2237D" w:rsidRDefault="00794B3F" w14:paraId="3B4DCEC4"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USE OF DATA </w:t>
      </w:r>
      <w:r w:rsidRPr="00E2237D" w:rsidR="00BE2FF6">
        <w:rPr>
          <w:rFonts w:ascii="Calibri" w:hAnsi="Calibri"/>
          <w:bCs/>
          <w:sz w:val="22"/>
          <w:szCs w:val="22"/>
          <w:u w:val="single"/>
        </w:rPr>
        <w:t xml:space="preserve"> </w:t>
      </w:r>
    </w:p>
    <w:p w:rsidRPr="00005F14" w:rsidR="00794B3F" w:rsidP="00005F14" w:rsidRDefault="00794B3F" w14:paraId="33020DFF" w14:textId="77777777">
      <w:pPr>
        <w:ind w:left="720"/>
        <w:rPr>
          <w:rFonts w:ascii="Calibri" w:hAnsi="Calibri"/>
          <w:sz w:val="22"/>
          <w:szCs w:val="22"/>
        </w:rPr>
      </w:pPr>
    </w:p>
    <w:p w:rsidRPr="00005F14" w:rsidR="00794B3F" w:rsidP="00005F14" w:rsidRDefault="007B32F9" w14:paraId="70DFAC7A" w14:textId="746E98BE">
      <w:pPr>
        <w:ind w:left="720"/>
        <w:rPr>
          <w:rFonts w:ascii="Calibri" w:hAnsi="Calibri"/>
          <w:sz w:val="22"/>
          <w:szCs w:val="22"/>
        </w:rPr>
      </w:pPr>
      <w:r>
        <w:rPr>
          <w:rFonts w:ascii="Calibri" w:hAnsi="Calibri"/>
          <w:sz w:val="22"/>
          <w:szCs w:val="22"/>
        </w:rPr>
        <w:t>The IRS uses the information provided on Form 5316 to determine if the trust qualifies as a group or pooled trust</w:t>
      </w:r>
      <w:r w:rsidR="00BD68CF">
        <w:rPr>
          <w:rFonts w:ascii="Calibri" w:hAnsi="Calibri"/>
          <w:sz w:val="22"/>
          <w:szCs w:val="22"/>
        </w:rPr>
        <w:t xml:space="preserve"> arrangement </w:t>
      </w:r>
      <w:r w:rsidRPr="00005F14" w:rsidR="00794B3F">
        <w:rPr>
          <w:rFonts w:ascii="Calibri" w:hAnsi="Calibri"/>
          <w:sz w:val="22"/>
          <w:szCs w:val="22"/>
        </w:rPr>
        <w:t xml:space="preserve">exempt from tax. </w:t>
      </w:r>
      <w:r w:rsidR="00BD68CF">
        <w:rPr>
          <w:rFonts w:ascii="Calibri" w:hAnsi="Calibri"/>
          <w:sz w:val="22"/>
          <w:szCs w:val="22"/>
        </w:rPr>
        <w:t>The IRS will issue a determination letter based on the information provided.</w:t>
      </w:r>
    </w:p>
    <w:p w:rsidRPr="00005F14" w:rsidR="00794B3F" w:rsidP="00005F14" w:rsidRDefault="00794B3F" w14:paraId="4FE8B10A" w14:textId="77777777">
      <w:pPr>
        <w:ind w:left="720"/>
        <w:rPr>
          <w:rFonts w:ascii="Calibri" w:hAnsi="Calibri"/>
          <w:sz w:val="22"/>
          <w:szCs w:val="22"/>
        </w:rPr>
      </w:pPr>
    </w:p>
    <w:p w:rsidRPr="00E2237D" w:rsidR="00794B3F" w:rsidP="00E2237D" w:rsidRDefault="00794B3F" w14:paraId="2CDCBC0D"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USE OF IMPROVED INFORMATION TECHNOLOGY TO REDUCE BURDEN </w:t>
      </w:r>
    </w:p>
    <w:p w:rsidRPr="00005F14" w:rsidR="00794B3F" w:rsidP="00005F14" w:rsidRDefault="00794B3F" w14:paraId="2B271C62" w14:textId="77777777">
      <w:pPr>
        <w:ind w:left="720"/>
        <w:rPr>
          <w:rFonts w:ascii="Calibri" w:hAnsi="Calibri"/>
          <w:sz w:val="22"/>
          <w:szCs w:val="22"/>
        </w:rPr>
      </w:pPr>
    </w:p>
    <w:p w:rsidRPr="00005F14" w:rsidR="00794B3F" w:rsidP="00005F14" w:rsidRDefault="002B6E78" w14:paraId="30203E5D" w14:textId="7C482FB8">
      <w:pPr>
        <w:ind w:left="720"/>
        <w:rPr>
          <w:rFonts w:ascii="Calibri" w:hAnsi="Calibri"/>
          <w:sz w:val="22"/>
          <w:szCs w:val="22"/>
        </w:rPr>
      </w:pPr>
      <w:r w:rsidRPr="002B6E78">
        <w:rPr>
          <w:rFonts w:ascii="Calibri" w:hAnsi="Calibri"/>
          <w:sz w:val="22"/>
          <w:szCs w:val="22"/>
        </w:rPr>
        <w:t>There is no plan to offer electronic filing for this collection due to the low volume of filers.</w:t>
      </w:r>
    </w:p>
    <w:p w:rsidRPr="00005F14" w:rsidR="00794B3F" w:rsidP="00005F14" w:rsidRDefault="00794B3F" w14:paraId="600530C1" w14:textId="77777777">
      <w:pPr>
        <w:ind w:left="720"/>
        <w:rPr>
          <w:rFonts w:ascii="Calibri" w:hAnsi="Calibri"/>
          <w:sz w:val="22"/>
          <w:szCs w:val="22"/>
        </w:rPr>
      </w:pPr>
    </w:p>
    <w:p w:rsidRPr="00E2237D" w:rsidR="00794B3F" w:rsidP="00E2237D" w:rsidRDefault="00794B3F" w14:paraId="422C3414"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EFFORTS TO IDENTIFY DUPLICATION </w:t>
      </w:r>
    </w:p>
    <w:p w:rsidRPr="00005F14" w:rsidR="00794B3F" w:rsidP="00005F14" w:rsidRDefault="00794B3F" w14:paraId="34D6C68C" w14:textId="77777777">
      <w:pPr>
        <w:ind w:left="720"/>
        <w:rPr>
          <w:rFonts w:ascii="Calibri" w:hAnsi="Calibri"/>
          <w:sz w:val="22"/>
          <w:szCs w:val="22"/>
        </w:rPr>
      </w:pPr>
    </w:p>
    <w:p w:rsidRPr="00005F14" w:rsidR="00794B3F" w:rsidP="00005F14" w:rsidRDefault="00290AFC" w14:paraId="2E8BB630" w14:textId="737B449A">
      <w:pPr>
        <w:ind w:left="720"/>
        <w:rPr>
          <w:rFonts w:ascii="Calibri" w:hAnsi="Calibri"/>
          <w:sz w:val="22"/>
          <w:szCs w:val="22"/>
        </w:rPr>
      </w:pPr>
      <w:r w:rsidRPr="00005F14">
        <w:rPr>
          <w:rFonts w:ascii="Calibri" w:hAnsi="Calibri"/>
          <w:sz w:val="22"/>
          <w:szCs w:val="22"/>
        </w:rPr>
        <w:t>The information obtained through this collection is unique and is not already available for use or adaptation from another source.</w:t>
      </w:r>
    </w:p>
    <w:p w:rsidRPr="00005F14" w:rsidR="00794B3F" w:rsidP="00005F14" w:rsidRDefault="00794B3F" w14:paraId="40D9144C" w14:textId="77777777">
      <w:pPr>
        <w:ind w:left="720"/>
        <w:rPr>
          <w:rFonts w:ascii="Calibri" w:hAnsi="Calibri"/>
          <w:sz w:val="22"/>
          <w:szCs w:val="22"/>
        </w:rPr>
      </w:pPr>
    </w:p>
    <w:p w:rsidRPr="00E2237D" w:rsidR="00794B3F" w:rsidP="00E2237D" w:rsidRDefault="00794B3F" w14:paraId="62EC7EAD"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METHODS TO MINIMIZE BURDEN ON SMALL BUSINESSES OR OTHER SMALL ENTITIES </w:t>
      </w:r>
    </w:p>
    <w:p w:rsidRPr="00005F14" w:rsidR="00794B3F" w:rsidP="00005F14" w:rsidRDefault="00794B3F" w14:paraId="25C48F3C" w14:textId="77777777">
      <w:pPr>
        <w:ind w:left="720"/>
        <w:rPr>
          <w:rFonts w:ascii="Calibri" w:hAnsi="Calibri"/>
          <w:sz w:val="22"/>
          <w:szCs w:val="22"/>
        </w:rPr>
      </w:pPr>
    </w:p>
    <w:p w:rsidRPr="00005F14" w:rsidR="00794B3F" w:rsidP="00005F14" w:rsidRDefault="00290AFC" w14:paraId="00B7C937" w14:textId="692F37E0">
      <w:pPr>
        <w:ind w:left="720"/>
        <w:rPr>
          <w:rFonts w:ascii="Calibri" w:hAnsi="Calibri"/>
          <w:sz w:val="22"/>
          <w:szCs w:val="22"/>
        </w:rPr>
      </w:pPr>
      <w:r w:rsidRPr="00005F14">
        <w:rPr>
          <w:rFonts w:ascii="Calibri" w:hAnsi="Calibri"/>
          <w:sz w:val="22"/>
          <w:szCs w:val="22"/>
        </w:rPr>
        <w:t>The collection of information requirement will not have a significant economic impact on a substantial number of small entities.</w:t>
      </w:r>
      <w:r w:rsidRPr="00005F14" w:rsidR="00794B3F">
        <w:rPr>
          <w:rFonts w:ascii="Calibri" w:hAnsi="Calibri"/>
          <w:sz w:val="22"/>
          <w:szCs w:val="22"/>
        </w:rPr>
        <w:t xml:space="preserve"> </w:t>
      </w:r>
    </w:p>
    <w:p w:rsidRPr="00005F14" w:rsidR="00794B3F" w:rsidP="00005F14" w:rsidRDefault="00794B3F" w14:paraId="25AF0359" w14:textId="77777777">
      <w:pPr>
        <w:ind w:left="720"/>
        <w:rPr>
          <w:rFonts w:ascii="Calibri" w:hAnsi="Calibri"/>
          <w:sz w:val="22"/>
          <w:szCs w:val="22"/>
        </w:rPr>
      </w:pPr>
    </w:p>
    <w:p w:rsidRPr="00E2237D" w:rsidR="00794B3F" w:rsidP="00E2237D" w:rsidRDefault="00794B3F" w14:paraId="462021EF" w14:textId="63FCA870">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CONSEQUENCES OF LESS FREQUENT COLLECTION ON FEDERAL PROGRAMS OR POLICY</w:t>
      </w:r>
      <w:r w:rsidR="00E2237D">
        <w:rPr>
          <w:rFonts w:ascii="Calibri" w:hAnsi="Calibri"/>
          <w:bCs/>
          <w:sz w:val="22"/>
          <w:szCs w:val="22"/>
          <w:u w:val="single"/>
        </w:rPr>
        <w:t xml:space="preserve"> </w:t>
      </w:r>
      <w:r w:rsidRPr="00E2237D">
        <w:rPr>
          <w:rFonts w:ascii="Calibri" w:hAnsi="Calibri"/>
          <w:bCs/>
          <w:sz w:val="22"/>
          <w:szCs w:val="22"/>
          <w:u w:val="single"/>
        </w:rPr>
        <w:t xml:space="preserve">ACTIVITIES </w:t>
      </w:r>
    </w:p>
    <w:p w:rsidRPr="00005F14" w:rsidR="00794B3F" w:rsidP="00005F14" w:rsidRDefault="00794B3F" w14:paraId="59C2A06E" w14:textId="77777777">
      <w:pPr>
        <w:ind w:left="720"/>
        <w:rPr>
          <w:rFonts w:ascii="Calibri" w:hAnsi="Calibri"/>
          <w:sz w:val="22"/>
          <w:szCs w:val="22"/>
        </w:rPr>
      </w:pPr>
    </w:p>
    <w:p w:rsidRPr="00005F14" w:rsidR="00794B3F" w:rsidP="00005F14" w:rsidRDefault="002A5A43" w14:paraId="1A9192F3" w14:textId="0AADA029">
      <w:pPr>
        <w:ind w:left="720"/>
        <w:rPr>
          <w:rFonts w:ascii="Calibri" w:hAnsi="Calibri"/>
          <w:sz w:val="22"/>
          <w:szCs w:val="22"/>
        </w:rPr>
      </w:pPr>
      <w:r w:rsidRPr="002A5A43">
        <w:rPr>
          <w:rFonts w:ascii="Calibri" w:hAnsi="Calibri"/>
          <w:sz w:val="22"/>
          <w:szCs w:val="22"/>
        </w:rPr>
        <w:t xml:space="preserve">A less frequent collection will not allow the IRS to determine if a </w:t>
      </w:r>
      <w:r>
        <w:rPr>
          <w:rFonts w:ascii="Calibri" w:hAnsi="Calibri"/>
          <w:sz w:val="22"/>
          <w:szCs w:val="22"/>
        </w:rPr>
        <w:t>trust</w:t>
      </w:r>
      <w:r w:rsidRPr="002A5A43">
        <w:rPr>
          <w:rFonts w:ascii="Calibri" w:hAnsi="Calibri"/>
          <w:sz w:val="22"/>
          <w:szCs w:val="22"/>
        </w:rPr>
        <w:t xml:space="preserve"> meets the qualification</w:t>
      </w:r>
      <w:r>
        <w:rPr>
          <w:rFonts w:ascii="Calibri" w:hAnsi="Calibri"/>
          <w:sz w:val="22"/>
          <w:szCs w:val="22"/>
        </w:rPr>
        <w:t>s</w:t>
      </w:r>
      <w:r w:rsidRPr="002A5A43">
        <w:rPr>
          <w:rFonts w:ascii="Calibri" w:hAnsi="Calibri"/>
          <w:sz w:val="22"/>
          <w:szCs w:val="22"/>
        </w:rPr>
        <w:t xml:space="preserve"> </w:t>
      </w:r>
      <w:r>
        <w:rPr>
          <w:rFonts w:ascii="Calibri" w:hAnsi="Calibri"/>
          <w:sz w:val="22"/>
          <w:szCs w:val="22"/>
        </w:rPr>
        <w:t>of a group or pooled trust</w:t>
      </w:r>
      <w:r w:rsidRPr="002A5A43">
        <w:rPr>
          <w:rFonts w:ascii="Calibri" w:hAnsi="Calibri"/>
          <w:sz w:val="22"/>
          <w:szCs w:val="22"/>
        </w:rPr>
        <w:t xml:space="preserve"> and issue a </w:t>
      </w:r>
      <w:r>
        <w:rPr>
          <w:rFonts w:ascii="Calibri" w:hAnsi="Calibri"/>
          <w:sz w:val="22"/>
          <w:szCs w:val="22"/>
        </w:rPr>
        <w:t>determination</w:t>
      </w:r>
      <w:r w:rsidRPr="002A5A43">
        <w:rPr>
          <w:rFonts w:ascii="Calibri" w:hAnsi="Calibri"/>
          <w:sz w:val="22"/>
          <w:szCs w:val="22"/>
        </w:rPr>
        <w:t xml:space="preserve"> letter. This could result in the IRS being unable to meet its mission and serve the public.</w:t>
      </w:r>
      <w:r w:rsidRPr="00005F14" w:rsidR="00794B3F">
        <w:rPr>
          <w:rFonts w:ascii="Calibri" w:hAnsi="Calibri"/>
          <w:sz w:val="22"/>
          <w:szCs w:val="22"/>
        </w:rPr>
        <w:t xml:space="preserve"> </w:t>
      </w:r>
    </w:p>
    <w:p w:rsidRPr="00005F14" w:rsidR="00794B3F" w:rsidP="00005F14" w:rsidRDefault="00794B3F" w14:paraId="5DBF38D6" w14:textId="77777777">
      <w:pPr>
        <w:ind w:left="720"/>
        <w:rPr>
          <w:rFonts w:ascii="Calibri" w:hAnsi="Calibri"/>
          <w:sz w:val="22"/>
          <w:szCs w:val="22"/>
        </w:rPr>
      </w:pPr>
    </w:p>
    <w:p w:rsidRPr="00E2237D" w:rsidR="00794B3F" w:rsidP="00E2237D" w:rsidRDefault="00794B3F" w14:paraId="0BF44B4D"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SPECIAL CIRCUMSTANCES REQUIRING DATA COLLECTION TO BE INCONSISTENT WITH GUIDELINES IN 5 CFR 1320.5(d)(2) </w:t>
      </w:r>
    </w:p>
    <w:p w:rsidRPr="00005F14" w:rsidR="00794B3F" w:rsidP="00005F14" w:rsidRDefault="00794B3F" w14:paraId="35F98F7B" w14:textId="77777777">
      <w:pPr>
        <w:ind w:left="720"/>
        <w:rPr>
          <w:rFonts w:ascii="Calibri" w:hAnsi="Calibri"/>
          <w:sz w:val="22"/>
          <w:szCs w:val="22"/>
        </w:rPr>
      </w:pPr>
    </w:p>
    <w:p w:rsidRPr="00005F14" w:rsidR="00794B3F" w:rsidP="00005F14" w:rsidRDefault="00B22519" w14:paraId="4202389A" w14:textId="77777777">
      <w:pPr>
        <w:ind w:left="720"/>
        <w:rPr>
          <w:rFonts w:ascii="Calibri" w:hAnsi="Calibri"/>
          <w:sz w:val="22"/>
          <w:szCs w:val="22"/>
        </w:rPr>
      </w:pPr>
      <w:r w:rsidRPr="00005F14">
        <w:rPr>
          <w:rFonts w:ascii="Calibri" w:hAnsi="Calibri"/>
          <w:sz w:val="22"/>
          <w:szCs w:val="22"/>
        </w:rPr>
        <w:t>There are no special circumstances requiring data collection to be inconsistent with guidelines in 5 CFR 1320.5(d)(2).</w:t>
      </w:r>
    </w:p>
    <w:p w:rsidRPr="00005F14" w:rsidR="00794B3F" w:rsidP="00005F14" w:rsidRDefault="00794B3F" w14:paraId="09C7155A" w14:textId="77777777">
      <w:pPr>
        <w:ind w:left="720"/>
        <w:rPr>
          <w:rFonts w:ascii="Calibri" w:hAnsi="Calibri"/>
          <w:sz w:val="22"/>
          <w:szCs w:val="22"/>
        </w:rPr>
      </w:pPr>
    </w:p>
    <w:p w:rsidRPr="00E2237D" w:rsidR="00794B3F" w:rsidP="00E2237D" w:rsidRDefault="00794B3F" w14:paraId="358ADD4F"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CONSULTATION WITH INDIVIDUALS OUTSIDE OF THE AGENCY ON AVAILABILITY OF DATA, FREQUENCY OF COLLECTION, CLARITY OF INSTRUCTIONS AND FORMS, AND DATA ELEMENTS</w:t>
      </w:r>
    </w:p>
    <w:p w:rsidRPr="00005F14" w:rsidR="00794B3F" w:rsidP="00005F14" w:rsidRDefault="00794B3F" w14:paraId="2B5901B5" w14:textId="77777777">
      <w:pPr>
        <w:ind w:left="720"/>
        <w:rPr>
          <w:rFonts w:ascii="Calibri" w:hAnsi="Calibri"/>
          <w:sz w:val="22"/>
          <w:szCs w:val="22"/>
        </w:rPr>
      </w:pPr>
    </w:p>
    <w:p w:rsidRPr="00005F14" w:rsidR="00794B3F" w:rsidP="00005F14" w:rsidRDefault="002A5A43" w14:paraId="10A346B6" w14:textId="0CF4C605">
      <w:pPr>
        <w:ind w:left="720"/>
        <w:rPr>
          <w:rFonts w:ascii="Calibri" w:hAnsi="Calibri"/>
          <w:sz w:val="22"/>
          <w:szCs w:val="22"/>
        </w:rPr>
      </w:pPr>
      <w:r w:rsidRPr="002A5A43">
        <w:rPr>
          <w:rFonts w:ascii="Calibri" w:hAnsi="Calibri"/>
          <w:sz w:val="22"/>
          <w:szCs w:val="22"/>
        </w:rPr>
        <w:t xml:space="preserve">We received no comments during the public comment period in response to the Federal Register notice (87 FR 22627), dated </w:t>
      </w:r>
      <w:r>
        <w:rPr>
          <w:rFonts w:ascii="Calibri" w:hAnsi="Calibri"/>
          <w:sz w:val="22"/>
          <w:szCs w:val="22"/>
        </w:rPr>
        <w:t>April 15, 2022</w:t>
      </w:r>
      <w:r w:rsidRPr="002A5A43">
        <w:rPr>
          <w:rFonts w:ascii="Calibri" w:hAnsi="Calibri"/>
          <w:sz w:val="22"/>
          <w:szCs w:val="22"/>
        </w:rPr>
        <w:t>.</w:t>
      </w:r>
    </w:p>
    <w:p w:rsidRPr="00005F14" w:rsidR="00794B3F" w:rsidP="00005F14" w:rsidRDefault="00794B3F" w14:paraId="62DC724E" w14:textId="77777777">
      <w:pPr>
        <w:ind w:left="720"/>
        <w:rPr>
          <w:rFonts w:ascii="Calibri" w:hAnsi="Calibri"/>
          <w:sz w:val="22"/>
          <w:szCs w:val="22"/>
        </w:rPr>
      </w:pPr>
    </w:p>
    <w:p w:rsidRPr="00E2237D" w:rsidR="00794B3F" w:rsidP="00E2237D" w:rsidRDefault="00794B3F" w14:paraId="3E1A1166"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EXPLANATION OF DECISION TO PROVIDE ANY PAYMENT OR GIFT TO RESPONDENTS </w:t>
      </w:r>
    </w:p>
    <w:p w:rsidRPr="00005F14" w:rsidR="00794B3F" w:rsidP="00005F14" w:rsidRDefault="00794B3F" w14:paraId="091A4196" w14:textId="77777777">
      <w:pPr>
        <w:ind w:left="720"/>
        <w:rPr>
          <w:rFonts w:ascii="Calibri" w:hAnsi="Calibri"/>
          <w:sz w:val="22"/>
          <w:szCs w:val="22"/>
        </w:rPr>
      </w:pPr>
    </w:p>
    <w:p w:rsidRPr="00005F14" w:rsidR="00794B3F" w:rsidP="00005F14" w:rsidRDefault="00B22519" w14:paraId="4F52CE90" w14:textId="77777777">
      <w:pPr>
        <w:ind w:left="720"/>
        <w:rPr>
          <w:rFonts w:ascii="Calibri" w:hAnsi="Calibri"/>
          <w:sz w:val="22"/>
          <w:szCs w:val="22"/>
        </w:rPr>
      </w:pPr>
      <w:r w:rsidRPr="00005F14">
        <w:rPr>
          <w:rFonts w:ascii="Calibri" w:hAnsi="Calibri"/>
          <w:sz w:val="22"/>
          <w:szCs w:val="22"/>
        </w:rPr>
        <w:t>No payment or gift has been provided to any respondents</w:t>
      </w:r>
      <w:r w:rsidRPr="00005F14" w:rsidR="00794B3F">
        <w:rPr>
          <w:rFonts w:ascii="Calibri" w:hAnsi="Calibri"/>
          <w:sz w:val="22"/>
          <w:szCs w:val="22"/>
        </w:rPr>
        <w:t xml:space="preserve">. </w:t>
      </w:r>
    </w:p>
    <w:p w:rsidRPr="00005F14" w:rsidR="00794B3F" w:rsidP="00005F14" w:rsidRDefault="00794B3F" w14:paraId="36CB578F" w14:textId="77777777">
      <w:pPr>
        <w:ind w:left="720"/>
        <w:rPr>
          <w:rFonts w:ascii="Calibri" w:hAnsi="Calibri"/>
          <w:sz w:val="22"/>
          <w:szCs w:val="22"/>
        </w:rPr>
      </w:pPr>
    </w:p>
    <w:p w:rsidRPr="00E2237D" w:rsidR="00794B3F" w:rsidP="00E2237D" w:rsidRDefault="00794B3F" w14:paraId="31EADC58"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ASSURANCE OF CONFIDENTIALITY OF RESPONSES </w:t>
      </w:r>
    </w:p>
    <w:p w:rsidRPr="00005F14" w:rsidR="00794B3F" w:rsidP="00005F14" w:rsidRDefault="00794B3F" w14:paraId="1A13FC2E" w14:textId="77777777">
      <w:pPr>
        <w:ind w:left="720"/>
        <w:rPr>
          <w:rFonts w:ascii="Calibri" w:hAnsi="Calibri"/>
          <w:sz w:val="22"/>
          <w:szCs w:val="22"/>
        </w:rPr>
      </w:pPr>
    </w:p>
    <w:p w:rsidRPr="00005F14" w:rsidR="00794B3F" w:rsidP="00005F14" w:rsidRDefault="00794B3F" w14:paraId="0BBE2CE2" w14:textId="368769DD">
      <w:pPr>
        <w:ind w:left="720"/>
        <w:rPr>
          <w:rFonts w:ascii="Calibri" w:hAnsi="Calibri"/>
          <w:sz w:val="22"/>
          <w:szCs w:val="22"/>
        </w:rPr>
      </w:pPr>
      <w:r w:rsidRPr="00005F14">
        <w:rPr>
          <w:rFonts w:ascii="Calibri" w:hAnsi="Calibri"/>
          <w:sz w:val="22"/>
          <w:szCs w:val="22"/>
        </w:rPr>
        <w:t>Generally, tax returns and tax return information are confidential as required by 26 U</w:t>
      </w:r>
      <w:r w:rsidR="002A5A43">
        <w:rPr>
          <w:rFonts w:ascii="Calibri" w:hAnsi="Calibri"/>
          <w:sz w:val="22"/>
          <w:szCs w:val="22"/>
        </w:rPr>
        <w:t>.</w:t>
      </w:r>
      <w:r w:rsidRPr="00005F14">
        <w:rPr>
          <w:rFonts w:ascii="Calibri" w:hAnsi="Calibri"/>
          <w:sz w:val="22"/>
          <w:szCs w:val="22"/>
        </w:rPr>
        <w:t>S</w:t>
      </w:r>
      <w:r w:rsidR="002A5A43">
        <w:rPr>
          <w:rFonts w:ascii="Calibri" w:hAnsi="Calibri"/>
          <w:sz w:val="22"/>
          <w:szCs w:val="22"/>
        </w:rPr>
        <w:t>.</w:t>
      </w:r>
      <w:r w:rsidRPr="00005F14">
        <w:rPr>
          <w:rFonts w:ascii="Calibri" w:hAnsi="Calibri"/>
          <w:sz w:val="22"/>
          <w:szCs w:val="22"/>
        </w:rPr>
        <w:t>C</w:t>
      </w:r>
      <w:r w:rsidR="002A5A43">
        <w:rPr>
          <w:rFonts w:ascii="Calibri" w:hAnsi="Calibri"/>
          <w:sz w:val="22"/>
          <w:szCs w:val="22"/>
        </w:rPr>
        <w:t>.</w:t>
      </w:r>
      <w:r w:rsidRPr="00005F14">
        <w:rPr>
          <w:rFonts w:ascii="Calibri" w:hAnsi="Calibri"/>
          <w:sz w:val="22"/>
          <w:szCs w:val="22"/>
        </w:rPr>
        <w:t xml:space="preserve"> 6103. </w:t>
      </w:r>
    </w:p>
    <w:p w:rsidRPr="00005F14" w:rsidR="00794B3F" w:rsidP="00005F14" w:rsidRDefault="00794B3F" w14:paraId="19CC881C" w14:textId="77777777">
      <w:pPr>
        <w:ind w:left="720"/>
        <w:rPr>
          <w:rFonts w:ascii="Calibri" w:hAnsi="Calibri"/>
          <w:sz w:val="22"/>
          <w:szCs w:val="22"/>
        </w:rPr>
      </w:pPr>
    </w:p>
    <w:p w:rsidRPr="00E2237D" w:rsidR="00794B3F" w:rsidP="00E2237D" w:rsidRDefault="00794B3F" w14:paraId="568E61E1"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JUSTIFICATION OF SENSITIVE QUESTIONS </w:t>
      </w:r>
    </w:p>
    <w:p w:rsidRPr="00005F14" w:rsidR="00794B3F" w:rsidP="00005F14" w:rsidRDefault="00794B3F" w14:paraId="2F4DC80F" w14:textId="77777777">
      <w:pPr>
        <w:ind w:left="720"/>
        <w:rPr>
          <w:rFonts w:ascii="Calibri" w:hAnsi="Calibri"/>
          <w:sz w:val="22"/>
          <w:szCs w:val="22"/>
        </w:rPr>
      </w:pPr>
    </w:p>
    <w:p w:rsidR="002A5A43" w:rsidP="002A5A43" w:rsidRDefault="002A5A43" w14:paraId="50BA840E" w14:textId="77777777">
      <w:pPr>
        <w:ind w:left="720"/>
        <w:rPr>
          <w:rFonts w:ascii="Calibri" w:hAnsi="Calibri" w:cs="Courier New"/>
          <w:sz w:val="22"/>
          <w:szCs w:val="22"/>
        </w:rPr>
      </w:pPr>
      <w:r>
        <w:rPr>
          <w:rFonts w:ascii="Calibri" w:hAnsi="Calibri" w:cs="Courier New"/>
          <w:sz w:val="22"/>
          <w:szCs w:val="22"/>
        </w:rPr>
        <w:t xml:space="preserve">A privacy impact assessment (PIA) has been conducted for information collected under this request as part of the “Employee Plans Exempt Organization Determination System” and a Privacy Act System of Records notice (SORN) has been issued for these systems under </w:t>
      </w:r>
      <w:r>
        <w:rPr>
          <w:rFonts w:ascii="Calibri" w:hAnsi="Calibri"/>
          <w:sz w:val="22"/>
          <w:szCs w:val="22"/>
        </w:rPr>
        <w:t>Treasury/IRS 34.037-IRS Audit Trail and Security Records System; Treasury/IRS 50.001-Employee Plans/Exempt Organizations Correspondence Control Records; Treasury/IRS 50.003-Employee Plans/Exempt Organizations, Reports of Significant Matters; Treasury/IRS 50.222-Tax Exempt/Government Entities (TE/GE) Case Management Records</w:t>
      </w:r>
      <w:r>
        <w:rPr>
          <w:rFonts w:ascii="Calibri" w:hAnsi="Calibri" w:cs="Courier New"/>
          <w:sz w:val="22"/>
          <w:szCs w:val="22"/>
        </w:rPr>
        <w:t xml:space="preserve">. </w:t>
      </w:r>
      <w:bookmarkStart w:name="_Hlk90540730" w:id="0"/>
      <w:r>
        <w:rPr>
          <w:rFonts w:ascii="Calibri" w:hAnsi="Calibri"/>
          <w:bCs/>
          <w:sz w:val="22"/>
          <w:szCs w:val="22"/>
        </w:rPr>
        <w:t xml:space="preserve">The Internal Revenue Service PIAs can be found </w:t>
      </w:r>
      <w:bookmarkStart w:name="_Hlk96425022" w:id="1"/>
      <w:r>
        <w:rPr>
          <w:rFonts w:ascii="Calibri" w:hAnsi="Calibri"/>
          <w:bCs/>
          <w:sz w:val="22"/>
          <w:szCs w:val="22"/>
        </w:rPr>
        <w:t xml:space="preserve">at </w:t>
      </w:r>
      <w:bookmarkStart w:name="_Hlk90530558" w:id="2"/>
      <w:r>
        <w:fldChar w:fldCharType="begin"/>
      </w:r>
      <w:r>
        <w:instrText xml:space="preserve"> HYPERLINK "https://www.irs.gov/privacy-disclosure/privacy-impact-assessments-pia" </w:instrText>
      </w:r>
      <w:r>
        <w:fldChar w:fldCharType="separate"/>
      </w:r>
      <w:r>
        <w:rPr>
          <w:rStyle w:val="Hyperlink"/>
          <w:rFonts w:ascii="Calibri" w:hAnsi="Calibri"/>
          <w:bCs/>
          <w:sz w:val="22"/>
          <w:szCs w:val="22"/>
        </w:rPr>
        <w:t>https://www.irs.gov/privacy-disclosure/privacy-impact-assessments-pia</w:t>
      </w:r>
      <w:r>
        <w:fldChar w:fldCharType="end"/>
      </w:r>
      <w:bookmarkEnd w:id="2"/>
      <w:r>
        <w:rPr>
          <w:rFonts w:ascii="Calibri" w:hAnsi="Calibri"/>
          <w:bCs/>
          <w:sz w:val="22"/>
          <w:szCs w:val="22"/>
        </w:rPr>
        <w:t>.</w:t>
      </w:r>
      <w:bookmarkEnd w:id="0"/>
      <w:bookmarkEnd w:id="1"/>
      <w:r>
        <w:rPr>
          <w:rFonts w:ascii="Calibri" w:hAnsi="Calibri" w:cs="Courier New"/>
          <w:sz w:val="22"/>
          <w:szCs w:val="22"/>
        </w:rPr>
        <w:t xml:space="preserve"> </w:t>
      </w:r>
    </w:p>
    <w:p w:rsidR="002A5A43" w:rsidP="002A5A43" w:rsidRDefault="002A5A43" w14:paraId="1E68EE45" w14:textId="77777777">
      <w:pPr>
        <w:ind w:left="720"/>
        <w:rPr>
          <w:rFonts w:ascii="Calibri" w:hAnsi="Calibri" w:cs="Courier New"/>
          <w:sz w:val="22"/>
          <w:szCs w:val="22"/>
        </w:rPr>
      </w:pPr>
    </w:p>
    <w:p w:rsidRPr="00005F14" w:rsidR="00794B3F" w:rsidP="002A5A43" w:rsidRDefault="002A5A43" w14:paraId="2122A2DA" w14:textId="3A899719">
      <w:pPr>
        <w:ind w:left="720"/>
        <w:rPr>
          <w:rFonts w:ascii="Calibri" w:hAnsi="Calibri"/>
          <w:sz w:val="22"/>
          <w:szCs w:val="22"/>
        </w:rPr>
      </w:pPr>
      <w:r>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005F14" w:rsidR="00794B3F" w:rsidP="00005F14" w:rsidRDefault="00794B3F" w14:paraId="48CE507F" w14:textId="77777777">
      <w:pPr>
        <w:ind w:left="720"/>
        <w:rPr>
          <w:rFonts w:ascii="Calibri" w:hAnsi="Calibri"/>
          <w:sz w:val="22"/>
          <w:szCs w:val="22"/>
        </w:rPr>
      </w:pPr>
    </w:p>
    <w:p w:rsidRPr="00E2237D" w:rsidR="00794B3F" w:rsidP="00E2237D" w:rsidRDefault="00794B3F" w14:paraId="2DF30708"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ESTIMATED BURDEN OF INFORMATION COLLECTION </w:t>
      </w:r>
    </w:p>
    <w:p w:rsidRPr="00005F14" w:rsidR="00794B3F" w:rsidP="00005F14" w:rsidRDefault="00794B3F" w14:paraId="5F619126" w14:textId="77777777">
      <w:pPr>
        <w:ind w:left="720"/>
        <w:rPr>
          <w:rFonts w:ascii="Calibri" w:hAnsi="Calibri"/>
          <w:sz w:val="22"/>
          <w:szCs w:val="22"/>
        </w:rPr>
      </w:pPr>
    </w:p>
    <w:p w:rsidR="002A5A43" w:rsidP="002A5A43" w:rsidRDefault="002A5A43" w14:paraId="7EA9CBF6" w14:textId="31359BD0">
      <w:pPr>
        <w:ind w:left="720"/>
        <w:rPr>
          <w:rFonts w:ascii="Calibri" w:hAnsi="Calibri" w:cs="Courier New"/>
          <w:sz w:val="22"/>
          <w:szCs w:val="22"/>
        </w:rPr>
      </w:pPr>
      <w:r w:rsidRPr="00E2237D">
        <w:rPr>
          <w:rFonts w:ascii="Calibri" w:hAnsi="Calibri"/>
          <w:sz w:val="22"/>
          <w:szCs w:val="22"/>
        </w:rPr>
        <w:t xml:space="preserve">Form </w:t>
      </w:r>
      <w:r>
        <w:rPr>
          <w:rFonts w:ascii="Calibri" w:hAnsi="Calibri"/>
          <w:sz w:val="22"/>
          <w:szCs w:val="22"/>
        </w:rPr>
        <w:t>5316 is used by trust sponsors to apply for a determination letter from the IRS on the qualified status of a group or pooled trust</w:t>
      </w:r>
      <w:r w:rsidRPr="00E2237D">
        <w:rPr>
          <w:rFonts w:ascii="Calibri" w:hAnsi="Calibri"/>
          <w:sz w:val="22"/>
          <w:szCs w:val="22"/>
        </w:rPr>
        <w:t>.</w:t>
      </w:r>
      <w:r>
        <w:rPr>
          <w:rFonts w:ascii="Calibri" w:hAnsi="Calibri" w:cs="Courier New"/>
          <w:sz w:val="22"/>
          <w:szCs w:val="22"/>
        </w:rPr>
        <w:t xml:space="preserve"> </w:t>
      </w:r>
      <w:r>
        <w:rPr>
          <w:rFonts w:ascii="Calibri" w:hAnsi="Calibri"/>
          <w:sz w:val="22"/>
          <w:szCs w:val="22"/>
        </w:rPr>
        <w:t xml:space="preserve">The time needed to complete and file the forms will vary depending on individual circumstances. The IRS anticipates that there will be </w:t>
      </w:r>
      <w:r w:rsidR="004F1C54">
        <w:rPr>
          <w:rFonts w:ascii="Calibri" w:hAnsi="Calibri"/>
          <w:sz w:val="22"/>
          <w:szCs w:val="22"/>
        </w:rPr>
        <w:t>200</w:t>
      </w:r>
      <w:r>
        <w:rPr>
          <w:rFonts w:ascii="Calibri" w:hAnsi="Calibri"/>
          <w:sz w:val="22"/>
          <w:szCs w:val="22"/>
        </w:rPr>
        <w:t xml:space="preserve"> </w:t>
      </w:r>
      <w:r>
        <w:rPr>
          <w:rFonts w:ascii="Calibri" w:hAnsi="Calibri"/>
          <w:sz w:val="22"/>
          <w:szCs w:val="22"/>
        </w:rPr>
        <w:lastRenderedPageBreak/>
        <w:t xml:space="preserve">respondents annually, for a total estimated burden of </w:t>
      </w:r>
      <w:r w:rsidR="004F1C54">
        <w:rPr>
          <w:rFonts w:ascii="Calibri" w:hAnsi="Calibri"/>
          <w:sz w:val="22"/>
          <w:szCs w:val="22"/>
        </w:rPr>
        <w:t>2,820</w:t>
      </w:r>
      <w:r>
        <w:rPr>
          <w:rFonts w:ascii="Calibri" w:hAnsi="Calibri"/>
          <w:sz w:val="22"/>
          <w:szCs w:val="22"/>
        </w:rPr>
        <w:t xml:space="preserve"> hours annually.</w:t>
      </w:r>
    </w:p>
    <w:p w:rsidR="002A5A43" w:rsidP="002A5A43" w:rsidRDefault="002A5A43" w14:paraId="53029274" w14:textId="77777777">
      <w:pPr>
        <w:ind w:left="720"/>
        <w:rPr>
          <w:rFonts w:ascii="Calibri" w:hAnsi="Calibri" w:cs="Courier New"/>
          <w:sz w:val="22"/>
          <w:szCs w:val="22"/>
        </w:rPr>
      </w:pPr>
    </w:p>
    <w:p w:rsidR="002A5A43" w:rsidP="002A5A43" w:rsidRDefault="002A5A43" w14:paraId="24B9502C" w14:textId="77777777">
      <w:pPr>
        <w:ind w:left="720"/>
        <w:rPr>
          <w:rFonts w:ascii="Calibri" w:hAnsi="Calibri" w:cs="Courier New"/>
          <w:sz w:val="22"/>
          <w:szCs w:val="22"/>
        </w:rPr>
      </w:pPr>
      <w:r>
        <w:rPr>
          <w:rFonts w:ascii="Calibri" w:hAnsi="Calibri" w:cs="Courier New"/>
          <w:sz w:val="22"/>
          <w:szCs w:val="22"/>
        </w:rPr>
        <w:t>The burden estimate is as follows:</w:t>
      </w:r>
    </w:p>
    <w:p w:rsidR="002A5A43" w:rsidP="002A5A43" w:rsidRDefault="002A5A43" w14:paraId="74456E44" w14:textId="77777777">
      <w:pPr>
        <w:ind w:left="720"/>
        <w:rPr>
          <w:rFonts w:ascii="Calibri" w:hAnsi="Calibri" w:cs="Courier New"/>
          <w:sz w:val="22"/>
          <w:szCs w:val="22"/>
        </w:rPr>
      </w:pPr>
    </w:p>
    <w:tbl>
      <w:tblPr>
        <w:tblW w:w="87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2"/>
        <w:gridCol w:w="1698"/>
        <w:gridCol w:w="1151"/>
        <w:gridCol w:w="1167"/>
        <w:gridCol w:w="1078"/>
        <w:gridCol w:w="1163"/>
        <w:gridCol w:w="1159"/>
      </w:tblGrid>
      <w:tr w:rsidR="002A5A43" w:rsidTr="004F1C54" w14:paraId="0A513940" w14:textId="77777777">
        <w:trPr>
          <w:jc w:val="right"/>
        </w:trPr>
        <w:tc>
          <w:tcPr>
            <w:tcW w:w="1332"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26A40F15" w14:textId="77777777">
            <w:pPr>
              <w:keepNext/>
              <w:keepLines/>
              <w:numPr>
                <w:ilvl w:val="12"/>
                <w:numId w:val="0"/>
              </w:numPr>
              <w:jc w:val="center"/>
              <w:rPr>
                <w:rFonts w:ascii="Arial Narrow" w:hAnsi="Arial Narrow"/>
                <w:b/>
                <w:sz w:val="18"/>
                <w:szCs w:val="18"/>
              </w:rPr>
            </w:pPr>
            <w:bookmarkStart w:name="_Hlk90530245" w:id="3"/>
            <w:r>
              <w:rPr>
                <w:rFonts w:ascii="Arial Narrow" w:hAnsi="Arial Narrow"/>
                <w:b/>
                <w:sz w:val="18"/>
                <w:szCs w:val="18"/>
              </w:rPr>
              <w:t>Authority</w:t>
            </w:r>
          </w:p>
        </w:tc>
        <w:tc>
          <w:tcPr>
            <w:tcW w:w="1698"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7EE34D26"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51"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7113B7AB"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67"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1C7A078B"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78"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1080330B"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63"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2132F4C8"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59"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3AE55095"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 Hours</w:t>
            </w:r>
          </w:p>
        </w:tc>
      </w:tr>
      <w:tr w:rsidR="002A5A43" w:rsidTr="004F1C54" w14:paraId="0BC77022" w14:textId="77777777">
        <w:trPr>
          <w:jc w:val="right"/>
        </w:trPr>
        <w:tc>
          <w:tcPr>
            <w:tcW w:w="1332"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690E0CE9" w14:textId="77777777">
            <w:pPr>
              <w:keepNext/>
              <w:keepLines/>
              <w:numPr>
                <w:ilvl w:val="12"/>
                <w:numId w:val="0"/>
              </w:numPr>
              <w:jc w:val="center"/>
              <w:rPr>
                <w:rFonts w:ascii="Arial Narrow" w:hAnsi="Arial Narrow"/>
                <w:sz w:val="18"/>
                <w:szCs w:val="18"/>
              </w:rPr>
            </w:pPr>
            <w:r>
              <w:rPr>
                <w:rFonts w:ascii="Arial Narrow" w:hAnsi="Arial Narrow"/>
                <w:sz w:val="18"/>
                <w:szCs w:val="18"/>
              </w:rPr>
              <w:t>26 CFR 601.201</w:t>
            </w:r>
          </w:p>
        </w:tc>
        <w:tc>
          <w:tcPr>
            <w:tcW w:w="1698"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5B123D7B" w14:textId="3FDAF2B0">
            <w:pPr>
              <w:keepNext/>
              <w:keepLines/>
              <w:numPr>
                <w:ilvl w:val="12"/>
                <w:numId w:val="0"/>
              </w:numPr>
              <w:jc w:val="center"/>
              <w:rPr>
                <w:rFonts w:ascii="Arial Narrow" w:hAnsi="Arial Narrow"/>
                <w:sz w:val="18"/>
                <w:szCs w:val="18"/>
              </w:rPr>
            </w:pPr>
            <w:r>
              <w:rPr>
                <w:rFonts w:ascii="Arial Narrow" w:hAnsi="Arial Narrow"/>
                <w:sz w:val="18"/>
                <w:szCs w:val="18"/>
              </w:rPr>
              <w:t xml:space="preserve">Form </w:t>
            </w:r>
            <w:r w:rsidR="004F1C54">
              <w:rPr>
                <w:rFonts w:ascii="Arial Narrow" w:hAnsi="Arial Narrow"/>
                <w:sz w:val="18"/>
                <w:szCs w:val="18"/>
              </w:rPr>
              <w:t>5316</w:t>
            </w:r>
          </w:p>
        </w:tc>
        <w:tc>
          <w:tcPr>
            <w:tcW w:w="1151" w:type="dxa"/>
            <w:tcBorders>
              <w:top w:val="single" w:color="auto" w:sz="4" w:space="0"/>
              <w:left w:val="single" w:color="auto" w:sz="4" w:space="0"/>
              <w:bottom w:val="single" w:color="auto" w:sz="4" w:space="0"/>
              <w:right w:val="single" w:color="auto" w:sz="4" w:space="0"/>
            </w:tcBorders>
            <w:vAlign w:val="bottom"/>
            <w:hideMark/>
          </w:tcPr>
          <w:p w:rsidR="002A5A43" w:rsidRDefault="004F1C54" w14:paraId="65CD74AB" w14:textId="55AD6D22">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67"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1601ADEC"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8" w:type="dxa"/>
            <w:tcBorders>
              <w:top w:val="single" w:color="auto" w:sz="4" w:space="0"/>
              <w:left w:val="single" w:color="auto" w:sz="4" w:space="0"/>
              <w:bottom w:val="single" w:color="auto" w:sz="4" w:space="0"/>
              <w:right w:val="single" w:color="auto" w:sz="4" w:space="0"/>
            </w:tcBorders>
            <w:vAlign w:val="bottom"/>
            <w:hideMark/>
          </w:tcPr>
          <w:p w:rsidR="002A5A43" w:rsidRDefault="004F1C54" w14:paraId="5979FC7E" w14:textId="6B92B1AE">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63" w:type="dxa"/>
            <w:tcBorders>
              <w:top w:val="single" w:color="auto" w:sz="4" w:space="0"/>
              <w:left w:val="single" w:color="auto" w:sz="4" w:space="0"/>
              <w:bottom w:val="single" w:color="auto" w:sz="4" w:space="0"/>
              <w:right w:val="single" w:color="auto" w:sz="4" w:space="0"/>
            </w:tcBorders>
            <w:vAlign w:val="bottom"/>
            <w:hideMark/>
          </w:tcPr>
          <w:p w:rsidR="002A5A43" w:rsidRDefault="004F1C54" w14:paraId="37D84BBC" w14:textId="71D67DF3">
            <w:pPr>
              <w:keepNext/>
              <w:keepLines/>
              <w:numPr>
                <w:ilvl w:val="12"/>
                <w:numId w:val="0"/>
              </w:numPr>
              <w:jc w:val="center"/>
              <w:rPr>
                <w:rFonts w:ascii="Arial Narrow" w:hAnsi="Arial Narrow"/>
                <w:sz w:val="18"/>
                <w:szCs w:val="18"/>
              </w:rPr>
            </w:pPr>
            <w:r>
              <w:rPr>
                <w:rFonts w:ascii="Arial Narrow" w:hAnsi="Arial Narrow"/>
                <w:sz w:val="18"/>
                <w:szCs w:val="18"/>
              </w:rPr>
              <w:t>14.10</w:t>
            </w:r>
          </w:p>
        </w:tc>
        <w:tc>
          <w:tcPr>
            <w:tcW w:w="1159" w:type="dxa"/>
            <w:tcBorders>
              <w:top w:val="single" w:color="auto" w:sz="4" w:space="0"/>
              <w:left w:val="single" w:color="auto" w:sz="4" w:space="0"/>
              <w:bottom w:val="single" w:color="auto" w:sz="4" w:space="0"/>
              <w:right w:val="single" w:color="auto" w:sz="4" w:space="0"/>
            </w:tcBorders>
            <w:vAlign w:val="bottom"/>
            <w:hideMark/>
          </w:tcPr>
          <w:p w:rsidR="002A5A43" w:rsidRDefault="004F1C54" w14:paraId="7FDE3C97" w14:textId="0C33C593">
            <w:pPr>
              <w:keepNext/>
              <w:keepLines/>
              <w:numPr>
                <w:ilvl w:val="12"/>
                <w:numId w:val="0"/>
              </w:numPr>
              <w:jc w:val="center"/>
              <w:rPr>
                <w:rFonts w:ascii="Arial Narrow" w:hAnsi="Arial Narrow"/>
                <w:sz w:val="18"/>
                <w:szCs w:val="18"/>
              </w:rPr>
            </w:pPr>
            <w:r>
              <w:rPr>
                <w:rFonts w:ascii="Arial Narrow" w:hAnsi="Arial Narrow"/>
                <w:sz w:val="18"/>
                <w:szCs w:val="18"/>
              </w:rPr>
              <w:t>2,820</w:t>
            </w:r>
          </w:p>
        </w:tc>
      </w:tr>
      <w:tr w:rsidR="002A5A43" w:rsidTr="004F1C54" w14:paraId="19988F49" w14:textId="77777777">
        <w:trPr>
          <w:jc w:val="right"/>
        </w:trPr>
        <w:tc>
          <w:tcPr>
            <w:tcW w:w="1332"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208AD4A9" w14:textId="77777777">
            <w:pPr>
              <w:keepNext/>
              <w:keepLines/>
              <w:numPr>
                <w:ilvl w:val="12"/>
                <w:numId w:val="0"/>
              </w:numPr>
              <w:jc w:val="center"/>
              <w:rPr>
                <w:rFonts w:ascii="Arial Narrow" w:hAnsi="Arial Narrow"/>
                <w:b/>
                <w:bCs/>
                <w:sz w:val="18"/>
                <w:szCs w:val="18"/>
              </w:rPr>
            </w:pPr>
            <w:r>
              <w:rPr>
                <w:rFonts w:ascii="Arial Narrow" w:hAnsi="Arial Narrow"/>
                <w:b/>
                <w:bCs/>
                <w:sz w:val="18"/>
                <w:szCs w:val="18"/>
              </w:rPr>
              <w:t>Totals</w:t>
            </w:r>
          </w:p>
        </w:tc>
        <w:tc>
          <w:tcPr>
            <w:tcW w:w="1698" w:type="dxa"/>
            <w:tcBorders>
              <w:top w:val="single" w:color="auto" w:sz="4" w:space="0"/>
              <w:left w:val="single" w:color="auto" w:sz="4" w:space="0"/>
              <w:bottom w:val="single" w:color="auto" w:sz="4" w:space="0"/>
              <w:right w:val="single" w:color="auto" w:sz="4" w:space="0"/>
            </w:tcBorders>
            <w:vAlign w:val="bottom"/>
          </w:tcPr>
          <w:p w:rsidR="002A5A43" w:rsidRDefault="002A5A43" w14:paraId="090D0E65" w14:textId="77777777">
            <w:pPr>
              <w:keepNext/>
              <w:keepLines/>
              <w:numPr>
                <w:ilvl w:val="12"/>
                <w:numId w:val="0"/>
              </w:numPr>
              <w:jc w:val="center"/>
              <w:rPr>
                <w:rFonts w:ascii="Arial Narrow" w:hAnsi="Arial Narrow"/>
                <w:b/>
                <w:bCs/>
                <w:sz w:val="18"/>
                <w:szCs w:val="18"/>
              </w:rPr>
            </w:pPr>
          </w:p>
        </w:tc>
        <w:tc>
          <w:tcPr>
            <w:tcW w:w="1151"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54EDF89B" w14:textId="42FC51AC">
            <w:pPr>
              <w:keepNext/>
              <w:keepLines/>
              <w:numPr>
                <w:ilvl w:val="12"/>
                <w:numId w:val="0"/>
              </w:numPr>
              <w:jc w:val="center"/>
              <w:rPr>
                <w:rFonts w:ascii="Arial Narrow" w:hAnsi="Arial Narrow"/>
                <w:b/>
                <w:bCs/>
                <w:sz w:val="18"/>
                <w:szCs w:val="18"/>
              </w:rPr>
            </w:pPr>
            <w:r>
              <w:rPr>
                <w:rFonts w:ascii="Arial Narrow" w:hAnsi="Arial Narrow"/>
                <w:b/>
                <w:bCs/>
                <w:sz w:val="18"/>
                <w:szCs w:val="18"/>
              </w:rPr>
              <w:t>2</w:t>
            </w:r>
            <w:r w:rsidR="004F1C54">
              <w:rPr>
                <w:rFonts w:ascii="Arial Narrow" w:hAnsi="Arial Narrow"/>
                <w:b/>
                <w:bCs/>
                <w:sz w:val="18"/>
                <w:szCs w:val="18"/>
              </w:rPr>
              <w:t>00</w:t>
            </w:r>
          </w:p>
        </w:tc>
        <w:tc>
          <w:tcPr>
            <w:tcW w:w="1167" w:type="dxa"/>
            <w:tcBorders>
              <w:top w:val="single" w:color="auto" w:sz="4" w:space="0"/>
              <w:left w:val="single" w:color="auto" w:sz="4" w:space="0"/>
              <w:bottom w:val="single" w:color="auto" w:sz="4" w:space="0"/>
              <w:right w:val="single" w:color="auto" w:sz="4" w:space="0"/>
            </w:tcBorders>
            <w:vAlign w:val="bottom"/>
          </w:tcPr>
          <w:p w:rsidR="002A5A43" w:rsidRDefault="002A5A43" w14:paraId="486729D3" w14:textId="77777777">
            <w:pPr>
              <w:keepNext/>
              <w:keepLines/>
              <w:numPr>
                <w:ilvl w:val="12"/>
                <w:numId w:val="0"/>
              </w:numPr>
              <w:jc w:val="center"/>
              <w:rPr>
                <w:rFonts w:ascii="Arial Narrow" w:hAnsi="Arial Narrow"/>
                <w:b/>
                <w:bCs/>
                <w:sz w:val="18"/>
                <w:szCs w:val="18"/>
              </w:rPr>
            </w:pPr>
          </w:p>
        </w:tc>
        <w:tc>
          <w:tcPr>
            <w:tcW w:w="1078" w:type="dxa"/>
            <w:tcBorders>
              <w:top w:val="single" w:color="auto" w:sz="4" w:space="0"/>
              <w:left w:val="single" w:color="auto" w:sz="4" w:space="0"/>
              <w:bottom w:val="single" w:color="auto" w:sz="4" w:space="0"/>
              <w:right w:val="single" w:color="auto" w:sz="4" w:space="0"/>
            </w:tcBorders>
            <w:vAlign w:val="bottom"/>
            <w:hideMark/>
          </w:tcPr>
          <w:p w:rsidR="002A5A43" w:rsidRDefault="002A5A43" w14:paraId="38BC637D" w14:textId="395C077D">
            <w:pPr>
              <w:keepNext/>
              <w:keepLines/>
              <w:numPr>
                <w:ilvl w:val="12"/>
                <w:numId w:val="0"/>
              </w:numPr>
              <w:jc w:val="center"/>
              <w:rPr>
                <w:rFonts w:ascii="Arial Narrow" w:hAnsi="Arial Narrow"/>
                <w:b/>
                <w:bCs/>
                <w:sz w:val="18"/>
                <w:szCs w:val="18"/>
              </w:rPr>
            </w:pPr>
            <w:r>
              <w:rPr>
                <w:rFonts w:ascii="Arial Narrow" w:hAnsi="Arial Narrow"/>
                <w:b/>
                <w:bCs/>
                <w:sz w:val="18"/>
                <w:szCs w:val="18"/>
              </w:rPr>
              <w:t>2</w:t>
            </w:r>
            <w:r w:rsidR="004F1C54">
              <w:rPr>
                <w:rFonts w:ascii="Arial Narrow" w:hAnsi="Arial Narrow"/>
                <w:b/>
                <w:bCs/>
                <w:sz w:val="18"/>
                <w:szCs w:val="18"/>
              </w:rPr>
              <w:t>00</w:t>
            </w:r>
          </w:p>
        </w:tc>
        <w:tc>
          <w:tcPr>
            <w:tcW w:w="1163" w:type="dxa"/>
            <w:tcBorders>
              <w:top w:val="single" w:color="auto" w:sz="4" w:space="0"/>
              <w:left w:val="single" w:color="auto" w:sz="4" w:space="0"/>
              <w:bottom w:val="single" w:color="auto" w:sz="4" w:space="0"/>
              <w:right w:val="single" w:color="auto" w:sz="4" w:space="0"/>
            </w:tcBorders>
            <w:vAlign w:val="bottom"/>
          </w:tcPr>
          <w:p w:rsidR="002A5A43" w:rsidRDefault="002A5A43" w14:paraId="2E41721A" w14:textId="77777777">
            <w:pPr>
              <w:keepNext/>
              <w:keepLines/>
              <w:numPr>
                <w:ilvl w:val="12"/>
                <w:numId w:val="0"/>
              </w:numPr>
              <w:jc w:val="center"/>
              <w:rPr>
                <w:rFonts w:ascii="Arial Narrow" w:hAnsi="Arial Narrow"/>
                <w:b/>
                <w:bCs/>
                <w:sz w:val="18"/>
                <w:szCs w:val="18"/>
              </w:rPr>
            </w:pPr>
          </w:p>
        </w:tc>
        <w:tc>
          <w:tcPr>
            <w:tcW w:w="1159" w:type="dxa"/>
            <w:tcBorders>
              <w:top w:val="single" w:color="auto" w:sz="4" w:space="0"/>
              <w:left w:val="single" w:color="auto" w:sz="4" w:space="0"/>
              <w:bottom w:val="single" w:color="auto" w:sz="4" w:space="0"/>
              <w:right w:val="single" w:color="auto" w:sz="4" w:space="0"/>
            </w:tcBorders>
            <w:vAlign w:val="bottom"/>
            <w:hideMark/>
          </w:tcPr>
          <w:p w:rsidR="002A5A43" w:rsidRDefault="004F1C54" w14:paraId="1FC3120F" w14:textId="6F14B18D">
            <w:pPr>
              <w:keepNext/>
              <w:keepLines/>
              <w:numPr>
                <w:ilvl w:val="12"/>
                <w:numId w:val="0"/>
              </w:numPr>
              <w:jc w:val="center"/>
              <w:rPr>
                <w:rFonts w:ascii="Arial Narrow" w:hAnsi="Arial Narrow"/>
                <w:b/>
                <w:bCs/>
                <w:sz w:val="18"/>
                <w:szCs w:val="18"/>
              </w:rPr>
            </w:pPr>
            <w:r>
              <w:rPr>
                <w:rFonts w:ascii="Arial Narrow" w:hAnsi="Arial Narrow"/>
                <w:b/>
                <w:bCs/>
                <w:sz w:val="18"/>
                <w:szCs w:val="18"/>
              </w:rPr>
              <w:t>2,820</w:t>
            </w:r>
          </w:p>
        </w:tc>
        <w:bookmarkEnd w:id="3"/>
      </w:tr>
    </w:tbl>
    <w:p w:rsidRPr="00005F14" w:rsidR="00290AFC" w:rsidP="00005F14" w:rsidRDefault="00290AFC" w14:paraId="39FE84AE" w14:textId="77777777">
      <w:pPr>
        <w:ind w:left="720"/>
        <w:rPr>
          <w:rFonts w:ascii="Calibri" w:hAnsi="Calibri"/>
          <w:sz w:val="22"/>
          <w:szCs w:val="22"/>
        </w:rPr>
      </w:pPr>
    </w:p>
    <w:p w:rsidRPr="00E2237D" w:rsidR="00794B3F" w:rsidP="00E2237D" w:rsidRDefault="00794B3F" w14:paraId="7434CEEA"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ESTIMATED TOTAL ANNUAL COST BURDEN TO RESPONDENTS</w:t>
      </w:r>
    </w:p>
    <w:p w:rsidRPr="00005F14" w:rsidR="00794B3F" w:rsidP="00005F14" w:rsidRDefault="00794B3F" w14:paraId="28F2E0B1" w14:textId="77777777">
      <w:pPr>
        <w:ind w:left="720"/>
        <w:rPr>
          <w:rFonts w:ascii="Calibri" w:hAnsi="Calibri"/>
          <w:sz w:val="22"/>
          <w:szCs w:val="22"/>
        </w:rPr>
      </w:pPr>
    </w:p>
    <w:p w:rsidRPr="00005F14" w:rsidR="00794B3F" w:rsidP="00005F14" w:rsidRDefault="00966085" w14:paraId="08A2BF8B" w14:textId="77A69CEE">
      <w:pPr>
        <w:ind w:left="720"/>
        <w:rPr>
          <w:rFonts w:ascii="Calibri" w:hAnsi="Calibri"/>
          <w:sz w:val="22"/>
          <w:szCs w:val="22"/>
        </w:rPr>
      </w:pPr>
      <w:r w:rsidRPr="00966085">
        <w:rPr>
          <w:rFonts w:ascii="Calibri" w:hAnsi="Calibri"/>
          <w:sz w:val="22"/>
          <w:szCs w:val="22"/>
        </w:rPr>
        <w:t xml:space="preserve">From our Federal Register notice, dated April </w:t>
      </w:r>
      <w:r>
        <w:rPr>
          <w:rFonts w:ascii="Calibri" w:hAnsi="Calibri"/>
          <w:sz w:val="22"/>
          <w:szCs w:val="22"/>
        </w:rPr>
        <w:t>15</w:t>
      </w:r>
      <w:r w:rsidRPr="00966085">
        <w:rPr>
          <w:rFonts w:ascii="Calibri" w:hAnsi="Calibri"/>
          <w:sz w:val="22"/>
          <w:szCs w:val="22"/>
        </w:rPr>
        <w:t>, 2022,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005F14" w:rsidR="00794B3F" w:rsidP="00005F14" w:rsidRDefault="00794B3F" w14:paraId="6220AE03" w14:textId="77777777">
      <w:pPr>
        <w:ind w:left="720"/>
        <w:rPr>
          <w:rFonts w:ascii="Calibri" w:hAnsi="Calibri"/>
          <w:sz w:val="22"/>
          <w:szCs w:val="22"/>
        </w:rPr>
      </w:pPr>
    </w:p>
    <w:p w:rsidRPr="00E2237D" w:rsidR="00794B3F" w:rsidP="00E2237D" w:rsidRDefault="00794B3F" w14:paraId="1AC09AAF"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ESTIMATED ANNUALIZED COST TO THE FEDERAL GOVERNMENT </w:t>
      </w:r>
    </w:p>
    <w:p w:rsidRPr="00005F14" w:rsidR="00794B3F" w:rsidP="00005F14" w:rsidRDefault="00794B3F" w14:paraId="69FAED22" w14:textId="77777777">
      <w:pPr>
        <w:ind w:left="720"/>
        <w:rPr>
          <w:rFonts w:ascii="Calibri" w:hAnsi="Calibri"/>
          <w:sz w:val="22"/>
          <w:szCs w:val="22"/>
        </w:rPr>
      </w:pPr>
    </w:p>
    <w:p w:rsidR="004F1C54" w:rsidP="004F1C54" w:rsidRDefault="004F1C54" w14:paraId="2A4E6EF8" w14:textId="77777777">
      <w:pPr>
        <w:tabs>
          <w:tab w:val="left" w:pos="-1440"/>
        </w:tabs>
        <w:autoSpaceDE/>
        <w:adjustRightInd/>
        <w:ind w:left="720"/>
        <w:rPr>
          <w:rFonts w:ascii="Calibri" w:hAnsi="Calibri"/>
          <w:sz w:val="22"/>
          <w:szCs w:val="22"/>
        </w:rPr>
      </w:pPr>
      <w:bookmarkStart w:name="_Hlk90531343" w:id="4"/>
      <w:bookmarkStart w:name="_Hlk91161430" w:id="5"/>
      <w:bookmarkStart w:name="_Hlk523834409" w:id="6"/>
      <w:r>
        <w:rPr>
          <w:rFonts w:ascii="Calibri" w:hAnsi="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4F1C54" w:rsidP="004F1C54" w:rsidRDefault="004F1C54" w14:paraId="1E03F870" w14:textId="77777777">
      <w:pPr>
        <w:tabs>
          <w:tab w:val="left" w:pos="-1440"/>
        </w:tabs>
        <w:autoSpaceDE/>
        <w:adjustRightInd/>
        <w:ind w:left="720"/>
        <w:rPr>
          <w:rFonts w:ascii="Calibri" w:hAnsi="Calibri"/>
          <w:sz w:val="22"/>
          <w:szCs w:val="22"/>
        </w:rPr>
      </w:pPr>
    </w:p>
    <w:p w:rsidR="004F1C54" w:rsidP="004F1C54" w:rsidRDefault="004F1C54" w14:paraId="195E9A16" w14:textId="77777777">
      <w:pPr>
        <w:tabs>
          <w:tab w:val="left" w:pos="-1440"/>
        </w:tabs>
        <w:autoSpaceDE/>
        <w:adjustRightInd/>
        <w:ind w:left="720"/>
        <w:rPr>
          <w:rFonts w:ascii="Calibri" w:hAnsi="Calibri"/>
          <w:sz w:val="22"/>
          <w:szCs w:val="22"/>
        </w:rPr>
      </w:pPr>
      <w:r>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4"/>
      <w:r>
        <w:rPr>
          <w:rFonts w:ascii="Calibri" w:hAnsi="Calibri"/>
          <w:sz w:val="22"/>
          <w:szCs w:val="22"/>
        </w:rPr>
        <w:t xml:space="preserve"> The result is the government cost estimate per product.</w:t>
      </w:r>
    </w:p>
    <w:p w:rsidR="004F1C54" w:rsidP="004F1C54" w:rsidRDefault="004F1C54" w14:paraId="5D49F6B6" w14:textId="77777777">
      <w:pPr>
        <w:tabs>
          <w:tab w:val="left" w:pos="-1440"/>
        </w:tabs>
        <w:autoSpaceDE/>
        <w:adjustRightInd/>
        <w:ind w:left="720"/>
        <w:rPr>
          <w:rFonts w:ascii="Calibri" w:hAnsi="Calibri"/>
          <w:sz w:val="22"/>
          <w:szCs w:val="22"/>
        </w:rPr>
      </w:pPr>
    </w:p>
    <w:p w:rsidR="004F1C54" w:rsidP="004F1C54" w:rsidRDefault="004F1C54" w14:paraId="798A9136" w14:textId="77777777">
      <w:pPr>
        <w:tabs>
          <w:tab w:val="left" w:pos="-1440"/>
        </w:tabs>
        <w:autoSpaceDE/>
        <w:adjustRightInd/>
        <w:ind w:left="720"/>
        <w:rPr>
          <w:rFonts w:ascii="Calibri" w:hAnsi="Calibri"/>
          <w:sz w:val="22"/>
          <w:szCs w:val="22"/>
        </w:rPr>
      </w:pPr>
      <w:r>
        <w:rPr>
          <w:rFonts w:ascii="Calibri" w:hAnsi="Calibri"/>
          <w:sz w:val="22"/>
          <w:szCs w:val="22"/>
        </w:rPr>
        <w:t>The government cost estimate for this collection is summarized in the table below.</w:t>
      </w:r>
      <w:bookmarkEnd w:id="5"/>
    </w:p>
    <w:p w:rsidR="004F1C54" w:rsidP="004F1C54" w:rsidRDefault="004F1C54" w14:paraId="53F1B070" w14:textId="77777777">
      <w:pPr>
        <w:ind w:left="360"/>
        <w:rPr>
          <w:rFonts w:ascii="Calibri" w:hAnsi="Calibri"/>
          <w:sz w:val="22"/>
          <w:szCs w:val="22"/>
        </w:rPr>
      </w:pPr>
    </w:p>
    <w:tbl>
      <w:tblPr>
        <w:tblW w:w="87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1"/>
        <w:gridCol w:w="1980"/>
        <w:gridCol w:w="303"/>
        <w:gridCol w:w="1745"/>
        <w:gridCol w:w="387"/>
        <w:gridCol w:w="1582"/>
      </w:tblGrid>
      <w:tr w:rsidR="004F1C54" w:rsidTr="004F1C54" w14:paraId="2B30D471" w14:textId="77777777">
        <w:trPr>
          <w:jc w:val="right"/>
        </w:trPr>
        <w:tc>
          <w:tcPr>
            <w:tcW w:w="2751" w:type="dxa"/>
            <w:tcBorders>
              <w:top w:val="single" w:color="auto" w:sz="4" w:space="0"/>
              <w:left w:val="single" w:color="auto" w:sz="4" w:space="0"/>
              <w:bottom w:val="single" w:color="auto" w:sz="4" w:space="0"/>
              <w:right w:val="single" w:color="auto" w:sz="4" w:space="0"/>
            </w:tcBorders>
            <w:vAlign w:val="bottom"/>
            <w:hideMark/>
          </w:tcPr>
          <w:p w:rsidR="004F1C54" w:rsidRDefault="004F1C54" w14:paraId="7A0AA136" w14:textId="77777777">
            <w:pPr>
              <w:keepNext/>
              <w:keepLines/>
              <w:jc w:val="center"/>
              <w:rPr>
                <w:rFonts w:ascii="Arial Narrow" w:hAnsi="Arial Narrow"/>
                <w:b/>
                <w:sz w:val="18"/>
                <w:szCs w:val="18"/>
                <w:u w:val="single"/>
              </w:rPr>
            </w:pPr>
            <w:bookmarkStart w:name="_Hlk90531615" w:id="7"/>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4F1C54" w:rsidRDefault="004F1C54" w14:paraId="04D77D5F"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4F1C54" w:rsidRDefault="004F1C54" w14:paraId="59F15697"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4F1C54" w:rsidRDefault="004F1C54" w14:paraId="1A93B7B9"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4F1C54" w:rsidRDefault="004F1C54" w14:paraId="2FFBF805"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4F1C54" w:rsidRDefault="004F1C54" w14:paraId="70669A0D"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4F1C54" w:rsidTr="004F1C54" w14:paraId="48C98631" w14:textId="77777777">
        <w:trPr>
          <w:jc w:val="right"/>
        </w:trPr>
        <w:tc>
          <w:tcPr>
            <w:tcW w:w="2751" w:type="dxa"/>
            <w:tcBorders>
              <w:top w:val="single" w:color="auto" w:sz="4" w:space="0"/>
              <w:left w:val="single" w:color="auto" w:sz="4" w:space="0"/>
              <w:bottom w:val="single" w:color="auto" w:sz="4" w:space="0"/>
              <w:right w:val="single" w:color="auto" w:sz="4" w:space="0"/>
            </w:tcBorders>
            <w:vAlign w:val="bottom"/>
            <w:hideMark/>
          </w:tcPr>
          <w:p w:rsidR="004F1C54" w:rsidRDefault="004F1C54" w14:paraId="0B52C64D" w14:textId="767348FC">
            <w:pPr>
              <w:keepNext/>
              <w:keepLines/>
              <w:numPr>
                <w:ilvl w:val="12"/>
                <w:numId w:val="0"/>
              </w:numPr>
              <w:rPr>
                <w:rFonts w:ascii="Arial Narrow" w:hAnsi="Arial Narrow"/>
                <w:sz w:val="18"/>
                <w:szCs w:val="18"/>
              </w:rPr>
            </w:pPr>
            <w:r>
              <w:rPr>
                <w:rFonts w:ascii="Arial Narrow" w:hAnsi="Arial Narrow"/>
                <w:sz w:val="18"/>
                <w:szCs w:val="18"/>
              </w:rPr>
              <w:t>Form 5316</w:t>
            </w:r>
          </w:p>
        </w:tc>
        <w:tc>
          <w:tcPr>
            <w:tcW w:w="1980" w:type="dxa"/>
            <w:tcBorders>
              <w:top w:val="single" w:color="auto" w:sz="4" w:space="0"/>
              <w:left w:val="single" w:color="auto" w:sz="4" w:space="0"/>
              <w:bottom w:val="single" w:color="auto" w:sz="4" w:space="0"/>
              <w:right w:val="single" w:color="auto" w:sz="4" w:space="0"/>
            </w:tcBorders>
            <w:hideMark/>
          </w:tcPr>
          <w:p w:rsidR="004F1C54" w:rsidRDefault="004F1C54" w14:paraId="018E23E3" w14:textId="1515DA6C">
            <w:pPr>
              <w:keepNext/>
              <w:keepLines/>
              <w:jc w:val="center"/>
              <w:rPr>
                <w:rFonts w:ascii="Arial Narrow" w:hAnsi="Arial Narrow"/>
                <w:sz w:val="18"/>
                <w:szCs w:val="18"/>
              </w:rPr>
            </w:pPr>
            <w:r>
              <w:rPr>
                <w:rFonts w:ascii="Arial Narrow" w:hAnsi="Arial Narrow"/>
                <w:sz w:val="18"/>
                <w:szCs w:val="18"/>
              </w:rPr>
              <w:t>$19,024</w:t>
            </w:r>
          </w:p>
        </w:tc>
        <w:tc>
          <w:tcPr>
            <w:tcW w:w="303" w:type="dxa"/>
            <w:tcBorders>
              <w:top w:val="single" w:color="auto" w:sz="4" w:space="0"/>
              <w:left w:val="single" w:color="auto" w:sz="4" w:space="0"/>
              <w:bottom w:val="single" w:color="auto" w:sz="4" w:space="0"/>
              <w:right w:val="single" w:color="auto" w:sz="4" w:space="0"/>
            </w:tcBorders>
          </w:tcPr>
          <w:p w:rsidR="004F1C54" w:rsidRDefault="004F1C54" w14:paraId="45035983"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4F1C54" w:rsidRDefault="004F1C54" w14:paraId="2C8DCA36" w14:textId="77777777">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4F1C54" w:rsidRDefault="004F1C54" w14:paraId="569353D4"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4F1C54" w:rsidRDefault="004F1C54" w14:paraId="6D03E087" w14:textId="190AD2F4">
            <w:pPr>
              <w:keepNext/>
              <w:keepLines/>
              <w:jc w:val="center"/>
              <w:rPr>
                <w:rFonts w:ascii="Arial Narrow" w:hAnsi="Arial Narrow"/>
                <w:sz w:val="18"/>
                <w:szCs w:val="18"/>
              </w:rPr>
            </w:pPr>
            <w:r>
              <w:rPr>
                <w:rFonts w:ascii="Arial Narrow" w:hAnsi="Arial Narrow"/>
                <w:sz w:val="18"/>
                <w:szCs w:val="18"/>
              </w:rPr>
              <w:t>$19,024</w:t>
            </w:r>
          </w:p>
        </w:tc>
      </w:tr>
      <w:tr w:rsidR="004F1C54" w:rsidTr="004F1C54" w14:paraId="32622B40" w14:textId="77777777">
        <w:trPr>
          <w:jc w:val="right"/>
        </w:trPr>
        <w:tc>
          <w:tcPr>
            <w:tcW w:w="2751" w:type="dxa"/>
            <w:tcBorders>
              <w:top w:val="single" w:color="auto" w:sz="4" w:space="0"/>
              <w:left w:val="single" w:color="auto" w:sz="4" w:space="0"/>
              <w:bottom w:val="single" w:color="auto" w:sz="4" w:space="0"/>
              <w:right w:val="single" w:color="auto" w:sz="4" w:space="0"/>
            </w:tcBorders>
            <w:hideMark/>
          </w:tcPr>
          <w:p w:rsidR="004F1C54" w:rsidRDefault="004F1C54" w14:paraId="422DAE82"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4F1C54" w:rsidRDefault="004F1C54" w14:paraId="6D8C946E" w14:textId="0BB5604D">
            <w:pPr>
              <w:keepNext/>
              <w:keepLines/>
              <w:jc w:val="center"/>
              <w:rPr>
                <w:rFonts w:ascii="Arial Narrow" w:hAnsi="Arial Narrow"/>
                <w:b/>
                <w:sz w:val="18"/>
                <w:szCs w:val="18"/>
              </w:rPr>
            </w:pPr>
            <w:r>
              <w:rPr>
                <w:rFonts w:ascii="Arial Narrow" w:hAnsi="Arial Narrow"/>
                <w:b/>
                <w:sz w:val="18"/>
                <w:szCs w:val="18"/>
              </w:rPr>
              <w:t>$19,024</w:t>
            </w:r>
          </w:p>
        </w:tc>
        <w:tc>
          <w:tcPr>
            <w:tcW w:w="303" w:type="dxa"/>
            <w:tcBorders>
              <w:top w:val="single" w:color="auto" w:sz="4" w:space="0"/>
              <w:left w:val="single" w:color="auto" w:sz="4" w:space="0"/>
              <w:bottom w:val="single" w:color="auto" w:sz="4" w:space="0"/>
              <w:right w:val="single" w:color="auto" w:sz="4" w:space="0"/>
            </w:tcBorders>
          </w:tcPr>
          <w:p w:rsidR="004F1C54" w:rsidRDefault="004F1C54" w14:paraId="45272CAF"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4F1C54" w:rsidRDefault="004F1C54" w14:paraId="0AE9FEA2" w14:textId="77777777">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4F1C54" w:rsidRDefault="004F1C54" w14:paraId="4DDA4426"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4F1C54" w:rsidRDefault="004F1C54" w14:paraId="49754197" w14:textId="517D1526">
            <w:pPr>
              <w:keepNext/>
              <w:keepLines/>
              <w:jc w:val="center"/>
              <w:rPr>
                <w:rFonts w:ascii="Arial Narrow" w:hAnsi="Arial Narrow"/>
                <w:b/>
                <w:sz w:val="18"/>
                <w:szCs w:val="18"/>
              </w:rPr>
            </w:pPr>
            <w:r>
              <w:rPr>
                <w:rFonts w:ascii="Arial Narrow" w:hAnsi="Arial Narrow"/>
                <w:b/>
                <w:sz w:val="18"/>
                <w:szCs w:val="18"/>
              </w:rPr>
              <w:t>$19,024</w:t>
            </w:r>
          </w:p>
        </w:tc>
      </w:tr>
      <w:tr w:rsidR="004F1C54" w:rsidTr="004F1C54" w14:paraId="65EF8718" w14:textId="77777777">
        <w:trPr>
          <w:jc w:val="right"/>
        </w:trPr>
        <w:tc>
          <w:tcPr>
            <w:tcW w:w="8748" w:type="dxa"/>
            <w:gridSpan w:val="6"/>
            <w:tcBorders>
              <w:top w:val="single" w:color="auto" w:sz="4" w:space="0"/>
              <w:left w:val="single" w:color="auto" w:sz="4" w:space="0"/>
              <w:bottom w:val="single" w:color="auto" w:sz="4" w:space="0"/>
              <w:right w:val="single" w:color="auto" w:sz="4" w:space="0"/>
            </w:tcBorders>
            <w:hideMark/>
          </w:tcPr>
          <w:p w:rsidR="004F1C54" w:rsidRDefault="004F1C54" w14:paraId="7B221794" w14:textId="77777777">
            <w:pPr>
              <w:keepNext/>
              <w:keepLines/>
              <w:rPr>
                <w:rFonts w:ascii="Arial Narrow" w:hAnsi="Arial Narrow"/>
                <w:sz w:val="18"/>
                <w:szCs w:val="18"/>
              </w:rPr>
            </w:pPr>
            <w:r>
              <w:rPr>
                <w:rFonts w:ascii="Arial Narrow" w:hAnsi="Arial Narrow"/>
                <w:sz w:val="18"/>
                <w:szCs w:val="18"/>
              </w:rPr>
              <w:t>Table costs are based on 2021 actuals obtained from IRS Chief Financial Office and Media and Publications</w:t>
            </w:r>
          </w:p>
        </w:tc>
      </w:tr>
      <w:bookmarkEnd w:id="6"/>
      <w:bookmarkEnd w:id="7"/>
    </w:tbl>
    <w:p w:rsidRPr="00005F14" w:rsidR="00794B3F" w:rsidP="00005F14" w:rsidRDefault="00794B3F" w14:paraId="0E0CD0ED" w14:textId="77777777">
      <w:pPr>
        <w:ind w:left="720"/>
        <w:rPr>
          <w:rFonts w:ascii="Calibri" w:hAnsi="Calibri"/>
          <w:sz w:val="22"/>
          <w:szCs w:val="22"/>
        </w:rPr>
      </w:pPr>
    </w:p>
    <w:p w:rsidRPr="00E2237D" w:rsidR="00794B3F" w:rsidP="00E2237D" w:rsidRDefault="00794B3F" w14:paraId="1CB7C9D3"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REASONS FOR CHANGE IN BURDEN </w:t>
      </w:r>
    </w:p>
    <w:p w:rsidRPr="00005F14" w:rsidR="00794B3F" w:rsidP="00005F14" w:rsidRDefault="00794B3F" w14:paraId="51C66032" w14:textId="77777777">
      <w:pPr>
        <w:ind w:left="720"/>
        <w:rPr>
          <w:rFonts w:ascii="Calibri" w:hAnsi="Calibri"/>
          <w:sz w:val="22"/>
          <w:szCs w:val="22"/>
        </w:rPr>
      </w:pPr>
    </w:p>
    <w:p w:rsidR="00794B3F" w:rsidP="00005F14" w:rsidRDefault="004F1C54" w14:paraId="42652F03" w14:textId="1D746520">
      <w:pPr>
        <w:ind w:left="720"/>
        <w:rPr>
          <w:rFonts w:ascii="Calibri" w:hAnsi="Calibri"/>
          <w:sz w:val="22"/>
          <w:szCs w:val="22"/>
        </w:rPr>
      </w:pPr>
      <w:r>
        <w:rPr>
          <w:rFonts w:ascii="Calibri" w:hAnsi="Calibri"/>
          <w:sz w:val="22"/>
          <w:szCs w:val="22"/>
        </w:rPr>
        <w:t>The change in burden reflects</w:t>
      </w:r>
      <w:r w:rsidR="00997C77">
        <w:rPr>
          <w:rFonts w:ascii="Calibri" w:hAnsi="Calibri"/>
          <w:sz w:val="22"/>
          <w:szCs w:val="22"/>
        </w:rPr>
        <w:t xml:space="preserve"> the addition of line 1(l) for the group trust’s employer identification number (EIN), the addition of Revenue Ruling and statutory citations, and the </w:t>
      </w:r>
      <w:r w:rsidR="00997C77">
        <w:rPr>
          <w:rFonts w:ascii="Calibri" w:hAnsi="Calibri"/>
          <w:sz w:val="22"/>
          <w:szCs w:val="22"/>
        </w:rPr>
        <w:lastRenderedPageBreak/>
        <w:t>removal of six lines that collected duplicate information (lines 2(b) through 2(g))</w:t>
      </w:r>
      <w:r w:rsidRPr="00005F14" w:rsidR="00794B3F">
        <w:rPr>
          <w:rFonts w:ascii="Calibri" w:hAnsi="Calibri"/>
          <w:sz w:val="22"/>
          <w:szCs w:val="22"/>
        </w:rPr>
        <w:t>.</w:t>
      </w:r>
      <w:r w:rsidR="00997C77">
        <w:rPr>
          <w:rFonts w:ascii="Calibri" w:hAnsi="Calibri"/>
          <w:sz w:val="22"/>
          <w:szCs w:val="22"/>
        </w:rPr>
        <w:t xml:space="preserve"> Lines in the Procedural Requirements Checklist on Form 5316 do not collect information and were removed from the burden calculation. This decreases the burden by 980 hours due to Agency Discretion.</w:t>
      </w:r>
    </w:p>
    <w:p w:rsidR="00997C77" w:rsidP="00005F14" w:rsidRDefault="00997C77" w14:paraId="15584A41" w14:textId="772559FB">
      <w:pPr>
        <w:ind w:left="720"/>
        <w:rPr>
          <w:rFonts w:ascii="Calibri" w:hAnsi="Calibri"/>
          <w:sz w:val="22"/>
          <w:szCs w:val="22"/>
        </w:rPr>
      </w:pPr>
    </w:p>
    <w:tbl>
      <w:tblPr>
        <w:tblW w:w="459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170"/>
        <w:gridCol w:w="1170"/>
        <w:gridCol w:w="1170"/>
        <w:gridCol w:w="1350"/>
        <w:gridCol w:w="1350"/>
        <w:gridCol w:w="1350"/>
        <w:gridCol w:w="1020"/>
      </w:tblGrid>
      <w:tr w:rsidRPr="00885286" w:rsidR="00AC362E" w:rsidTr="00C77C98" w14:paraId="5C6615E0" w14:textId="77777777">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70CDB48C"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1E94601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3D37F8C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274EAAC7"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0FFA63A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AC362E" w:rsidP="00C77C98" w:rsidRDefault="00AC362E" w14:paraId="13CD722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color="auto" w:sz="6" w:space="0"/>
              <w:left w:val="outset" w:color="auto" w:sz="6" w:space="0"/>
              <w:bottom w:val="outset" w:color="auto" w:sz="6" w:space="0"/>
              <w:right w:val="outset" w:color="auto" w:sz="6" w:space="0"/>
            </w:tcBorders>
            <w:vAlign w:val="center"/>
          </w:tcPr>
          <w:p w:rsidRPr="00885286" w:rsidR="00AC362E" w:rsidP="00C77C98" w:rsidRDefault="00AC362E" w14:paraId="4BA036E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AC362E" w:rsidTr="00C77C98" w14:paraId="1B108338"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53621EC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76444B94" w14:textId="0C4E16F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w:t>
            </w:r>
          </w:p>
        </w:tc>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351453F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67E5230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5C7DEBFB" w14:textId="0C8B1F3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65D2E29C"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AC362E" w:rsidP="00C77C98" w:rsidRDefault="00AC362E" w14:paraId="664C601F" w14:textId="0D92110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w:t>
            </w:r>
          </w:p>
        </w:tc>
      </w:tr>
      <w:tr w:rsidRPr="00885286" w:rsidR="00AC362E" w:rsidTr="00C77C98" w14:paraId="5BD37E9B"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6386BBC8"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42DEC996" w14:textId="705DE5F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2,820</w:t>
            </w:r>
          </w:p>
        </w:tc>
        <w:tc>
          <w:tcPr>
            <w:tcW w:w="117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77E868D7"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2A0AE8C8" w14:textId="504DA13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-980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7F91110D" w14:textId="3B3FABD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AC362E" w:rsidP="00C77C98" w:rsidRDefault="00AC362E" w14:paraId="7B481C1A"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AC362E" w:rsidP="00C77C98" w:rsidRDefault="00AC362E" w14:paraId="186AFF5E" w14:textId="76E3BA8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3,800</w:t>
            </w:r>
          </w:p>
        </w:tc>
      </w:tr>
    </w:tbl>
    <w:p w:rsidRPr="00005F14" w:rsidR="00997C77" w:rsidP="00005F14" w:rsidRDefault="00997C77" w14:paraId="6EF9DF20" w14:textId="77777777">
      <w:pPr>
        <w:ind w:left="720"/>
        <w:rPr>
          <w:rFonts w:ascii="Calibri" w:hAnsi="Calibri"/>
          <w:sz w:val="22"/>
          <w:szCs w:val="22"/>
        </w:rPr>
      </w:pPr>
    </w:p>
    <w:p w:rsidRPr="00005F14" w:rsidR="00794B3F" w:rsidP="00005F14" w:rsidRDefault="00794B3F" w14:paraId="3EC95F8E" w14:textId="77777777">
      <w:pPr>
        <w:ind w:left="720"/>
        <w:rPr>
          <w:rFonts w:ascii="Calibri" w:hAnsi="Calibri"/>
          <w:sz w:val="22"/>
          <w:szCs w:val="22"/>
        </w:rPr>
      </w:pPr>
    </w:p>
    <w:p w:rsidRPr="00E2237D" w:rsidR="00794B3F" w:rsidP="00E2237D" w:rsidRDefault="00794B3F" w14:paraId="4E639FC7"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PLANS FOR TABULATION, STATISTICAL ANALYSIS AND PUBLICATION </w:t>
      </w:r>
    </w:p>
    <w:p w:rsidRPr="00005F14" w:rsidR="00794B3F" w:rsidP="00005F14" w:rsidRDefault="00794B3F" w14:paraId="5EF58349" w14:textId="77777777">
      <w:pPr>
        <w:ind w:left="720"/>
        <w:rPr>
          <w:rFonts w:ascii="Calibri" w:hAnsi="Calibri"/>
          <w:sz w:val="22"/>
          <w:szCs w:val="22"/>
        </w:rPr>
      </w:pPr>
    </w:p>
    <w:p w:rsidRPr="00005F14" w:rsidR="00794B3F" w:rsidP="00005F14" w:rsidRDefault="00B212E1" w14:paraId="0BBA7A3D" w14:textId="77777777">
      <w:pPr>
        <w:ind w:left="720"/>
        <w:rPr>
          <w:rFonts w:ascii="Calibri" w:hAnsi="Calibri"/>
          <w:sz w:val="22"/>
          <w:szCs w:val="22"/>
        </w:rPr>
      </w:pPr>
      <w:r w:rsidRPr="00005F14">
        <w:rPr>
          <w:rFonts w:ascii="Calibri" w:hAnsi="Calibri"/>
          <w:sz w:val="22"/>
          <w:szCs w:val="22"/>
        </w:rPr>
        <w:t>There are no plans for tabulation, statistical analysis and publication</w:t>
      </w:r>
      <w:r w:rsidRPr="00005F14" w:rsidR="00794B3F">
        <w:rPr>
          <w:rFonts w:ascii="Calibri" w:hAnsi="Calibri"/>
          <w:sz w:val="22"/>
          <w:szCs w:val="22"/>
        </w:rPr>
        <w:t>.</w:t>
      </w:r>
    </w:p>
    <w:p w:rsidRPr="00005F14" w:rsidR="00794B3F" w:rsidP="00005F14" w:rsidRDefault="00794B3F" w14:paraId="0BF02D29" w14:textId="77777777">
      <w:pPr>
        <w:ind w:left="720"/>
        <w:rPr>
          <w:rFonts w:ascii="Calibri" w:hAnsi="Calibri"/>
          <w:sz w:val="22"/>
          <w:szCs w:val="22"/>
        </w:rPr>
      </w:pPr>
    </w:p>
    <w:p w:rsidRPr="00E2237D" w:rsidR="00794B3F" w:rsidP="00E2237D" w:rsidRDefault="00794B3F" w14:paraId="18013DD0"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REASONS WHY DISPLAYING THE OMB EXPIRATION DATE IS INAPPROPRIATE </w:t>
      </w:r>
    </w:p>
    <w:p w:rsidRPr="00005F14" w:rsidR="00794B3F" w:rsidP="00005F14" w:rsidRDefault="00794B3F" w14:paraId="02AD05B8" w14:textId="77777777">
      <w:pPr>
        <w:ind w:left="720"/>
        <w:rPr>
          <w:rFonts w:ascii="Calibri" w:hAnsi="Calibri"/>
          <w:sz w:val="22"/>
          <w:szCs w:val="22"/>
        </w:rPr>
      </w:pPr>
    </w:p>
    <w:p w:rsidRPr="00005F14" w:rsidR="00794B3F" w:rsidP="00005F14" w:rsidRDefault="00AC362E" w14:paraId="42C11D50" w14:textId="5D945ED7">
      <w:pPr>
        <w:ind w:left="720"/>
        <w:rPr>
          <w:rFonts w:ascii="Calibri" w:hAnsi="Calibri"/>
          <w:sz w:val="22"/>
          <w:szCs w:val="22"/>
        </w:rPr>
      </w:pPr>
      <w:bookmarkStart w:name="_Hlk91075794" w:id="8"/>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w:t>
      </w:r>
      <w:r w:rsidRPr="00453AD3">
        <w:rPr>
          <w:rFonts w:asciiTheme="minorHAnsi" w:hAnsiTheme="minorHAnsi"/>
          <w:sz w:val="22"/>
          <w:szCs w:val="22"/>
        </w:rPr>
        <w:t xml:space="preserve"> sunsets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8"/>
    </w:p>
    <w:p w:rsidRPr="00005F14" w:rsidR="009B27ED" w:rsidP="00005F14" w:rsidRDefault="009B27ED" w14:paraId="058E6C1F" w14:textId="77777777">
      <w:pPr>
        <w:ind w:left="720"/>
        <w:rPr>
          <w:rFonts w:ascii="Calibri" w:hAnsi="Calibri"/>
          <w:sz w:val="22"/>
          <w:szCs w:val="22"/>
        </w:rPr>
      </w:pPr>
    </w:p>
    <w:p w:rsidRPr="00E2237D" w:rsidR="00794B3F" w:rsidP="00E2237D" w:rsidRDefault="00794B3F" w14:paraId="43D69483" w14:textId="77777777">
      <w:pPr>
        <w:pStyle w:val="Level1"/>
        <w:numPr>
          <w:ilvl w:val="0"/>
          <w:numId w:val="1"/>
        </w:numPr>
        <w:tabs>
          <w:tab w:val="left" w:pos="-1440"/>
          <w:tab w:val="num" w:pos="720"/>
        </w:tabs>
        <w:ind w:hanging="720"/>
        <w:rPr>
          <w:rFonts w:ascii="Calibri" w:hAnsi="Calibri"/>
          <w:bCs/>
          <w:sz w:val="22"/>
          <w:szCs w:val="22"/>
          <w:u w:val="single"/>
        </w:rPr>
      </w:pPr>
      <w:r w:rsidRPr="00E2237D">
        <w:rPr>
          <w:rFonts w:ascii="Calibri" w:hAnsi="Calibri"/>
          <w:bCs/>
          <w:sz w:val="22"/>
          <w:szCs w:val="22"/>
          <w:u w:val="single"/>
        </w:rPr>
        <w:t xml:space="preserve">EXCEPTIONS TO THE CERTIFICATION STATEMENT </w:t>
      </w:r>
    </w:p>
    <w:p w:rsidRPr="00005F14" w:rsidR="00794B3F" w:rsidP="00005F14" w:rsidRDefault="00794B3F" w14:paraId="1A0C48B9" w14:textId="77777777">
      <w:pPr>
        <w:ind w:left="720"/>
        <w:rPr>
          <w:rFonts w:ascii="Calibri" w:hAnsi="Calibri"/>
          <w:sz w:val="22"/>
          <w:szCs w:val="22"/>
        </w:rPr>
      </w:pPr>
    </w:p>
    <w:p w:rsidRPr="00453AD3" w:rsidR="00AC362E" w:rsidP="00AC362E" w:rsidRDefault="00AC362E" w14:paraId="26FAF744" w14:textId="77777777">
      <w:pPr>
        <w:ind w:left="720"/>
        <w:rPr>
          <w:rFonts w:asciiTheme="minorHAnsi" w:hAnsiTheme="minorHAnsi"/>
          <w:sz w:val="22"/>
          <w:szCs w:val="22"/>
        </w:rPr>
      </w:pPr>
      <w:bookmarkStart w:name="_Hlk95714878" w:id="9"/>
      <w:r w:rsidRPr="00453AD3">
        <w:rPr>
          <w:rFonts w:asciiTheme="minorHAnsi" w:hAnsiTheme="minorHAnsi"/>
          <w:sz w:val="22"/>
          <w:szCs w:val="22"/>
        </w:rPr>
        <w:t>There are no exceptions to the certification statement.</w:t>
      </w:r>
    </w:p>
    <w:p w:rsidRPr="00453AD3" w:rsidR="00AC362E" w:rsidP="00AC362E" w:rsidRDefault="00AC362E" w14:paraId="04ECA15B" w14:textId="77777777">
      <w:pPr>
        <w:ind w:left="720"/>
        <w:rPr>
          <w:rFonts w:asciiTheme="minorHAnsi" w:hAnsiTheme="minorHAnsi"/>
          <w:sz w:val="22"/>
          <w:szCs w:val="22"/>
        </w:rPr>
      </w:pPr>
    </w:p>
    <w:p w:rsidRPr="00453AD3" w:rsidR="00AC362E" w:rsidP="00AC362E" w:rsidRDefault="00AC362E" w14:paraId="04F6D5A3"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AC362E" w:rsidP="00AC362E" w:rsidRDefault="00AC362E" w14:paraId="0C6E7CD3" w14:textId="77777777">
      <w:pPr>
        <w:ind w:left="720"/>
        <w:rPr>
          <w:rFonts w:asciiTheme="minorHAnsi" w:hAnsiTheme="minorHAnsi"/>
          <w:sz w:val="22"/>
          <w:szCs w:val="22"/>
        </w:rPr>
      </w:pPr>
    </w:p>
    <w:p w:rsidRPr="00005F14" w:rsidR="00794B3F" w:rsidP="00AC362E" w:rsidRDefault="00AC362E" w14:paraId="64C48D16" w14:textId="05B75D62">
      <w:pPr>
        <w:ind w:left="720"/>
        <w:rPr>
          <w:rFonts w:ascii="Calibri" w:hAnsi="Calibr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9"/>
    </w:p>
    <w:p w:rsidRPr="00AC362E" w:rsidR="00794B3F" w:rsidP="00AC362E" w:rsidRDefault="00794B3F" w14:paraId="431381A1" w14:textId="3C3F04F3">
      <w:pPr>
        <w:rPr>
          <w:rFonts w:ascii="Calibri" w:hAnsi="Calibri"/>
          <w:sz w:val="22"/>
          <w:szCs w:val="22"/>
        </w:rPr>
      </w:pPr>
    </w:p>
    <w:sectPr w:rsidRPr="00AC362E" w:rsidR="00794B3F" w:rsidSect="00AC362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3650" w14:textId="77777777" w:rsidR="00285111" w:rsidRDefault="00285111" w:rsidP="00794B3F">
      <w:r>
        <w:separator/>
      </w:r>
    </w:p>
  </w:endnote>
  <w:endnote w:type="continuationSeparator" w:id="0">
    <w:p w14:paraId="339C6603" w14:textId="77777777" w:rsidR="00285111" w:rsidRDefault="00285111" w:rsidP="007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E30A" w14:textId="77777777" w:rsidR="00285111" w:rsidRDefault="00285111" w:rsidP="00794B3F">
      <w:r>
        <w:separator/>
      </w:r>
    </w:p>
  </w:footnote>
  <w:footnote w:type="continuationSeparator" w:id="0">
    <w:p w14:paraId="582F0205" w14:textId="77777777" w:rsidR="00285111" w:rsidRDefault="00285111" w:rsidP="0079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277474"/>
      <w:docPartObj>
        <w:docPartGallery w:val="Page Numbers (Top of Page)"/>
        <w:docPartUnique/>
      </w:docPartObj>
    </w:sdtPr>
    <w:sdtEndPr>
      <w:rPr>
        <w:noProof/>
      </w:rPr>
    </w:sdtEndPr>
    <w:sdtContent>
      <w:p w14:paraId="5426DD06" w14:textId="2304964A" w:rsidR="00AC362E" w:rsidRDefault="00AC36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E19956" w14:textId="77777777" w:rsidR="00AC362E" w:rsidRDefault="00AC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F1743"/>
    <w:multiLevelType w:val="hybridMultilevel"/>
    <w:tmpl w:val="13CC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3F"/>
    <w:rsid w:val="00001ED6"/>
    <w:rsid w:val="00005F14"/>
    <w:rsid w:val="0000669F"/>
    <w:rsid w:val="0001108A"/>
    <w:rsid w:val="000D0586"/>
    <w:rsid w:val="001A13C7"/>
    <w:rsid w:val="001F3254"/>
    <w:rsid w:val="0024263C"/>
    <w:rsid w:val="00285111"/>
    <w:rsid w:val="00286546"/>
    <w:rsid w:val="00290AFC"/>
    <w:rsid w:val="002A5A43"/>
    <w:rsid w:val="002B6E78"/>
    <w:rsid w:val="002E69D8"/>
    <w:rsid w:val="00340C9D"/>
    <w:rsid w:val="00376E05"/>
    <w:rsid w:val="00391EDD"/>
    <w:rsid w:val="003948EA"/>
    <w:rsid w:val="003B721D"/>
    <w:rsid w:val="003D69CE"/>
    <w:rsid w:val="003E1BA0"/>
    <w:rsid w:val="00464045"/>
    <w:rsid w:val="004F1C54"/>
    <w:rsid w:val="005C2DC9"/>
    <w:rsid w:val="005C4332"/>
    <w:rsid w:val="00643600"/>
    <w:rsid w:val="006964C7"/>
    <w:rsid w:val="006C39A1"/>
    <w:rsid w:val="006E55FE"/>
    <w:rsid w:val="007014B7"/>
    <w:rsid w:val="007249AE"/>
    <w:rsid w:val="007653FB"/>
    <w:rsid w:val="00767962"/>
    <w:rsid w:val="00790091"/>
    <w:rsid w:val="00794B3F"/>
    <w:rsid w:val="007B32F9"/>
    <w:rsid w:val="00894624"/>
    <w:rsid w:val="008E0FD4"/>
    <w:rsid w:val="008F18B1"/>
    <w:rsid w:val="009203C1"/>
    <w:rsid w:val="0092789D"/>
    <w:rsid w:val="00966085"/>
    <w:rsid w:val="00997C77"/>
    <w:rsid w:val="009B27ED"/>
    <w:rsid w:val="00A4667A"/>
    <w:rsid w:val="00A857AA"/>
    <w:rsid w:val="00AC362E"/>
    <w:rsid w:val="00B212E1"/>
    <w:rsid w:val="00B22519"/>
    <w:rsid w:val="00B91BFE"/>
    <w:rsid w:val="00BD68CF"/>
    <w:rsid w:val="00BE2FF6"/>
    <w:rsid w:val="00C16AFC"/>
    <w:rsid w:val="00C17E10"/>
    <w:rsid w:val="00CB06AF"/>
    <w:rsid w:val="00CB400A"/>
    <w:rsid w:val="00D920EC"/>
    <w:rsid w:val="00DB0C94"/>
    <w:rsid w:val="00DD17FC"/>
    <w:rsid w:val="00E2237D"/>
    <w:rsid w:val="00E378C3"/>
    <w:rsid w:val="00E911C8"/>
    <w:rsid w:val="00EB435C"/>
    <w:rsid w:val="00F226E2"/>
    <w:rsid w:val="00FC5CEF"/>
    <w:rsid w:val="00FD0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488C"/>
  <w15:docId w15:val="{246DA655-154B-40C8-A2CC-4D2785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semiHidden/>
    <w:unhideWhenUsed/>
    <w:rsid w:val="00767962"/>
    <w:rPr>
      <w:color w:val="0000FF"/>
      <w:u w:val="single"/>
    </w:rPr>
  </w:style>
  <w:style w:type="paragraph" w:customStyle="1" w:styleId="Level1">
    <w:name w:val="Level 1"/>
    <w:basedOn w:val="Normal"/>
    <w:rsid w:val="00E2237D"/>
    <w:pPr>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2560">
      <w:bodyDiv w:val="1"/>
      <w:marLeft w:val="0"/>
      <w:marRight w:val="0"/>
      <w:marTop w:val="0"/>
      <w:marBottom w:val="0"/>
      <w:divBdr>
        <w:top w:val="none" w:sz="0" w:space="0" w:color="auto"/>
        <w:left w:val="none" w:sz="0" w:space="0" w:color="auto"/>
        <w:bottom w:val="none" w:sz="0" w:space="0" w:color="auto"/>
        <w:right w:val="none" w:sz="0" w:space="0" w:color="auto"/>
      </w:divBdr>
    </w:div>
    <w:div w:id="1014305925">
      <w:bodyDiv w:val="1"/>
      <w:marLeft w:val="0"/>
      <w:marRight w:val="0"/>
      <w:marTop w:val="0"/>
      <w:marBottom w:val="0"/>
      <w:divBdr>
        <w:top w:val="none" w:sz="0" w:space="0" w:color="auto"/>
        <w:left w:val="none" w:sz="0" w:space="0" w:color="auto"/>
        <w:bottom w:val="none" w:sz="0" w:space="0" w:color="auto"/>
        <w:right w:val="none" w:sz="0" w:space="0" w:color="auto"/>
      </w:divBdr>
    </w:div>
    <w:div w:id="1174808255">
      <w:bodyDiv w:val="1"/>
      <w:marLeft w:val="0"/>
      <w:marRight w:val="0"/>
      <w:marTop w:val="0"/>
      <w:marBottom w:val="0"/>
      <w:divBdr>
        <w:top w:val="none" w:sz="0" w:space="0" w:color="auto"/>
        <w:left w:val="none" w:sz="0" w:space="0" w:color="auto"/>
        <w:bottom w:val="none" w:sz="0" w:space="0" w:color="auto"/>
        <w:right w:val="none" w:sz="0" w:space="0" w:color="auto"/>
      </w:divBdr>
    </w:div>
    <w:div w:id="1617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5</cp:revision>
  <cp:lastPrinted>2018-11-27T18:03:00Z</cp:lastPrinted>
  <dcterms:created xsi:type="dcterms:W3CDTF">2022-04-26T13:23:00Z</dcterms:created>
  <dcterms:modified xsi:type="dcterms:W3CDTF">2022-07-06T17:15:00Z</dcterms:modified>
</cp:coreProperties>
</file>