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737B" w:rsidR="009B33D9" w:rsidRDefault="009B33D9" w14:paraId="5227DE90" w14:textId="77777777">
      <w:pPr>
        <w:pStyle w:val="Title"/>
        <w:rPr>
          <w:rFonts w:ascii="Arial" w:hAnsi="Arial" w:cs="Arial"/>
          <w:sz w:val="24"/>
          <w:szCs w:val="24"/>
        </w:rPr>
      </w:pPr>
      <w:r w:rsidRPr="001D737B">
        <w:rPr>
          <w:rFonts w:ascii="Arial" w:hAnsi="Arial" w:cs="Arial"/>
          <w:sz w:val="24"/>
          <w:szCs w:val="24"/>
        </w:rPr>
        <w:t>Supporting Statement</w:t>
      </w:r>
    </w:p>
    <w:p w:rsidRPr="001D737B" w:rsidR="009B33D9" w:rsidRDefault="009B33D9" w14:paraId="5E92242F" w14:textId="77777777">
      <w:pPr>
        <w:widowControl w:val="0"/>
        <w:tabs>
          <w:tab w:val="left" w:pos="1008"/>
          <w:tab w:val="center" w:pos="4752"/>
          <w:tab w:val="left" w:pos="5040"/>
        </w:tabs>
        <w:jc w:val="center"/>
        <w:rPr>
          <w:rFonts w:ascii="Arial" w:hAnsi="Arial" w:cs="Arial"/>
          <w:b/>
          <w:sz w:val="24"/>
          <w:szCs w:val="24"/>
        </w:rPr>
      </w:pPr>
      <w:r w:rsidRPr="001D737B">
        <w:rPr>
          <w:rFonts w:ascii="Arial" w:hAnsi="Arial" w:cs="Arial"/>
          <w:b/>
          <w:sz w:val="24"/>
          <w:szCs w:val="24"/>
        </w:rPr>
        <w:t>for</w:t>
      </w:r>
    </w:p>
    <w:p w:rsidRPr="001D737B" w:rsidR="009B33D9" w:rsidRDefault="009B33D9" w14:paraId="2783122A" w14:textId="77777777">
      <w:pPr>
        <w:widowControl w:val="0"/>
        <w:tabs>
          <w:tab w:val="left" w:pos="1008"/>
          <w:tab w:val="center" w:pos="4752"/>
          <w:tab w:val="left" w:pos="5040"/>
        </w:tabs>
        <w:jc w:val="center"/>
        <w:rPr>
          <w:rFonts w:ascii="Arial" w:hAnsi="Arial" w:cs="Arial"/>
          <w:sz w:val="24"/>
          <w:szCs w:val="24"/>
        </w:rPr>
      </w:pPr>
      <w:r w:rsidRPr="001D737B">
        <w:rPr>
          <w:rFonts w:ascii="Arial" w:hAnsi="Arial" w:cs="Arial"/>
          <w:b/>
          <w:sz w:val="24"/>
          <w:szCs w:val="24"/>
        </w:rPr>
        <w:t>Declaration of Inspection Before Transfer</w:t>
      </w:r>
      <w:r w:rsidR="009550F6">
        <w:rPr>
          <w:rFonts w:ascii="Arial" w:hAnsi="Arial" w:cs="Arial"/>
          <w:b/>
          <w:sz w:val="24"/>
          <w:szCs w:val="24"/>
        </w:rPr>
        <w:t xml:space="preserve"> </w:t>
      </w:r>
      <w:r w:rsidRPr="001D737B">
        <w:rPr>
          <w:rFonts w:ascii="Arial" w:hAnsi="Arial" w:cs="Arial"/>
          <w:b/>
          <w:sz w:val="24"/>
          <w:szCs w:val="24"/>
        </w:rPr>
        <w:t>of Liquid Cargo in Bulk</w:t>
      </w:r>
    </w:p>
    <w:p w:rsidRPr="002B02C5" w:rsidR="00465835" w:rsidP="00465835" w:rsidRDefault="00465835" w14:paraId="6A5CAF18" w14:textId="77777777">
      <w:pPr>
        <w:jc w:val="center"/>
        <w:rPr>
          <w:rFonts w:ascii="Arial" w:hAnsi="Arial" w:cs="Arial"/>
          <w:sz w:val="16"/>
          <w:szCs w:val="16"/>
        </w:rPr>
      </w:pPr>
    </w:p>
    <w:p w:rsidRPr="001D737B" w:rsidR="004718A3" w:rsidP="004718A3" w:rsidRDefault="004718A3" w14:paraId="00B623C2" w14:textId="77777777">
      <w:pPr>
        <w:widowControl w:val="0"/>
        <w:jc w:val="center"/>
        <w:rPr>
          <w:rFonts w:ascii="Arial" w:hAnsi="Arial" w:cs="Arial"/>
        </w:rPr>
      </w:pPr>
      <w:r w:rsidRPr="001D737B">
        <w:rPr>
          <w:rFonts w:ascii="Arial" w:hAnsi="Arial" w:cs="Arial"/>
        </w:rPr>
        <w:t xml:space="preserve">OMB No.: </w:t>
      </w:r>
      <w:r w:rsidRPr="001D737B" w:rsidR="009550F6">
        <w:rPr>
          <w:rFonts w:ascii="Arial" w:hAnsi="Arial" w:cs="Arial"/>
        </w:rPr>
        <w:t xml:space="preserve"> </w:t>
      </w:r>
      <w:r w:rsidRPr="001D737B">
        <w:rPr>
          <w:rFonts w:ascii="Arial" w:hAnsi="Arial" w:cs="Arial"/>
        </w:rPr>
        <w:t>1625-0039</w:t>
      </w:r>
    </w:p>
    <w:p w:rsidRPr="001D737B" w:rsidR="004718A3" w:rsidP="004718A3" w:rsidRDefault="004718A3" w14:paraId="66867C80" w14:textId="77777777">
      <w:pPr>
        <w:widowControl w:val="0"/>
        <w:jc w:val="center"/>
        <w:rPr>
          <w:rFonts w:ascii="Arial" w:hAnsi="Arial" w:cs="Arial"/>
        </w:rPr>
      </w:pPr>
      <w:r w:rsidRPr="001D737B">
        <w:rPr>
          <w:rFonts w:ascii="Arial" w:hAnsi="Arial" w:cs="Arial"/>
        </w:rPr>
        <w:t xml:space="preserve">COLLECTION INSTRUMENTS:  Instruction </w:t>
      </w:r>
    </w:p>
    <w:p w:rsidRPr="002B02C5" w:rsidR="00465835" w:rsidP="00465835" w:rsidRDefault="00465835" w14:paraId="50632F17" w14:textId="77777777">
      <w:pPr>
        <w:jc w:val="center"/>
        <w:rPr>
          <w:rFonts w:ascii="Arial" w:hAnsi="Arial" w:cs="Arial"/>
          <w:sz w:val="16"/>
          <w:szCs w:val="16"/>
        </w:rPr>
      </w:pPr>
    </w:p>
    <w:p w:rsidRPr="00465835" w:rsidR="009B33D9" w:rsidP="00465835" w:rsidRDefault="009B33D9" w14:paraId="08125C93" w14:textId="77777777">
      <w:pPr>
        <w:rPr>
          <w:rFonts w:ascii="Arial" w:hAnsi="Arial" w:cs="Arial"/>
          <w:b/>
        </w:rPr>
      </w:pPr>
      <w:r w:rsidRPr="00465835">
        <w:rPr>
          <w:rFonts w:ascii="Arial" w:hAnsi="Arial" w:cs="Arial"/>
          <w:b/>
        </w:rPr>
        <w:t>A.  Justification</w:t>
      </w:r>
    </w:p>
    <w:p w:rsidRPr="00465835" w:rsidR="009B33D9" w:rsidRDefault="009B33D9" w14:paraId="4376375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465835" w:rsidR="009B33D9" w:rsidRDefault="009B33D9" w14:paraId="2936BAF6" w14:textId="77777777">
      <w:pPr>
        <w:widowControl w:val="0"/>
        <w:ind w:left="540" w:hanging="540"/>
        <w:rPr>
          <w:rFonts w:ascii="Arial" w:hAnsi="Arial" w:cs="Arial"/>
        </w:rPr>
      </w:pPr>
      <w:r w:rsidRPr="00465835">
        <w:rPr>
          <w:rFonts w:ascii="Arial" w:hAnsi="Arial" w:cs="Arial"/>
        </w:rPr>
        <w:t xml:space="preserve">1.  </w:t>
      </w:r>
      <w:r w:rsidRPr="00465835">
        <w:rPr>
          <w:rFonts w:ascii="Arial" w:hAnsi="Arial" w:cs="Arial"/>
          <w:u w:val="single"/>
        </w:rPr>
        <w:t>Circumstances that make the collection of information necessary</w:t>
      </w:r>
      <w:r w:rsidRPr="00465835">
        <w:rPr>
          <w:rFonts w:ascii="Arial" w:hAnsi="Arial" w:cs="Arial"/>
        </w:rPr>
        <w:t>.</w:t>
      </w:r>
      <w:r w:rsidR="00465835">
        <w:rPr>
          <w:rFonts w:ascii="Arial" w:hAnsi="Arial" w:cs="Arial"/>
        </w:rPr>
        <w:t xml:space="preserve">  </w:t>
      </w:r>
    </w:p>
    <w:p w:rsidRPr="00465835" w:rsidR="009B33D9" w:rsidRDefault="009B33D9" w14:paraId="33AF307B" w14:textId="77777777">
      <w:pPr>
        <w:widowControl w:val="0"/>
        <w:tabs>
          <w:tab w:val="left" w:pos="576"/>
          <w:tab w:val="left" w:pos="1440"/>
        </w:tabs>
        <w:rPr>
          <w:rFonts w:ascii="Arial" w:hAnsi="Arial" w:cs="Arial"/>
        </w:rPr>
      </w:pPr>
    </w:p>
    <w:p w:rsidRPr="00465835" w:rsidR="009B33D9" w:rsidRDefault="009B33D9" w14:paraId="62E3B29A" w14:textId="77777777">
      <w:pPr>
        <w:pStyle w:val="BodyText"/>
        <w:tabs>
          <w:tab w:val="clear" w:pos="576"/>
          <w:tab w:val="left" w:pos="900"/>
        </w:tabs>
        <w:rPr>
          <w:rFonts w:ascii="Arial" w:hAnsi="Arial" w:cs="Arial"/>
          <w:sz w:val="20"/>
        </w:rPr>
      </w:pPr>
      <w:r w:rsidRPr="00465835">
        <w:rPr>
          <w:rFonts w:ascii="Arial" w:hAnsi="Arial" w:cs="Arial"/>
          <w:sz w:val="20"/>
        </w:rPr>
        <w:t xml:space="preserve">Title </w:t>
      </w:r>
      <w:r w:rsidR="004466C0">
        <w:rPr>
          <w:rFonts w:ascii="Arial" w:hAnsi="Arial" w:cs="Arial"/>
          <w:sz w:val="20"/>
        </w:rPr>
        <w:t>46</w:t>
      </w:r>
      <w:r w:rsidRPr="00465835">
        <w:rPr>
          <w:rFonts w:ascii="Arial" w:hAnsi="Arial" w:cs="Arial"/>
          <w:sz w:val="20"/>
        </w:rPr>
        <w:t xml:space="preserve"> U.S.</w:t>
      </w:r>
      <w:r w:rsidR="004466C0">
        <w:rPr>
          <w:rFonts w:ascii="Arial" w:hAnsi="Arial" w:cs="Arial"/>
          <w:sz w:val="20"/>
        </w:rPr>
        <w:t xml:space="preserve"> </w:t>
      </w:r>
      <w:r w:rsidRPr="00465835">
        <w:rPr>
          <w:rFonts w:ascii="Arial" w:hAnsi="Arial" w:cs="Arial"/>
          <w:sz w:val="20"/>
        </w:rPr>
        <w:t>C</w:t>
      </w:r>
      <w:r w:rsidR="004466C0">
        <w:rPr>
          <w:rFonts w:ascii="Arial" w:hAnsi="Arial" w:cs="Arial"/>
          <w:sz w:val="20"/>
        </w:rPr>
        <w:t>ode (U.S.C</w:t>
      </w:r>
      <w:r w:rsidRPr="00465835">
        <w:rPr>
          <w:rFonts w:ascii="Arial" w:hAnsi="Arial" w:cs="Arial"/>
          <w:sz w:val="20"/>
        </w:rPr>
        <w:t>.</w:t>
      </w:r>
      <w:r w:rsidR="004466C0">
        <w:rPr>
          <w:rFonts w:ascii="Arial" w:hAnsi="Arial" w:cs="Arial"/>
          <w:sz w:val="20"/>
        </w:rPr>
        <w:t>)</w:t>
      </w:r>
      <w:r w:rsidRPr="00465835">
        <w:rPr>
          <w:rFonts w:ascii="Arial" w:hAnsi="Arial" w:cs="Arial"/>
          <w:sz w:val="20"/>
        </w:rPr>
        <w:t xml:space="preserve"> 3703 </w:t>
      </w:r>
      <w:r w:rsidR="004466C0">
        <w:rPr>
          <w:rFonts w:ascii="Arial" w:hAnsi="Arial" w:cs="Arial"/>
          <w:sz w:val="20"/>
        </w:rPr>
        <w:t xml:space="preserve">and 70011 </w:t>
      </w:r>
      <w:r w:rsidRPr="00465835">
        <w:rPr>
          <w:rFonts w:ascii="Arial" w:hAnsi="Arial" w:cs="Arial"/>
          <w:sz w:val="20"/>
        </w:rPr>
        <w:t>authorize</w:t>
      </w:r>
      <w:r w:rsidRPr="00465835" w:rsidR="008B6E65">
        <w:rPr>
          <w:rFonts w:ascii="Arial" w:hAnsi="Arial" w:cs="Arial"/>
          <w:sz w:val="20"/>
        </w:rPr>
        <w:t>d</w:t>
      </w:r>
      <w:r w:rsidRPr="00465835">
        <w:rPr>
          <w:rFonts w:ascii="Arial" w:hAnsi="Arial" w:cs="Arial"/>
          <w:sz w:val="20"/>
        </w:rPr>
        <w:t xml:space="preserve"> the Coast Guard to establish procedures, methods, and equipment requirements to prevent damage to vessels and facilities resulting from an unauthorized discharge of oil or hazardous substances into the environment.  The Declaration of Inspection (DOI) is required to ensure safety during transfer of liquid cargo in 33 Code of Federal Regulations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156.150 and 46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35.35-30.  A Person-in-Charge (</w:t>
      </w:r>
      <w:smartTag w:uri="urn:schemas-microsoft-com:office:smarttags" w:element="stockticker">
        <w:r w:rsidRPr="00465835">
          <w:rPr>
            <w:rFonts w:ascii="Arial" w:hAnsi="Arial" w:cs="Arial"/>
            <w:sz w:val="20"/>
          </w:rPr>
          <w:t>PIC</w:t>
        </w:r>
      </w:smartTag>
      <w:r w:rsidRPr="00465835">
        <w:rPr>
          <w:rFonts w:ascii="Arial" w:hAnsi="Arial" w:cs="Arial"/>
          <w:sz w:val="20"/>
        </w:rPr>
        <w:t xml:space="preserve">) designated under 33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154.710 and 155.700 completes the DOI for each bulk transfer conducted.  A copy of the DOI must be kept on board the vessel and facility for one month from the date of signature.  </w:t>
      </w:r>
    </w:p>
    <w:p w:rsidRPr="00465835" w:rsidR="009B33D9" w:rsidRDefault="009B33D9" w14:paraId="5447A891" w14:textId="77777777">
      <w:pPr>
        <w:pStyle w:val="BodyText"/>
        <w:tabs>
          <w:tab w:val="clear" w:pos="576"/>
          <w:tab w:val="left" w:pos="900"/>
        </w:tabs>
        <w:rPr>
          <w:rFonts w:ascii="Arial" w:hAnsi="Arial" w:cs="Arial"/>
          <w:sz w:val="20"/>
        </w:rPr>
      </w:pPr>
    </w:p>
    <w:p w:rsidRPr="00465835" w:rsidR="009B33D9" w:rsidRDefault="009B33D9" w14:paraId="5C1AAEB9" w14:textId="77777777">
      <w:pPr>
        <w:pStyle w:val="BodyText"/>
        <w:tabs>
          <w:tab w:val="clear" w:pos="576"/>
          <w:tab w:val="left" w:pos="900"/>
        </w:tabs>
        <w:rPr>
          <w:rFonts w:ascii="Arial" w:hAnsi="Arial" w:cs="Arial"/>
          <w:sz w:val="20"/>
        </w:rPr>
      </w:pPr>
      <w:r w:rsidRPr="00465835">
        <w:rPr>
          <w:rFonts w:ascii="Arial" w:hAnsi="Arial" w:cs="Arial"/>
          <w:sz w:val="20"/>
        </w:rPr>
        <w:t>Coast Guard personnel, under the direct supervision of the Captain of the Port (COTP), conduct regulatory compliance inspections of vessels and facilities that transfer oil and hazardous materials in bulk.  The DOI is checked to ensure compliance and to determine culpability in spill and accident investigations.</w:t>
      </w:r>
    </w:p>
    <w:p w:rsidRPr="00465835" w:rsidR="009B33D9" w:rsidRDefault="009B33D9" w14:paraId="06ADC634" w14:textId="77777777">
      <w:pPr>
        <w:widowControl w:val="0"/>
        <w:tabs>
          <w:tab w:val="left" w:pos="540"/>
          <w:tab w:val="left" w:pos="1440"/>
        </w:tabs>
        <w:rPr>
          <w:rFonts w:ascii="Arial" w:hAnsi="Arial" w:cs="Arial"/>
        </w:rPr>
      </w:pPr>
    </w:p>
    <w:p w:rsidR="004466C0" w:rsidRDefault="004466C0" w14:paraId="539967F2" w14:textId="77777777">
      <w:pPr>
        <w:widowControl w:val="0"/>
        <w:tabs>
          <w:tab w:val="left" w:pos="585"/>
          <w:tab w:val="left" w:pos="1440"/>
        </w:tabs>
        <w:rPr>
          <w:rFonts w:ascii="Arial" w:hAnsi="Arial" w:cs="Arial"/>
        </w:rPr>
      </w:pPr>
      <w:r>
        <w:rPr>
          <w:rFonts w:ascii="Arial" w:hAnsi="Arial" w:cs="Arial"/>
        </w:rPr>
        <w:t xml:space="preserve">The statutory authority is 46 U.S.C. 3703 and 70011.  </w:t>
      </w:r>
    </w:p>
    <w:p w:rsidRPr="00465835" w:rsidR="009B33D9" w:rsidRDefault="009B33D9" w14:paraId="3F358B73" w14:textId="77777777">
      <w:pPr>
        <w:widowControl w:val="0"/>
        <w:tabs>
          <w:tab w:val="left" w:pos="585"/>
          <w:tab w:val="left" w:pos="1440"/>
        </w:tabs>
        <w:rPr>
          <w:rFonts w:ascii="Arial" w:hAnsi="Arial" w:cs="Arial"/>
        </w:rPr>
      </w:pPr>
    </w:p>
    <w:p w:rsidRPr="00465835" w:rsidR="009B33D9" w:rsidRDefault="009B33D9" w14:paraId="0433A122" w14:textId="77777777">
      <w:pPr>
        <w:widowControl w:val="0"/>
        <w:rPr>
          <w:rFonts w:ascii="Arial" w:hAnsi="Arial" w:cs="Arial"/>
        </w:rPr>
      </w:pPr>
      <w:r w:rsidRPr="00465835">
        <w:rPr>
          <w:rFonts w:ascii="Arial" w:hAnsi="Arial" w:cs="Arial"/>
        </w:rPr>
        <w:t xml:space="preserve">2.  </w:t>
      </w:r>
      <w:r w:rsidRPr="00880DD6" w:rsidR="00880DD6">
        <w:rPr>
          <w:rFonts w:ascii="Arial" w:hAnsi="Arial" w:cs="Arial"/>
          <w:u w:val="single"/>
        </w:rPr>
        <w:t>Purpose of the information collection</w:t>
      </w:r>
      <w:r w:rsidRPr="00465835">
        <w:rPr>
          <w:rFonts w:ascii="Arial" w:hAnsi="Arial" w:cs="Arial"/>
        </w:rPr>
        <w:t>.</w:t>
      </w:r>
      <w:r w:rsidR="00880DD6">
        <w:rPr>
          <w:rFonts w:ascii="Arial" w:hAnsi="Arial" w:cs="Arial"/>
        </w:rPr>
        <w:t xml:space="preserve">  </w:t>
      </w:r>
    </w:p>
    <w:p w:rsidRPr="00465835" w:rsidR="009B33D9" w:rsidRDefault="009B33D9" w14:paraId="4BB94D79" w14:textId="77777777">
      <w:pPr>
        <w:widowControl w:val="0"/>
        <w:tabs>
          <w:tab w:val="left" w:pos="585"/>
          <w:tab w:val="left" w:pos="1440"/>
        </w:tabs>
        <w:rPr>
          <w:rFonts w:ascii="Arial" w:hAnsi="Arial" w:cs="Arial"/>
        </w:rPr>
      </w:pPr>
    </w:p>
    <w:p w:rsidRPr="00465835" w:rsidR="009B33D9" w:rsidRDefault="009B33D9" w14:paraId="1EDDF6AC" w14:textId="77777777">
      <w:pPr>
        <w:pStyle w:val="BodyText"/>
        <w:tabs>
          <w:tab w:val="left" w:pos="540"/>
        </w:tabs>
        <w:rPr>
          <w:rFonts w:ascii="Arial" w:hAnsi="Arial" w:cs="Arial"/>
          <w:sz w:val="20"/>
        </w:rPr>
      </w:pPr>
      <w:r w:rsidRPr="00465835">
        <w:rPr>
          <w:rFonts w:ascii="Arial" w:hAnsi="Arial" w:cs="Arial"/>
          <w:sz w:val="20"/>
        </w:rPr>
        <w:t>As part of the Coast Guard’s Port Safety and Security Program, this information is used in order to identify potential or actual violations of the regulations.  The DOI must be co</w:t>
      </w:r>
      <w:r w:rsidR="00880DD6">
        <w:rPr>
          <w:rFonts w:ascii="Arial" w:hAnsi="Arial" w:cs="Arial"/>
          <w:sz w:val="20"/>
        </w:rPr>
        <w:t>mpleted</w:t>
      </w:r>
      <w:r w:rsidRPr="00465835">
        <w:rPr>
          <w:rFonts w:ascii="Arial" w:hAnsi="Arial" w:cs="Arial"/>
          <w:sz w:val="20"/>
        </w:rPr>
        <w:t xml:space="preserve"> for the U.S. to ensure compliance with specific procedures to prevent pollution of U.S. waters or damage to vessels and facilities.  If no records were kept, a PIC may not know their responsibilities (in case of foreign nationals working on foreign ships that transfer oil or hazardous materials in bulk in U.S. ports) or they may not follow all of the proper procedures.  The result would be a significant increase in the risk of pollution or damage.  Also, it would be more difficult to ascertain culpability for accidents and spills.</w:t>
      </w:r>
      <w:r w:rsidR="00A863B8">
        <w:rPr>
          <w:rFonts w:ascii="Arial" w:hAnsi="Arial" w:cs="Arial"/>
          <w:sz w:val="20"/>
        </w:rPr>
        <w:t xml:space="preserve">  </w:t>
      </w:r>
    </w:p>
    <w:p w:rsidRPr="00465835" w:rsidR="009B33D9" w:rsidRDefault="009B33D9" w14:paraId="444CE48C" w14:textId="77777777">
      <w:pPr>
        <w:widowControl w:val="0"/>
        <w:tabs>
          <w:tab w:val="left" w:pos="576"/>
          <w:tab w:val="left" w:pos="1440"/>
        </w:tabs>
        <w:ind w:left="540" w:hanging="540"/>
        <w:rPr>
          <w:rFonts w:ascii="Arial" w:hAnsi="Arial" w:cs="Arial"/>
        </w:rPr>
      </w:pPr>
    </w:p>
    <w:p w:rsidRPr="00465835" w:rsidR="009B33D9" w:rsidRDefault="009B33D9" w14:paraId="54E8B450" w14:textId="77777777">
      <w:pPr>
        <w:widowControl w:val="0"/>
        <w:rPr>
          <w:rFonts w:ascii="Arial" w:hAnsi="Arial" w:cs="Arial"/>
        </w:rPr>
      </w:pPr>
      <w:r w:rsidRPr="00465835">
        <w:rPr>
          <w:rFonts w:ascii="Arial" w:hAnsi="Arial" w:cs="Arial"/>
        </w:rPr>
        <w:t xml:space="preserve">3.  </w:t>
      </w:r>
      <w:r w:rsidRPr="00465835">
        <w:rPr>
          <w:rFonts w:ascii="Arial" w:hAnsi="Arial" w:cs="Arial"/>
          <w:u w:val="single"/>
        </w:rPr>
        <w:t>Consideration of the use of improved technology</w:t>
      </w:r>
      <w:r w:rsidRPr="00465835">
        <w:rPr>
          <w:rFonts w:ascii="Arial" w:hAnsi="Arial" w:cs="Arial"/>
        </w:rPr>
        <w:t>.</w:t>
      </w:r>
      <w:r w:rsidR="00880DD6">
        <w:rPr>
          <w:rFonts w:ascii="Arial" w:hAnsi="Arial" w:cs="Arial"/>
        </w:rPr>
        <w:t xml:space="preserve">  </w:t>
      </w:r>
    </w:p>
    <w:p w:rsidRPr="00465835" w:rsidR="009B33D9" w:rsidRDefault="009B33D9" w14:paraId="7E5A38A6" w14:textId="77777777">
      <w:pPr>
        <w:widowControl w:val="0"/>
        <w:tabs>
          <w:tab w:val="left" w:pos="900"/>
        </w:tabs>
        <w:rPr>
          <w:rFonts w:ascii="Arial" w:hAnsi="Arial" w:cs="Arial"/>
        </w:rPr>
      </w:pPr>
    </w:p>
    <w:p w:rsidRPr="00465835" w:rsidR="009B33D9" w:rsidRDefault="00AF5B35" w14:paraId="663C4578" w14:textId="77777777">
      <w:pPr>
        <w:widowControl w:val="0"/>
        <w:tabs>
          <w:tab w:val="left" w:pos="435"/>
          <w:tab w:val="left" w:pos="570"/>
          <w:tab w:val="left" w:pos="1440"/>
        </w:tabs>
        <w:rPr>
          <w:rFonts w:ascii="Arial" w:hAnsi="Arial" w:cs="Arial"/>
        </w:rPr>
      </w:pPr>
      <w:r w:rsidRPr="00465835">
        <w:rPr>
          <w:rFonts w:ascii="Arial" w:hAnsi="Arial" w:cs="Arial"/>
        </w:rPr>
        <w:t>The DOI may be in written or electronic form.</w:t>
      </w:r>
      <w:r w:rsidRPr="00465835" w:rsidR="009B6614">
        <w:rPr>
          <w:rStyle w:val="FootnoteReference"/>
          <w:rFonts w:ascii="Arial" w:hAnsi="Arial" w:cs="Arial"/>
        </w:rPr>
        <w:footnoteReference w:id="1"/>
      </w:r>
      <w:r w:rsidRPr="00465835">
        <w:rPr>
          <w:rFonts w:ascii="Arial" w:hAnsi="Arial" w:cs="Arial"/>
        </w:rPr>
        <w:t xml:space="preserve">  </w:t>
      </w:r>
      <w:r w:rsidRPr="00933254" w:rsidR="00861B4E">
        <w:rPr>
          <w:rFonts w:ascii="Arial" w:hAnsi="Arial" w:cs="Arial"/>
        </w:rPr>
        <w:t>The information is not submitted to the Coast Guard</w:t>
      </w:r>
      <w:r w:rsidR="00861B4E">
        <w:rPr>
          <w:rFonts w:ascii="Arial" w:hAnsi="Arial" w:cs="Arial"/>
        </w:rPr>
        <w:t>;</w:t>
      </w:r>
      <w:r w:rsidRPr="00933254" w:rsidR="00861B4E">
        <w:rPr>
          <w:rFonts w:ascii="Arial" w:hAnsi="Arial" w:cs="Arial"/>
        </w:rPr>
        <w:t xml:space="preserve"> rather </w:t>
      </w:r>
      <w:r w:rsidR="00861B4E">
        <w:rPr>
          <w:rFonts w:ascii="Arial" w:hAnsi="Arial" w:cs="Arial"/>
        </w:rPr>
        <w:t xml:space="preserve">the DOI </w:t>
      </w:r>
      <w:r w:rsidRPr="00933254" w:rsidR="00861B4E">
        <w:rPr>
          <w:rFonts w:ascii="Arial" w:hAnsi="Arial" w:cs="Arial"/>
        </w:rPr>
        <w:t xml:space="preserve">must be </w:t>
      </w:r>
      <w:r w:rsidR="00861B4E">
        <w:rPr>
          <w:rFonts w:ascii="Arial" w:hAnsi="Arial" w:cs="Arial"/>
        </w:rPr>
        <w:t>available for inspection during the transfer and retained for at least 1 month thereafter.</w:t>
      </w:r>
      <w:r w:rsidRPr="00933254" w:rsidR="00861B4E">
        <w:rPr>
          <w:rFonts w:ascii="Arial" w:hAnsi="Arial" w:cs="Arial"/>
        </w:rPr>
        <w:t xml:space="preserve">  </w:t>
      </w:r>
      <w:r w:rsidRPr="00465835">
        <w:rPr>
          <w:rFonts w:ascii="Arial" w:hAnsi="Arial" w:cs="Arial"/>
        </w:rPr>
        <w:t xml:space="preserve">We estimate that </w:t>
      </w:r>
      <w:r w:rsidRPr="00CF76EE" w:rsidR="005A0D18">
        <w:rPr>
          <w:rFonts w:ascii="Arial" w:hAnsi="Arial" w:cs="Arial"/>
        </w:rPr>
        <w:t>5</w:t>
      </w:r>
      <w:r w:rsidRPr="00976A07">
        <w:rPr>
          <w:rFonts w:ascii="Arial" w:hAnsi="Arial" w:cs="Arial"/>
        </w:rPr>
        <w:t xml:space="preserve">% </w:t>
      </w:r>
      <w:r w:rsidRPr="005A0D18">
        <w:rPr>
          <w:rFonts w:ascii="Arial" w:hAnsi="Arial" w:cs="Arial"/>
        </w:rPr>
        <w:t>of DOI</w:t>
      </w:r>
      <w:r w:rsidRPr="005A0D18" w:rsidR="009B6614">
        <w:rPr>
          <w:rFonts w:ascii="Arial" w:hAnsi="Arial" w:cs="Arial"/>
        </w:rPr>
        <w:t xml:space="preserve"> activitie</w:t>
      </w:r>
      <w:r w:rsidRPr="005A0D18">
        <w:rPr>
          <w:rFonts w:ascii="Arial" w:hAnsi="Arial" w:cs="Arial"/>
        </w:rPr>
        <w:t>s are done electronically.</w:t>
      </w:r>
      <w:r w:rsidRPr="00465835">
        <w:rPr>
          <w:rFonts w:ascii="Arial" w:hAnsi="Arial" w:cs="Arial"/>
        </w:rPr>
        <w:t xml:space="preserve">  </w:t>
      </w:r>
    </w:p>
    <w:p w:rsidRPr="00465835" w:rsidR="009B33D9" w:rsidRDefault="009B33D9" w14:paraId="3141EE87" w14:textId="77777777">
      <w:pPr>
        <w:widowControl w:val="0"/>
        <w:numPr>
          <w:ilvl w:val="12"/>
          <w:numId w:val="0"/>
        </w:numPr>
        <w:tabs>
          <w:tab w:val="left" w:pos="570"/>
          <w:tab w:val="left" w:pos="1440"/>
        </w:tabs>
        <w:rPr>
          <w:rFonts w:ascii="Arial" w:hAnsi="Arial" w:cs="Arial"/>
        </w:rPr>
      </w:pPr>
    </w:p>
    <w:p w:rsidRPr="00465835" w:rsidR="009B33D9" w:rsidRDefault="009B33D9" w14:paraId="49687407" w14:textId="77777777">
      <w:pPr>
        <w:widowControl w:val="0"/>
        <w:rPr>
          <w:rFonts w:ascii="Arial" w:hAnsi="Arial" w:cs="Arial"/>
        </w:rPr>
      </w:pPr>
      <w:r w:rsidRPr="00465835">
        <w:rPr>
          <w:rFonts w:ascii="Arial" w:hAnsi="Arial" w:cs="Arial"/>
        </w:rPr>
        <w:t xml:space="preserve">4.  </w:t>
      </w:r>
      <w:r w:rsidRPr="00465835">
        <w:rPr>
          <w:rFonts w:ascii="Arial" w:hAnsi="Arial" w:cs="Arial"/>
          <w:u w:val="single"/>
        </w:rPr>
        <w:t>Efforts to identify duplication</w:t>
      </w:r>
      <w:r w:rsidRPr="00465835">
        <w:rPr>
          <w:rFonts w:ascii="Arial" w:hAnsi="Arial" w:cs="Arial"/>
        </w:rPr>
        <w:t xml:space="preserve">.  </w:t>
      </w:r>
    </w:p>
    <w:p w:rsidRPr="00465835" w:rsidR="009B33D9" w:rsidRDefault="009B33D9" w14:paraId="47381938" w14:textId="77777777">
      <w:pPr>
        <w:widowControl w:val="0"/>
        <w:tabs>
          <w:tab w:val="left" w:pos="576"/>
          <w:tab w:val="left" w:pos="1440"/>
        </w:tabs>
        <w:rPr>
          <w:rFonts w:ascii="Arial" w:hAnsi="Arial" w:cs="Arial"/>
        </w:rPr>
      </w:pPr>
    </w:p>
    <w:p w:rsidRPr="00465835" w:rsidR="009B33D9" w:rsidRDefault="009B33D9" w14:paraId="4E2C49AB" w14:textId="77777777">
      <w:pPr>
        <w:widowControl w:val="0"/>
        <w:tabs>
          <w:tab w:val="left" w:pos="435"/>
          <w:tab w:val="left" w:pos="576"/>
          <w:tab w:val="left" w:pos="1440"/>
        </w:tabs>
        <w:rPr>
          <w:rFonts w:ascii="Arial" w:hAnsi="Arial" w:cs="Arial"/>
        </w:rPr>
      </w:pPr>
      <w:r w:rsidRPr="00465835">
        <w:rPr>
          <w:rFonts w:ascii="Arial" w:hAnsi="Arial" w:cs="Arial"/>
        </w:rPr>
        <w:t xml:space="preserve">The Coast Guard monitors </w:t>
      </w:r>
      <w:r w:rsidRPr="00465835" w:rsidR="003E6D53">
        <w:rPr>
          <w:rFonts w:ascii="Arial" w:hAnsi="Arial" w:cs="Arial"/>
        </w:rPr>
        <w:t xml:space="preserve">State </w:t>
      </w:r>
      <w:r w:rsidRPr="00465835">
        <w:rPr>
          <w:rFonts w:ascii="Arial" w:hAnsi="Arial" w:cs="Arial"/>
        </w:rPr>
        <w:t xml:space="preserve">and local regulatory activity in this field.  No </w:t>
      </w:r>
      <w:r w:rsidRPr="00465835" w:rsidR="0078160C">
        <w:rPr>
          <w:rFonts w:ascii="Arial" w:hAnsi="Arial" w:cs="Arial"/>
        </w:rPr>
        <w:t>State</w:t>
      </w:r>
      <w:r w:rsidRPr="00465835">
        <w:rPr>
          <w:rFonts w:ascii="Arial" w:hAnsi="Arial" w:cs="Arial"/>
        </w:rPr>
        <w:t>, local, or other Federal agencies have been identified that require equivalent information.  No similar information is available.</w:t>
      </w:r>
      <w:r w:rsidR="00A863B8">
        <w:rPr>
          <w:rFonts w:ascii="Arial" w:hAnsi="Arial" w:cs="Arial"/>
        </w:rPr>
        <w:t xml:space="preserve">  </w:t>
      </w:r>
    </w:p>
    <w:p w:rsidRPr="00465835" w:rsidR="009B33D9" w:rsidRDefault="009B33D9" w14:paraId="1412F42C" w14:textId="77777777">
      <w:pPr>
        <w:widowControl w:val="0"/>
        <w:tabs>
          <w:tab w:val="left" w:pos="435"/>
          <w:tab w:val="left" w:pos="576"/>
          <w:tab w:val="left" w:pos="1440"/>
        </w:tabs>
        <w:rPr>
          <w:rFonts w:ascii="Arial" w:hAnsi="Arial" w:cs="Arial"/>
        </w:rPr>
      </w:pPr>
    </w:p>
    <w:p w:rsidRPr="00465835" w:rsidR="009B33D9" w:rsidRDefault="009B33D9" w14:paraId="362E07AA" w14:textId="77777777">
      <w:pPr>
        <w:widowControl w:val="0"/>
        <w:rPr>
          <w:rFonts w:ascii="Arial" w:hAnsi="Arial" w:cs="Arial"/>
        </w:rPr>
      </w:pPr>
      <w:r w:rsidRPr="00465835">
        <w:rPr>
          <w:rFonts w:ascii="Arial" w:hAnsi="Arial" w:cs="Arial"/>
        </w:rPr>
        <w:t xml:space="preserve">5.  </w:t>
      </w:r>
      <w:r w:rsidRPr="00465835">
        <w:rPr>
          <w:rFonts w:ascii="Arial" w:hAnsi="Arial" w:cs="Arial"/>
          <w:u w:val="single"/>
        </w:rPr>
        <w:t>Methods to minimize the burden to small businesses if involved</w:t>
      </w:r>
      <w:r w:rsidRPr="00465835">
        <w:rPr>
          <w:rFonts w:ascii="Arial" w:hAnsi="Arial" w:cs="Arial"/>
        </w:rPr>
        <w:t>.</w:t>
      </w:r>
      <w:r w:rsidR="00484A5A">
        <w:rPr>
          <w:rFonts w:ascii="Arial" w:hAnsi="Arial" w:cs="Arial"/>
        </w:rPr>
        <w:t xml:space="preserve">  </w:t>
      </w:r>
    </w:p>
    <w:p w:rsidRPr="00465835" w:rsidR="009B33D9" w:rsidRDefault="009B33D9" w14:paraId="1EE8C9C5" w14:textId="77777777">
      <w:pPr>
        <w:widowControl w:val="0"/>
        <w:tabs>
          <w:tab w:val="left" w:pos="576"/>
          <w:tab w:val="left" w:pos="1440"/>
        </w:tabs>
        <w:rPr>
          <w:rFonts w:ascii="Arial" w:hAnsi="Arial" w:cs="Arial"/>
        </w:rPr>
      </w:pPr>
    </w:p>
    <w:p w:rsidRPr="00465835" w:rsidR="009B33D9" w:rsidRDefault="00503A85" w14:paraId="63914934" w14:textId="77777777">
      <w:pPr>
        <w:widowControl w:val="0"/>
        <w:tabs>
          <w:tab w:val="left" w:pos="570"/>
          <w:tab w:val="left" w:pos="1440"/>
        </w:tabs>
        <w:rPr>
          <w:rFonts w:ascii="Arial" w:hAnsi="Arial" w:cs="Arial"/>
        </w:rPr>
      </w:pPr>
      <w:r w:rsidRPr="00465835">
        <w:rPr>
          <w:rFonts w:ascii="Arial" w:hAnsi="Arial" w:cs="Arial"/>
        </w:rPr>
        <w:t>This information collection does not have an impact on small businesses or other small entities</w:t>
      </w:r>
      <w:r w:rsidRPr="00465835" w:rsidR="009B33D9">
        <w:rPr>
          <w:rFonts w:ascii="Arial" w:hAnsi="Arial" w:cs="Arial"/>
        </w:rPr>
        <w:t xml:space="preserve">.  </w:t>
      </w:r>
    </w:p>
    <w:p w:rsidRPr="00465835" w:rsidR="009B33D9" w:rsidRDefault="009B33D9" w14:paraId="57B24A66" w14:textId="77777777">
      <w:pPr>
        <w:widowControl w:val="0"/>
        <w:numPr>
          <w:ilvl w:val="12"/>
          <w:numId w:val="0"/>
        </w:numPr>
        <w:tabs>
          <w:tab w:val="left" w:pos="1440"/>
        </w:tabs>
        <w:rPr>
          <w:rFonts w:ascii="Arial" w:hAnsi="Arial" w:cs="Arial"/>
        </w:rPr>
      </w:pPr>
    </w:p>
    <w:p w:rsidRPr="00465835" w:rsidR="009B33D9" w:rsidRDefault="009B33D9" w14:paraId="6DDD0438" w14:textId="77777777">
      <w:pPr>
        <w:widowControl w:val="0"/>
        <w:rPr>
          <w:rFonts w:ascii="Arial" w:hAnsi="Arial" w:cs="Arial"/>
        </w:rPr>
      </w:pPr>
      <w:r w:rsidRPr="00465835">
        <w:rPr>
          <w:rFonts w:ascii="Arial" w:hAnsi="Arial" w:cs="Arial"/>
        </w:rPr>
        <w:t xml:space="preserve">6.  </w:t>
      </w:r>
      <w:r w:rsidRPr="00465835">
        <w:rPr>
          <w:rFonts w:ascii="Arial" w:hAnsi="Arial" w:cs="Arial"/>
          <w:u w:val="single"/>
        </w:rPr>
        <w:t>Consequences to the Federal program if collection were conducted less frequently</w:t>
      </w:r>
      <w:r w:rsidRPr="00465835">
        <w:rPr>
          <w:rFonts w:ascii="Arial" w:hAnsi="Arial" w:cs="Arial"/>
        </w:rPr>
        <w:t>.</w:t>
      </w:r>
      <w:r w:rsidR="00880DD6">
        <w:rPr>
          <w:rFonts w:ascii="Arial" w:hAnsi="Arial" w:cs="Arial"/>
        </w:rPr>
        <w:t xml:space="preserve">  </w:t>
      </w:r>
    </w:p>
    <w:p w:rsidRPr="00465835" w:rsidR="009B33D9" w:rsidRDefault="009B33D9" w14:paraId="52F7B807" w14:textId="77777777">
      <w:pPr>
        <w:widowControl w:val="0"/>
        <w:tabs>
          <w:tab w:val="left" w:pos="576"/>
          <w:tab w:val="left" w:pos="1440"/>
        </w:tabs>
        <w:rPr>
          <w:rFonts w:ascii="Arial" w:hAnsi="Arial" w:cs="Arial"/>
        </w:rPr>
      </w:pPr>
    </w:p>
    <w:p w:rsidRPr="00465835" w:rsidR="009B33D9" w:rsidRDefault="009B33D9" w14:paraId="045BBCBD" w14:textId="77777777">
      <w:pPr>
        <w:widowControl w:val="0"/>
        <w:tabs>
          <w:tab w:val="left" w:pos="576"/>
          <w:tab w:val="left" w:pos="1440"/>
        </w:tabs>
        <w:rPr>
          <w:rFonts w:ascii="Arial" w:hAnsi="Arial" w:cs="Arial"/>
        </w:rPr>
      </w:pPr>
      <w:r w:rsidRPr="00465835">
        <w:rPr>
          <w:rFonts w:ascii="Arial" w:hAnsi="Arial" w:cs="Arial"/>
        </w:rPr>
        <w:lastRenderedPageBreak/>
        <w:t>Presently, a DOI is completed each time a bulk transfer is conducted and is kept for one month following each transfer operation.  Reducing the use of DOIs could be detrimental in determining the causal factor for accidents and spills.  Also, there is the possibility of increased pollution if proper prevention procedures are not followed.</w:t>
      </w:r>
      <w:r w:rsidR="00DB3BBE">
        <w:rPr>
          <w:rFonts w:ascii="Arial" w:hAnsi="Arial" w:cs="Arial"/>
        </w:rPr>
        <w:t xml:space="preserve">  </w:t>
      </w:r>
    </w:p>
    <w:p w:rsidRPr="00465835" w:rsidR="009B33D9" w:rsidRDefault="009B33D9" w14:paraId="4E644A1E" w14:textId="77777777">
      <w:pPr>
        <w:widowControl w:val="0"/>
        <w:tabs>
          <w:tab w:val="left" w:pos="576"/>
          <w:tab w:val="left" w:pos="1440"/>
        </w:tabs>
        <w:rPr>
          <w:rFonts w:ascii="Arial" w:hAnsi="Arial" w:cs="Arial"/>
        </w:rPr>
      </w:pPr>
    </w:p>
    <w:p w:rsidRPr="00465835" w:rsidR="009B33D9" w:rsidRDefault="009B33D9" w14:paraId="787C4839" w14:textId="77777777">
      <w:pPr>
        <w:ind w:left="360" w:hanging="360"/>
        <w:rPr>
          <w:rFonts w:ascii="Arial" w:hAnsi="Arial" w:cs="Arial"/>
        </w:rPr>
      </w:pPr>
      <w:r w:rsidRPr="00465835">
        <w:rPr>
          <w:rFonts w:ascii="Arial" w:hAnsi="Arial" w:cs="Arial"/>
        </w:rPr>
        <w:t xml:space="preserve">7.  </w:t>
      </w:r>
      <w:r w:rsidRPr="00880DD6" w:rsidR="00880DD6">
        <w:rPr>
          <w:rFonts w:ascii="Arial" w:hAnsi="Arial" w:cs="Arial"/>
          <w:u w:val="single"/>
        </w:rPr>
        <w:t>Special collection circumstances</w:t>
      </w:r>
      <w:r w:rsidRPr="00465835">
        <w:rPr>
          <w:rFonts w:ascii="Arial" w:hAnsi="Arial" w:cs="Arial"/>
        </w:rPr>
        <w:t>.</w:t>
      </w:r>
      <w:r w:rsidR="00880DD6">
        <w:rPr>
          <w:rFonts w:ascii="Arial" w:hAnsi="Arial" w:cs="Arial"/>
        </w:rPr>
        <w:t xml:space="preserve">  </w:t>
      </w:r>
    </w:p>
    <w:p w:rsidRPr="00465835" w:rsidR="009B33D9" w:rsidRDefault="009B33D9" w14:paraId="52EB9F0D" w14:textId="77777777">
      <w:pPr>
        <w:widowControl w:val="0"/>
        <w:tabs>
          <w:tab w:val="left" w:pos="576"/>
          <w:tab w:val="left" w:pos="1440"/>
        </w:tabs>
        <w:rPr>
          <w:rFonts w:ascii="Arial" w:hAnsi="Arial" w:cs="Arial"/>
        </w:rPr>
      </w:pPr>
    </w:p>
    <w:p w:rsidRPr="00465835" w:rsidR="009B33D9" w:rsidRDefault="00503A85" w14:paraId="3441A8BD" w14:textId="77777777">
      <w:pPr>
        <w:widowControl w:val="0"/>
        <w:tabs>
          <w:tab w:val="left" w:pos="576"/>
          <w:tab w:val="left" w:pos="1440"/>
        </w:tabs>
        <w:rPr>
          <w:rFonts w:ascii="Arial" w:hAnsi="Arial" w:cs="Arial"/>
        </w:rPr>
      </w:pPr>
      <w:r w:rsidRPr="00465835">
        <w:rPr>
          <w:rFonts w:ascii="Arial" w:hAnsi="Arial" w:cs="Arial"/>
        </w:rPr>
        <w:t>This information collection is conducted in manner consistent with the guidelines in 5 CFR 1320.5(d)(2)</w:t>
      </w:r>
      <w:r w:rsidRPr="00465835" w:rsidR="008B6E65">
        <w:rPr>
          <w:rFonts w:ascii="Arial" w:hAnsi="Arial" w:cs="Arial"/>
        </w:rPr>
        <w:t>.</w:t>
      </w:r>
      <w:r w:rsidR="00515331">
        <w:rPr>
          <w:rFonts w:ascii="Arial" w:hAnsi="Arial" w:cs="Arial"/>
        </w:rPr>
        <w:t xml:space="preserve">  </w:t>
      </w:r>
    </w:p>
    <w:p w:rsidRPr="00465835" w:rsidR="009B33D9" w:rsidRDefault="009B33D9" w14:paraId="55F32D88" w14:textId="77777777">
      <w:pPr>
        <w:widowControl w:val="0"/>
        <w:tabs>
          <w:tab w:val="left" w:pos="576"/>
          <w:tab w:val="left" w:pos="1440"/>
        </w:tabs>
        <w:rPr>
          <w:rFonts w:ascii="Arial" w:hAnsi="Arial" w:cs="Arial"/>
        </w:rPr>
      </w:pPr>
    </w:p>
    <w:p w:rsidRPr="00465835" w:rsidR="009B33D9" w:rsidRDefault="009B33D9" w14:paraId="6D269032" w14:textId="77777777">
      <w:pPr>
        <w:widowControl w:val="0"/>
        <w:rPr>
          <w:rFonts w:ascii="Arial" w:hAnsi="Arial" w:cs="Arial"/>
        </w:rPr>
      </w:pPr>
      <w:r w:rsidRPr="00465835">
        <w:rPr>
          <w:rFonts w:ascii="Arial" w:hAnsi="Arial" w:cs="Arial"/>
        </w:rPr>
        <w:t xml:space="preserve">8.  </w:t>
      </w:r>
      <w:r w:rsidRPr="00465835">
        <w:rPr>
          <w:rFonts w:ascii="Arial" w:hAnsi="Arial" w:cs="Arial"/>
          <w:u w:val="single"/>
        </w:rPr>
        <w:t>Consultation</w:t>
      </w:r>
      <w:r w:rsidRPr="00465835">
        <w:rPr>
          <w:rFonts w:ascii="Arial" w:hAnsi="Arial" w:cs="Arial"/>
        </w:rPr>
        <w:t>.</w:t>
      </w:r>
      <w:r w:rsidR="00DB3BBE">
        <w:rPr>
          <w:rFonts w:ascii="Arial" w:hAnsi="Arial" w:cs="Arial"/>
        </w:rPr>
        <w:t xml:space="preserve">  </w:t>
      </w:r>
    </w:p>
    <w:p w:rsidRPr="00465835" w:rsidR="009B33D9" w:rsidRDefault="009B33D9" w14:paraId="7B76CD8A" w14:textId="77777777">
      <w:pPr>
        <w:widowControl w:val="0"/>
        <w:tabs>
          <w:tab w:val="left" w:pos="576"/>
          <w:tab w:val="left" w:pos="1440"/>
        </w:tabs>
        <w:rPr>
          <w:rFonts w:ascii="Arial" w:hAnsi="Arial" w:cs="Arial"/>
        </w:rPr>
      </w:pPr>
    </w:p>
    <w:p w:rsidRPr="00465835" w:rsidR="009B33D9" w:rsidRDefault="002647E5" w14:paraId="17B81F3F" w14:textId="0E160CC4">
      <w:pPr>
        <w:widowControl w:val="0"/>
        <w:tabs>
          <w:tab w:val="left" w:pos="576"/>
          <w:tab w:val="left" w:pos="1440"/>
        </w:tabs>
        <w:rPr>
          <w:rFonts w:ascii="Arial" w:hAnsi="Arial" w:cs="Arial"/>
        </w:rPr>
      </w:pPr>
      <w:r w:rsidRPr="002647E5">
        <w:rPr>
          <w:rFonts w:ascii="Arial" w:hAnsi="Arial" w:cs="Arial"/>
        </w:rPr>
        <w:t>A 60-day Notice was published in the Federal Register to obtain public comment on this</w:t>
      </w:r>
      <w:r>
        <w:rPr>
          <w:rFonts w:ascii="Arial" w:hAnsi="Arial" w:cs="Arial"/>
        </w:rPr>
        <w:t xml:space="preserve"> collection (See [USCG-2022-0048]; February 8, 2022, 87 FR 7197</w:t>
      </w:r>
      <w:r w:rsidRPr="002647E5">
        <w:rPr>
          <w:rFonts w:ascii="Arial" w:hAnsi="Arial" w:cs="Arial"/>
        </w:rPr>
        <w:t xml:space="preserve">) and 30-Day Notice </w:t>
      </w:r>
      <w:r w:rsidRPr="0079685B">
        <w:rPr>
          <w:rFonts w:ascii="Arial" w:hAnsi="Arial" w:cs="Arial"/>
        </w:rPr>
        <w:t>(</w:t>
      </w:r>
      <w:r w:rsidR="0079685B">
        <w:rPr>
          <w:rFonts w:ascii="Arial" w:hAnsi="Arial" w:cs="Arial"/>
        </w:rPr>
        <w:t>May 1</w:t>
      </w:r>
      <w:r w:rsidRPr="0079685B" w:rsidR="0079685B">
        <w:rPr>
          <w:rFonts w:ascii="Arial" w:hAnsi="Arial" w:cs="Arial"/>
        </w:rPr>
        <w:t>8</w:t>
      </w:r>
      <w:r w:rsidR="0079685B">
        <w:rPr>
          <w:rFonts w:ascii="Arial" w:hAnsi="Arial" w:cs="Arial"/>
        </w:rPr>
        <w:t>,</w:t>
      </w:r>
      <w:bookmarkStart w:name="_GoBack" w:id="0"/>
      <w:bookmarkEnd w:id="0"/>
      <w:r w:rsidRPr="0079685B" w:rsidR="0079685B">
        <w:rPr>
          <w:rFonts w:ascii="Arial" w:hAnsi="Arial" w:cs="Arial"/>
        </w:rPr>
        <w:t xml:space="preserve"> 2022, 87 FR </w:t>
      </w:r>
      <w:r w:rsidR="0079685B">
        <w:rPr>
          <w:rFonts w:ascii="Arial" w:hAnsi="Arial" w:cs="Arial"/>
        </w:rPr>
        <w:t>30244</w:t>
      </w:r>
      <w:r w:rsidRPr="002647E5">
        <w:rPr>
          <w:rFonts w:ascii="Arial" w:hAnsi="Arial" w:cs="Arial"/>
        </w:rPr>
        <w:t xml:space="preserve">) were published in the Federal Register to obtain public comment on this collection.  The Coast Guard has not received any comments on this information collection.                     </w:t>
      </w:r>
      <w:r w:rsidR="003052E2">
        <w:rPr>
          <w:rFonts w:ascii="Arial" w:hAnsi="Arial" w:cs="Arial"/>
        </w:rPr>
        <w:t xml:space="preserve"> </w:t>
      </w:r>
    </w:p>
    <w:p w:rsidRPr="00465835" w:rsidR="00D02CE1" w:rsidRDefault="00D02CE1" w14:paraId="0D936DF6" w14:textId="77777777">
      <w:pPr>
        <w:widowControl w:val="0"/>
        <w:tabs>
          <w:tab w:val="left" w:pos="576"/>
          <w:tab w:val="left" w:pos="1440"/>
        </w:tabs>
        <w:rPr>
          <w:rFonts w:ascii="Arial" w:hAnsi="Arial" w:cs="Arial"/>
        </w:rPr>
      </w:pPr>
    </w:p>
    <w:p w:rsidRPr="00465835" w:rsidR="009B33D9" w:rsidRDefault="009B33D9" w14:paraId="6BEE2113" w14:textId="77777777">
      <w:pPr>
        <w:widowControl w:val="0"/>
        <w:rPr>
          <w:rFonts w:ascii="Arial" w:hAnsi="Arial" w:cs="Arial"/>
        </w:rPr>
      </w:pPr>
      <w:r w:rsidRPr="00465835">
        <w:rPr>
          <w:rFonts w:ascii="Arial" w:hAnsi="Arial" w:cs="Arial"/>
        </w:rPr>
        <w:t xml:space="preserve">9.  </w:t>
      </w:r>
      <w:r w:rsidR="00880DD6">
        <w:rPr>
          <w:rFonts w:ascii="Arial" w:hAnsi="Arial" w:cs="Arial"/>
          <w:u w:val="single"/>
        </w:rPr>
        <w:t>P</w:t>
      </w:r>
      <w:r w:rsidRPr="00465835">
        <w:rPr>
          <w:rFonts w:ascii="Arial" w:hAnsi="Arial" w:cs="Arial"/>
          <w:u w:val="single"/>
        </w:rPr>
        <w:t>rovide payment or gift to respondents</w:t>
      </w:r>
      <w:r w:rsidRPr="00465835">
        <w:rPr>
          <w:rFonts w:ascii="Arial" w:hAnsi="Arial" w:cs="Arial"/>
        </w:rPr>
        <w:t>.</w:t>
      </w:r>
      <w:r w:rsidR="00880DD6">
        <w:rPr>
          <w:rFonts w:ascii="Arial" w:hAnsi="Arial" w:cs="Arial"/>
        </w:rPr>
        <w:t xml:space="preserve">  </w:t>
      </w:r>
    </w:p>
    <w:p w:rsidRPr="00465835" w:rsidR="009B33D9" w:rsidRDefault="009B33D9" w14:paraId="2977C446" w14:textId="77777777">
      <w:pPr>
        <w:widowControl w:val="0"/>
        <w:tabs>
          <w:tab w:val="left" w:pos="576"/>
          <w:tab w:val="left" w:pos="1440"/>
        </w:tabs>
        <w:rPr>
          <w:rFonts w:ascii="Arial" w:hAnsi="Arial" w:cs="Arial"/>
        </w:rPr>
      </w:pPr>
    </w:p>
    <w:p w:rsidRPr="00465835" w:rsidR="009B33D9" w:rsidRDefault="00503A85" w14:paraId="72B17A55" w14:textId="77777777">
      <w:pPr>
        <w:widowControl w:val="0"/>
        <w:tabs>
          <w:tab w:val="left" w:pos="576"/>
          <w:tab w:val="left" w:pos="1440"/>
        </w:tabs>
        <w:rPr>
          <w:rFonts w:ascii="Arial" w:hAnsi="Arial" w:cs="Arial"/>
        </w:rPr>
      </w:pPr>
      <w:r w:rsidRPr="00465835">
        <w:rPr>
          <w:rFonts w:ascii="Arial" w:hAnsi="Arial" w:cs="Arial"/>
        </w:rPr>
        <w:t>There is no offer of monetary or material value for this information collection</w:t>
      </w:r>
      <w:r w:rsidRPr="00465835" w:rsidR="008B6E65">
        <w:rPr>
          <w:rFonts w:ascii="Arial" w:hAnsi="Arial" w:cs="Arial"/>
        </w:rPr>
        <w:t>.</w:t>
      </w:r>
      <w:r w:rsidR="00DB3BBE">
        <w:rPr>
          <w:rFonts w:ascii="Arial" w:hAnsi="Arial" w:cs="Arial"/>
        </w:rPr>
        <w:t xml:space="preserve">  </w:t>
      </w:r>
    </w:p>
    <w:p w:rsidRPr="00465835" w:rsidR="009B33D9" w:rsidRDefault="009B33D9" w14:paraId="1DAF04F8" w14:textId="77777777">
      <w:pPr>
        <w:widowControl w:val="0"/>
        <w:tabs>
          <w:tab w:val="left" w:pos="576"/>
          <w:tab w:val="left" w:pos="1440"/>
        </w:tabs>
        <w:rPr>
          <w:rFonts w:ascii="Arial" w:hAnsi="Arial" w:cs="Arial"/>
        </w:rPr>
      </w:pPr>
    </w:p>
    <w:p w:rsidRPr="00465835" w:rsidR="009B33D9" w:rsidRDefault="009B33D9" w14:paraId="5E5E5BC2" w14:textId="77777777">
      <w:pPr>
        <w:widowControl w:val="0"/>
        <w:rPr>
          <w:rFonts w:ascii="Arial" w:hAnsi="Arial" w:cs="Arial"/>
        </w:rPr>
      </w:pPr>
      <w:r w:rsidRPr="00465835">
        <w:rPr>
          <w:rFonts w:ascii="Arial" w:hAnsi="Arial" w:cs="Arial"/>
        </w:rPr>
        <w:t xml:space="preserve">10.  </w:t>
      </w:r>
      <w:r w:rsidRPr="00465835">
        <w:rPr>
          <w:rFonts w:ascii="Arial" w:hAnsi="Arial" w:cs="Arial"/>
          <w:u w:val="single"/>
        </w:rPr>
        <w:t>Describe any assurance of confidentiality provided to respondents</w:t>
      </w:r>
      <w:r w:rsidRPr="00465835">
        <w:rPr>
          <w:rFonts w:ascii="Arial" w:hAnsi="Arial" w:cs="Arial"/>
        </w:rPr>
        <w:t>.</w:t>
      </w:r>
      <w:r w:rsidR="00880DD6">
        <w:rPr>
          <w:rFonts w:ascii="Arial" w:hAnsi="Arial" w:cs="Arial"/>
        </w:rPr>
        <w:t xml:space="preserve">  </w:t>
      </w:r>
    </w:p>
    <w:p w:rsidRPr="00465835" w:rsidR="009B33D9" w:rsidRDefault="009B33D9" w14:paraId="64F30E1F" w14:textId="77777777">
      <w:pPr>
        <w:widowControl w:val="0"/>
        <w:tabs>
          <w:tab w:val="left" w:pos="576"/>
          <w:tab w:val="left" w:pos="1440"/>
        </w:tabs>
        <w:rPr>
          <w:rFonts w:ascii="Arial" w:hAnsi="Arial" w:cs="Arial"/>
        </w:rPr>
      </w:pPr>
    </w:p>
    <w:p w:rsidRPr="00786DA7" w:rsidR="009550F6" w:rsidP="009550F6" w:rsidRDefault="00503A85" w14:paraId="5B71A3A3" w14:textId="77777777">
      <w:pPr>
        <w:pStyle w:val="BodyText"/>
        <w:rPr>
          <w:rFonts w:ascii="Arial" w:hAnsi="Arial" w:cs="Arial"/>
          <w:sz w:val="20"/>
        </w:rPr>
      </w:pPr>
      <w:r w:rsidRPr="00465835">
        <w:rPr>
          <w:rFonts w:ascii="Arial" w:hAnsi="Arial" w:cs="Arial"/>
          <w:sz w:val="20"/>
        </w:rPr>
        <w:t xml:space="preserve">There are no assurances of confidentiality provided to the respondents for this information collection.  </w:t>
      </w:r>
      <w:r w:rsidRPr="00786DA7" w:rsidR="009550F6">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786DA7" w:rsidR="009550F6" w:rsidP="00CF76EE" w:rsidRDefault="0079685B" w14:paraId="319F7F07" w14:textId="77777777">
      <w:pPr>
        <w:pStyle w:val="BodyText"/>
        <w:numPr>
          <w:ilvl w:val="0"/>
          <w:numId w:val="11"/>
        </w:numPr>
        <w:tabs>
          <w:tab w:val="clear" w:pos="576"/>
          <w:tab w:val="clear" w:pos="1440"/>
        </w:tabs>
        <w:rPr>
          <w:rFonts w:ascii="Arial" w:hAnsi="Arial" w:cs="Arial"/>
          <w:sz w:val="20"/>
        </w:rPr>
      </w:pPr>
      <w:hyperlink w:history="1" r:id="rId11">
        <w:r w:rsidRPr="00786DA7" w:rsidR="009550F6">
          <w:rPr>
            <w:rStyle w:val="Hyperlink"/>
            <w:rFonts w:ascii="Arial" w:hAnsi="Arial" w:cs="Arial"/>
            <w:sz w:val="20"/>
          </w:rPr>
          <w:t>https://www.dhs.gov/sites/default/files/publications/privacy_pia_uscg_misle.pdf</w:t>
        </w:r>
      </w:hyperlink>
      <w:r w:rsidRPr="00786DA7" w:rsidR="009550F6">
        <w:rPr>
          <w:rFonts w:ascii="Arial" w:hAnsi="Arial" w:cs="Arial"/>
          <w:sz w:val="20"/>
        </w:rPr>
        <w:t xml:space="preserve">  </w:t>
      </w:r>
    </w:p>
    <w:p w:rsidRPr="00183802" w:rsidR="009B33D9" w:rsidP="00CF76EE" w:rsidRDefault="0079685B" w14:paraId="4ED90F13" w14:textId="77777777">
      <w:pPr>
        <w:pStyle w:val="TxBrp12"/>
        <w:numPr>
          <w:ilvl w:val="0"/>
          <w:numId w:val="11"/>
        </w:numPr>
        <w:tabs>
          <w:tab w:val="clear" w:pos="674"/>
          <w:tab w:val="left" w:pos="720"/>
        </w:tabs>
        <w:spacing w:line="238" w:lineRule="exact"/>
        <w:rPr>
          <w:rFonts w:ascii="Arial" w:hAnsi="Arial" w:cs="Arial"/>
          <w:sz w:val="20"/>
        </w:rPr>
      </w:pPr>
      <w:hyperlink w:history="1" r:id="rId12">
        <w:r w:rsidRPr="00183802" w:rsidR="009550F6">
          <w:rPr>
            <w:rStyle w:val="Hyperlink"/>
            <w:rFonts w:ascii="Arial" w:hAnsi="Arial" w:cs="Arial"/>
            <w:sz w:val="20"/>
          </w:rPr>
          <w:t>https://www.gpo.gov/fdsys/pkg/FR-2009-06-25/html/E9-14906.htm</w:t>
        </w:r>
      </w:hyperlink>
      <w:r w:rsidRPr="00183802" w:rsidR="009550F6">
        <w:rPr>
          <w:rFonts w:ascii="Arial" w:hAnsi="Arial" w:cs="Arial"/>
          <w:sz w:val="20"/>
        </w:rPr>
        <w:t xml:space="preserve">  </w:t>
      </w:r>
    </w:p>
    <w:p w:rsidRPr="00465835" w:rsidR="009B33D9" w:rsidRDefault="009B33D9" w14:paraId="78243C71" w14:textId="77777777">
      <w:pPr>
        <w:widowControl w:val="0"/>
        <w:tabs>
          <w:tab w:val="left" w:pos="576"/>
          <w:tab w:val="left" w:pos="1440"/>
        </w:tabs>
        <w:rPr>
          <w:rFonts w:ascii="Arial" w:hAnsi="Arial" w:cs="Arial"/>
        </w:rPr>
      </w:pPr>
    </w:p>
    <w:p w:rsidRPr="00465835" w:rsidR="009B33D9" w:rsidRDefault="009B33D9" w14:paraId="212FB483" w14:textId="77777777">
      <w:pPr>
        <w:widowControl w:val="0"/>
        <w:rPr>
          <w:rFonts w:ascii="Arial" w:hAnsi="Arial" w:cs="Arial"/>
        </w:rPr>
      </w:pPr>
      <w:r w:rsidRPr="00465835">
        <w:rPr>
          <w:rFonts w:ascii="Arial" w:hAnsi="Arial" w:cs="Arial"/>
        </w:rPr>
        <w:t xml:space="preserve">11.  </w:t>
      </w:r>
      <w:r w:rsidRPr="00465835">
        <w:rPr>
          <w:rFonts w:ascii="Arial" w:hAnsi="Arial" w:cs="Arial"/>
          <w:u w:val="single"/>
        </w:rPr>
        <w:t>Additional justification for any questions of a sensitive nature</w:t>
      </w:r>
      <w:r w:rsidRPr="00465835">
        <w:rPr>
          <w:rFonts w:ascii="Arial" w:hAnsi="Arial" w:cs="Arial"/>
        </w:rPr>
        <w:t>.</w:t>
      </w:r>
      <w:r w:rsidR="00C87FD0">
        <w:rPr>
          <w:rFonts w:ascii="Arial" w:hAnsi="Arial" w:cs="Arial"/>
        </w:rPr>
        <w:t xml:space="preserve">  </w:t>
      </w:r>
    </w:p>
    <w:p w:rsidRPr="00465835" w:rsidR="009B33D9" w:rsidRDefault="009B33D9" w14:paraId="3E2CCA00" w14:textId="77777777">
      <w:pPr>
        <w:widowControl w:val="0"/>
        <w:tabs>
          <w:tab w:val="left" w:pos="576"/>
          <w:tab w:val="left" w:pos="1440"/>
        </w:tabs>
        <w:rPr>
          <w:rFonts w:ascii="Arial" w:hAnsi="Arial" w:cs="Arial"/>
        </w:rPr>
      </w:pPr>
    </w:p>
    <w:p w:rsidRPr="00465835" w:rsidR="009B33D9" w:rsidRDefault="00503A85" w14:paraId="574E359E" w14:textId="77777777">
      <w:pPr>
        <w:pStyle w:val="BodyText"/>
        <w:rPr>
          <w:rFonts w:ascii="Arial" w:hAnsi="Arial" w:cs="Arial"/>
          <w:sz w:val="20"/>
        </w:rPr>
      </w:pPr>
      <w:r w:rsidRPr="00465835">
        <w:rPr>
          <w:rFonts w:ascii="Arial" w:hAnsi="Arial" w:cs="Arial"/>
          <w:sz w:val="20"/>
        </w:rPr>
        <w:t>There are no questions of sensitive language</w:t>
      </w:r>
      <w:r w:rsidRPr="00465835" w:rsidR="009B33D9">
        <w:rPr>
          <w:rFonts w:ascii="Arial" w:hAnsi="Arial" w:cs="Arial"/>
          <w:sz w:val="20"/>
        </w:rPr>
        <w:t>.</w:t>
      </w:r>
      <w:r w:rsidRPr="00465835">
        <w:rPr>
          <w:rFonts w:ascii="Arial" w:hAnsi="Arial" w:cs="Arial"/>
          <w:sz w:val="20"/>
        </w:rPr>
        <w:t xml:space="preserve">  </w:t>
      </w:r>
    </w:p>
    <w:p w:rsidRPr="00465835" w:rsidR="009B33D9" w:rsidRDefault="009B33D9" w14:paraId="6E6BE382" w14:textId="77777777">
      <w:pPr>
        <w:widowControl w:val="0"/>
        <w:tabs>
          <w:tab w:val="left" w:pos="576"/>
          <w:tab w:val="left" w:pos="1440"/>
        </w:tabs>
        <w:rPr>
          <w:rFonts w:ascii="Arial" w:hAnsi="Arial" w:cs="Arial"/>
        </w:rPr>
      </w:pPr>
    </w:p>
    <w:p w:rsidRPr="00465835" w:rsidR="008108F5" w:rsidP="008108F5" w:rsidRDefault="008108F5" w14:paraId="3C03EEC2" w14:textId="77777777">
      <w:pPr>
        <w:ind w:left="450" w:hanging="450"/>
        <w:rPr>
          <w:rFonts w:ascii="Arial" w:hAnsi="Arial" w:cs="Arial"/>
        </w:rPr>
      </w:pPr>
      <w:r w:rsidRPr="00465835">
        <w:rPr>
          <w:rFonts w:ascii="Arial" w:hAnsi="Arial" w:cs="Arial"/>
        </w:rPr>
        <w:t xml:space="preserve">12.  </w:t>
      </w:r>
      <w:r w:rsidRPr="00465835">
        <w:rPr>
          <w:rFonts w:ascii="Arial" w:hAnsi="Arial" w:cs="Arial"/>
          <w:u w:val="single"/>
        </w:rPr>
        <w:t xml:space="preserve">Estimates of </w:t>
      </w:r>
      <w:r w:rsidR="00880DD6">
        <w:rPr>
          <w:rFonts w:ascii="Arial" w:hAnsi="Arial" w:cs="Arial"/>
          <w:u w:val="single"/>
        </w:rPr>
        <w:t xml:space="preserve">annual </w:t>
      </w:r>
      <w:r w:rsidRPr="00465835">
        <w:rPr>
          <w:rFonts w:ascii="Arial" w:hAnsi="Arial" w:cs="Arial"/>
          <w:u w:val="single"/>
        </w:rPr>
        <w:t xml:space="preserve">hour and cost burdens </w:t>
      </w:r>
      <w:r w:rsidR="00880DD6">
        <w:rPr>
          <w:rFonts w:ascii="Arial" w:hAnsi="Arial" w:cs="Arial"/>
          <w:u w:val="single"/>
        </w:rPr>
        <w:t>to respondents</w:t>
      </w:r>
      <w:r w:rsidRPr="00465835">
        <w:rPr>
          <w:rFonts w:ascii="Arial" w:hAnsi="Arial" w:cs="Arial"/>
        </w:rPr>
        <w:t>.</w:t>
      </w:r>
      <w:r w:rsidR="00880DD6">
        <w:rPr>
          <w:rFonts w:ascii="Arial" w:hAnsi="Arial" w:cs="Arial"/>
        </w:rPr>
        <w:t xml:space="preserve">  </w:t>
      </w:r>
    </w:p>
    <w:p w:rsidRPr="00465835" w:rsidR="008108F5" w:rsidP="008108F5" w:rsidRDefault="008108F5" w14:paraId="7DEB5E1E" w14:textId="77777777">
      <w:pPr>
        <w:widowControl w:val="0"/>
        <w:rPr>
          <w:rFonts w:ascii="Arial" w:hAnsi="Arial" w:cs="Arial"/>
        </w:rPr>
      </w:pPr>
    </w:p>
    <w:p w:rsidRPr="00DB3BBE" w:rsidR="002654A7" w:rsidP="002654A7" w:rsidRDefault="002654A7" w14:paraId="49869657" w14:textId="77777777">
      <w:pPr>
        <w:widowControl w:val="0"/>
        <w:numPr>
          <w:ilvl w:val="0"/>
          <w:numId w:val="8"/>
        </w:numPr>
        <w:tabs>
          <w:tab w:val="clear" w:pos="360"/>
          <w:tab w:val="left" w:pos="720"/>
          <w:tab w:val="num" w:pos="1080"/>
          <w:tab w:val="left" w:pos="1440"/>
        </w:tabs>
        <w:ind w:left="1080"/>
        <w:rPr>
          <w:rFonts w:ascii="Arial" w:hAnsi="Arial" w:cs="Arial"/>
        </w:rPr>
      </w:pPr>
      <w:r w:rsidRPr="00DB3BBE">
        <w:rPr>
          <w:rFonts w:ascii="Arial" w:hAnsi="Arial" w:cs="Arial"/>
        </w:rPr>
        <w:t xml:space="preserve">The annual number of respondents is </w:t>
      </w:r>
      <w:r w:rsidRPr="00DB3BBE" w:rsidR="00F017D0">
        <w:rPr>
          <w:rFonts w:ascii="Arial" w:hAnsi="Arial" w:cs="Arial"/>
        </w:rPr>
        <w:t>1</w:t>
      </w:r>
      <w:r w:rsidRPr="00DB3BBE" w:rsidR="009550F6">
        <w:rPr>
          <w:rFonts w:ascii="Arial" w:hAnsi="Arial" w:cs="Arial"/>
        </w:rPr>
        <w:t>5,360</w:t>
      </w:r>
      <w:r w:rsidRPr="00DB3BBE">
        <w:rPr>
          <w:rFonts w:ascii="Arial" w:hAnsi="Arial" w:cs="Arial"/>
        </w:rPr>
        <w:t>.</w:t>
      </w:r>
    </w:p>
    <w:p w:rsidRPr="00DB3BBE" w:rsidR="0055794D" w:rsidP="0055794D" w:rsidRDefault="002654A7" w14:paraId="4B4261BE" w14:textId="77777777">
      <w:pPr>
        <w:widowControl w:val="0"/>
        <w:numPr>
          <w:ilvl w:val="0"/>
          <w:numId w:val="8"/>
        </w:numPr>
        <w:tabs>
          <w:tab w:val="clear" w:pos="360"/>
          <w:tab w:val="left" w:pos="720"/>
          <w:tab w:val="num" w:pos="1080"/>
          <w:tab w:val="left" w:pos="1440"/>
        </w:tabs>
        <w:ind w:left="1080"/>
        <w:rPr>
          <w:rFonts w:ascii="Arial" w:hAnsi="Arial" w:cs="Arial"/>
        </w:rPr>
      </w:pPr>
      <w:r w:rsidRPr="00DB3BBE">
        <w:rPr>
          <w:rFonts w:ascii="Arial" w:hAnsi="Arial" w:cs="Arial"/>
        </w:rPr>
        <w:t xml:space="preserve">The annual number of responses is </w:t>
      </w:r>
      <w:r w:rsidRPr="00DB3BBE" w:rsidR="003A4307">
        <w:rPr>
          <w:rFonts w:ascii="Arial" w:hAnsi="Arial" w:cs="Arial"/>
        </w:rPr>
        <w:t>2</w:t>
      </w:r>
      <w:r w:rsidRPr="00DB3BBE" w:rsidR="009550F6">
        <w:rPr>
          <w:rFonts w:ascii="Arial" w:hAnsi="Arial" w:cs="Arial"/>
        </w:rPr>
        <w:t>66,835</w:t>
      </w:r>
      <w:r w:rsidRPr="00DB3BBE" w:rsidR="0055794D">
        <w:rPr>
          <w:rFonts w:ascii="Arial" w:hAnsi="Arial" w:cs="Arial"/>
        </w:rPr>
        <w:t>.</w:t>
      </w:r>
    </w:p>
    <w:p w:rsidRPr="005A0D18" w:rsidR="002654A7" w:rsidP="0055794D" w:rsidRDefault="002654A7" w14:paraId="4CACA391" w14:textId="77777777">
      <w:pPr>
        <w:widowControl w:val="0"/>
        <w:numPr>
          <w:ilvl w:val="0"/>
          <w:numId w:val="8"/>
        </w:numPr>
        <w:tabs>
          <w:tab w:val="clear" w:pos="360"/>
          <w:tab w:val="left" w:pos="720"/>
          <w:tab w:val="num" w:pos="1080"/>
          <w:tab w:val="left" w:pos="1440"/>
        </w:tabs>
        <w:ind w:left="1080"/>
        <w:rPr>
          <w:rFonts w:ascii="Arial" w:hAnsi="Arial" w:cs="Arial"/>
        </w:rPr>
      </w:pPr>
      <w:r w:rsidRPr="005A0D18">
        <w:rPr>
          <w:rFonts w:ascii="Arial" w:hAnsi="Arial" w:cs="Arial"/>
        </w:rPr>
        <w:t xml:space="preserve">The estimated annual hour burden is </w:t>
      </w:r>
      <w:r w:rsidRPr="005A0D18" w:rsidR="009550F6">
        <w:rPr>
          <w:rFonts w:ascii="Arial" w:hAnsi="Arial" w:cs="Arial"/>
        </w:rPr>
        <w:t>80,051</w:t>
      </w:r>
      <w:r w:rsidRPr="005A0D18">
        <w:rPr>
          <w:rFonts w:ascii="Arial" w:hAnsi="Arial" w:cs="Arial"/>
        </w:rPr>
        <w:t>.</w:t>
      </w:r>
    </w:p>
    <w:p w:rsidRPr="005A0D18" w:rsidR="002654A7" w:rsidP="002654A7" w:rsidRDefault="002654A7" w14:paraId="160BE0F2" w14:textId="77777777">
      <w:pPr>
        <w:widowControl w:val="0"/>
        <w:numPr>
          <w:ilvl w:val="0"/>
          <w:numId w:val="8"/>
        </w:numPr>
        <w:tabs>
          <w:tab w:val="clear" w:pos="360"/>
          <w:tab w:val="left" w:pos="1080"/>
          <w:tab w:val="num" w:pos="2430"/>
        </w:tabs>
        <w:ind w:left="1080"/>
        <w:rPr>
          <w:rFonts w:ascii="Arial" w:hAnsi="Arial" w:cs="Arial"/>
        </w:rPr>
      </w:pPr>
      <w:r w:rsidRPr="005A0D18">
        <w:rPr>
          <w:rFonts w:ascii="Arial" w:hAnsi="Arial" w:cs="Arial"/>
        </w:rPr>
        <w:t xml:space="preserve">The estimated annual cost burden is </w:t>
      </w:r>
      <w:r w:rsidRPr="005A0D18" w:rsidR="0055794D">
        <w:rPr>
          <w:rFonts w:ascii="Arial" w:hAnsi="Arial" w:cs="Arial"/>
        </w:rPr>
        <w:t>$</w:t>
      </w:r>
      <w:r w:rsidR="00976A07">
        <w:rPr>
          <w:rFonts w:ascii="Arial" w:hAnsi="Arial" w:cs="Arial"/>
        </w:rPr>
        <w:t>3,356,894</w:t>
      </w:r>
      <w:r w:rsidRPr="005A0D18">
        <w:rPr>
          <w:rFonts w:ascii="Arial" w:hAnsi="Arial" w:cs="Arial"/>
        </w:rPr>
        <w:t>.</w:t>
      </w:r>
    </w:p>
    <w:p w:rsidRPr="005A0D18" w:rsidR="002654A7" w:rsidP="008108F5" w:rsidRDefault="002654A7" w14:paraId="60C173A3" w14:textId="77777777">
      <w:pPr>
        <w:widowControl w:val="0"/>
        <w:rPr>
          <w:rFonts w:ascii="Arial" w:hAnsi="Arial" w:cs="Arial"/>
        </w:rPr>
      </w:pPr>
    </w:p>
    <w:p w:rsidRPr="00880DD6" w:rsidR="00880DD6" w:rsidRDefault="00880DD6" w14:paraId="787E183E" w14:textId="77777777">
      <w:pPr>
        <w:pStyle w:val="BodyText"/>
        <w:tabs>
          <w:tab w:val="clear" w:pos="576"/>
        </w:tabs>
        <w:rPr>
          <w:rFonts w:ascii="Arial" w:hAnsi="Arial" w:cs="Arial"/>
          <w:sz w:val="20"/>
        </w:rPr>
      </w:pPr>
      <w:r w:rsidRPr="005A0D18">
        <w:rPr>
          <w:rFonts w:ascii="Arial" w:hAnsi="Arial" w:cs="Arial"/>
        </w:rPr>
        <w:t>The burden to respondents</w:t>
      </w:r>
      <w:r w:rsidRPr="00880DD6">
        <w:rPr>
          <w:rFonts w:ascii="Arial" w:hAnsi="Arial" w:cs="Arial"/>
          <w:sz w:val="20"/>
        </w:rPr>
        <w:t xml:space="preserve"> is provided in Appendix A.  </w:t>
      </w:r>
      <w:r w:rsidRPr="005C0B81" w:rsidR="005C0B81">
        <w:rPr>
          <w:rFonts w:ascii="Arial" w:hAnsi="Arial" w:cs="Arial"/>
          <w:sz w:val="20"/>
        </w:rPr>
        <w:t>Each time a vessel conducts a transfer of oil or other hazardous materials, a DOI must be completed and kept.  Completing a DOI constitutes a response.  This requirement covers all U.S. vessels and all non-U.S. flagged ships that carry oil and hazardous materials in bulk.</w:t>
      </w:r>
      <w:r w:rsidR="005C0B81">
        <w:rPr>
          <w:rFonts w:ascii="Arial" w:hAnsi="Arial" w:cs="Arial"/>
          <w:sz w:val="20"/>
        </w:rPr>
        <w:t xml:space="preserve">  </w:t>
      </w:r>
      <w:r w:rsidR="0026570D">
        <w:rPr>
          <w:rFonts w:ascii="Arial" w:hAnsi="Arial" w:cs="Arial"/>
          <w:sz w:val="20"/>
        </w:rPr>
        <w:t xml:space="preserve">We estimate the annual frequency of responses varies by vessel type.  </w:t>
      </w:r>
      <w:r w:rsidRPr="005C0B81" w:rsidR="005C0B81">
        <w:rPr>
          <w:rFonts w:ascii="Arial" w:hAnsi="Arial" w:cs="Arial"/>
          <w:sz w:val="20"/>
        </w:rPr>
        <w:t xml:space="preserve">We estimate that it </w:t>
      </w:r>
      <w:r w:rsidR="005C0B81">
        <w:rPr>
          <w:rFonts w:ascii="Arial" w:hAnsi="Arial" w:cs="Arial"/>
          <w:sz w:val="20"/>
        </w:rPr>
        <w:t xml:space="preserve">will </w:t>
      </w:r>
      <w:r w:rsidRPr="005C0B81" w:rsidR="005C0B81">
        <w:rPr>
          <w:rFonts w:ascii="Arial" w:hAnsi="Arial" w:cs="Arial"/>
          <w:sz w:val="20"/>
        </w:rPr>
        <w:t>take</w:t>
      </w:r>
      <w:r w:rsidR="005C0B81">
        <w:rPr>
          <w:rFonts w:ascii="Arial" w:hAnsi="Arial" w:cs="Arial"/>
          <w:sz w:val="20"/>
        </w:rPr>
        <w:t xml:space="preserve"> vessel personnel about </w:t>
      </w:r>
      <w:r w:rsidRPr="005C0B81" w:rsidR="005C0B81">
        <w:rPr>
          <w:rFonts w:ascii="Arial" w:hAnsi="Arial" w:cs="Arial"/>
          <w:sz w:val="20"/>
        </w:rPr>
        <w:t>0.3 hours (18 minutes)</w:t>
      </w:r>
      <w:r w:rsidRPr="005C0B81" w:rsidR="005C0B81">
        <w:rPr>
          <w:rStyle w:val="FootnoteReference"/>
          <w:rFonts w:ascii="Arial" w:hAnsi="Arial" w:cs="Arial"/>
          <w:sz w:val="20"/>
        </w:rPr>
        <w:footnoteReference w:id="2"/>
      </w:r>
      <w:r w:rsidRPr="005C0B81" w:rsidR="005C0B81">
        <w:rPr>
          <w:rFonts w:ascii="Arial" w:hAnsi="Arial" w:cs="Arial"/>
          <w:sz w:val="20"/>
        </w:rPr>
        <w:t xml:space="preserve"> to verify that the required procedures have been followed and to sign the DOI.  </w:t>
      </w:r>
      <w:r w:rsidR="005C0B81">
        <w:rPr>
          <w:rFonts w:ascii="Arial" w:hAnsi="Arial" w:cs="Arial"/>
          <w:sz w:val="20"/>
        </w:rPr>
        <w:t>For U.S. Tank Ships</w:t>
      </w:r>
      <w:r w:rsidR="00DB3BBE">
        <w:rPr>
          <w:rFonts w:ascii="Arial" w:hAnsi="Arial" w:cs="Arial"/>
          <w:sz w:val="20"/>
        </w:rPr>
        <w:t xml:space="preserve">, U.S. Nontank Vessels </w:t>
      </w:r>
      <w:r w:rsidR="005C0B81">
        <w:rPr>
          <w:rFonts w:ascii="Arial" w:hAnsi="Arial" w:cs="Arial"/>
          <w:sz w:val="20"/>
        </w:rPr>
        <w:t xml:space="preserve">and Non-U.S. Vessels, we estimate that </w:t>
      </w:r>
      <w:r w:rsidR="00DB3BBE">
        <w:rPr>
          <w:rFonts w:ascii="Arial" w:hAnsi="Arial" w:cs="Arial"/>
          <w:sz w:val="20"/>
        </w:rPr>
        <w:t xml:space="preserve">a Chief Engineer will complete </w:t>
      </w:r>
      <w:r w:rsidR="005C0B81">
        <w:rPr>
          <w:rFonts w:ascii="Arial" w:hAnsi="Arial" w:cs="Arial"/>
          <w:sz w:val="20"/>
        </w:rPr>
        <w:t>the DOI</w:t>
      </w:r>
      <w:r w:rsidR="0026570D">
        <w:rPr>
          <w:rFonts w:ascii="Arial" w:hAnsi="Arial" w:cs="Arial"/>
          <w:sz w:val="20"/>
        </w:rPr>
        <w:t xml:space="preserve">.  For U.S. Tank Barges, we estimate that </w:t>
      </w:r>
      <w:r w:rsidR="00515331">
        <w:rPr>
          <w:rFonts w:ascii="Arial" w:hAnsi="Arial" w:cs="Arial"/>
          <w:sz w:val="20"/>
        </w:rPr>
        <w:t xml:space="preserve">a tankerman will complete </w:t>
      </w:r>
      <w:r w:rsidR="0026570D">
        <w:rPr>
          <w:rFonts w:ascii="Arial" w:hAnsi="Arial" w:cs="Arial"/>
          <w:sz w:val="20"/>
        </w:rPr>
        <w:t xml:space="preserve">the DOI.  </w:t>
      </w:r>
      <w:r w:rsidRPr="00A605FB" w:rsidR="00515331">
        <w:rPr>
          <w:rFonts w:ascii="Arial" w:hAnsi="Arial" w:cs="Arial"/>
          <w:sz w:val="20"/>
        </w:rPr>
        <w:t>For the Chief Engineer wage rate, we used the Bureau of Labor Statistics (BLS) wage rate for Ship Engineers (53-5031) [May 2020, mean hourly wage, loaded 50%, and rounded].</w:t>
      </w:r>
      <w:r w:rsidRPr="00A605FB" w:rsidR="00515331">
        <w:rPr>
          <w:rStyle w:val="FootnoteReference"/>
          <w:rFonts w:ascii="Arial" w:hAnsi="Arial" w:cs="Arial"/>
          <w:sz w:val="20"/>
        </w:rPr>
        <w:footnoteReference w:id="3"/>
      </w:r>
      <w:r w:rsidRPr="00A605FB" w:rsidR="00515331">
        <w:rPr>
          <w:rFonts w:ascii="Arial" w:hAnsi="Arial" w:cs="Arial"/>
          <w:sz w:val="20"/>
        </w:rPr>
        <w:t xml:space="preserve">  For the tankerman wage rate, we used the BLS wage rate for</w:t>
      </w:r>
      <w:r w:rsidR="005A0D18">
        <w:rPr>
          <w:rFonts w:ascii="Arial" w:hAnsi="Arial" w:cs="Arial"/>
          <w:sz w:val="20"/>
        </w:rPr>
        <w:t xml:space="preserve"> Sailors and Marine Oilers (53-5</w:t>
      </w:r>
      <w:r w:rsidRPr="00A605FB" w:rsidR="00515331">
        <w:rPr>
          <w:rFonts w:ascii="Arial" w:hAnsi="Arial" w:cs="Arial"/>
          <w:sz w:val="20"/>
        </w:rPr>
        <w:t>011) [May 2020, mean hourly wage, loaded 50%, and rounded].</w:t>
      </w:r>
      <w:r w:rsidRPr="00A605FB" w:rsidR="00515331">
        <w:rPr>
          <w:rStyle w:val="FootnoteReference"/>
          <w:rFonts w:ascii="Arial" w:hAnsi="Arial" w:cs="Arial"/>
          <w:sz w:val="20"/>
        </w:rPr>
        <w:footnoteReference w:id="4"/>
      </w:r>
      <w:r w:rsidRPr="00A605FB" w:rsidR="00515331">
        <w:rPr>
          <w:rFonts w:ascii="Arial" w:hAnsi="Arial" w:cs="Arial"/>
          <w:sz w:val="20"/>
        </w:rPr>
        <w:t xml:space="preserve">  </w:t>
      </w:r>
    </w:p>
    <w:p w:rsidRPr="00465835" w:rsidR="009B33D9" w:rsidRDefault="009B33D9" w14:paraId="1874EF2C" w14:textId="77777777">
      <w:pPr>
        <w:widowControl w:val="0"/>
        <w:tabs>
          <w:tab w:val="left" w:pos="0"/>
          <w:tab w:val="left" w:pos="1440"/>
        </w:tabs>
        <w:rPr>
          <w:rFonts w:ascii="Arial" w:hAnsi="Arial" w:cs="Arial"/>
        </w:rPr>
      </w:pPr>
    </w:p>
    <w:p w:rsidRPr="00465835" w:rsidR="009B33D9" w:rsidRDefault="009B33D9" w14:paraId="59082D25" w14:textId="77777777">
      <w:pPr>
        <w:widowControl w:val="0"/>
        <w:tabs>
          <w:tab w:val="left" w:pos="0"/>
        </w:tabs>
        <w:rPr>
          <w:rFonts w:ascii="Arial" w:hAnsi="Arial" w:cs="Arial"/>
        </w:rPr>
      </w:pPr>
      <w:r w:rsidRPr="00465835">
        <w:rPr>
          <w:rFonts w:ascii="Arial" w:hAnsi="Arial" w:cs="Arial"/>
        </w:rPr>
        <w:lastRenderedPageBreak/>
        <w:t xml:space="preserve">13.   </w:t>
      </w:r>
      <w:r w:rsidRPr="00465835">
        <w:rPr>
          <w:rFonts w:ascii="Arial" w:hAnsi="Arial" w:cs="Arial"/>
          <w:u w:val="single"/>
        </w:rPr>
        <w:t>Estimates of capital and start-up costs</w:t>
      </w:r>
      <w:r w:rsidRPr="00465835">
        <w:rPr>
          <w:rFonts w:ascii="Arial" w:hAnsi="Arial" w:cs="Arial"/>
        </w:rPr>
        <w:t>.</w:t>
      </w:r>
      <w:r w:rsidR="00880DD6">
        <w:rPr>
          <w:rFonts w:ascii="Arial" w:hAnsi="Arial" w:cs="Arial"/>
        </w:rPr>
        <w:t xml:space="preserve">  </w:t>
      </w:r>
    </w:p>
    <w:p w:rsidRPr="00465835" w:rsidR="009B33D9" w:rsidRDefault="009B33D9" w14:paraId="29B8CD31" w14:textId="77777777">
      <w:pPr>
        <w:widowControl w:val="0"/>
        <w:tabs>
          <w:tab w:val="left" w:pos="0"/>
          <w:tab w:val="left" w:pos="1440"/>
        </w:tabs>
        <w:rPr>
          <w:rFonts w:ascii="Arial" w:hAnsi="Arial" w:cs="Arial"/>
        </w:rPr>
      </w:pPr>
    </w:p>
    <w:p w:rsidRPr="00465835" w:rsidR="009B33D9" w:rsidRDefault="003833CB" w14:paraId="31A4A818" w14:textId="77777777">
      <w:pPr>
        <w:pStyle w:val="BodyTextIndent2"/>
        <w:tabs>
          <w:tab w:val="clear" w:pos="1440"/>
          <w:tab w:val="left" w:pos="0"/>
        </w:tabs>
        <w:ind w:firstLine="0"/>
        <w:rPr>
          <w:rFonts w:ascii="Arial" w:hAnsi="Arial" w:cs="Arial"/>
          <w:sz w:val="20"/>
        </w:rPr>
      </w:pPr>
      <w:r w:rsidRPr="00465835">
        <w:rPr>
          <w:rFonts w:ascii="Arial" w:hAnsi="Arial" w:cs="Arial"/>
          <w:sz w:val="20"/>
        </w:rPr>
        <w:t>There are no capital, start-up or maintenance costs associated with this information collection</w:t>
      </w:r>
      <w:r w:rsidRPr="00465835" w:rsidR="009B33D9">
        <w:rPr>
          <w:rFonts w:ascii="Arial" w:hAnsi="Arial" w:cs="Arial"/>
          <w:sz w:val="20"/>
        </w:rPr>
        <w:t>.</w:t>
      </w:r>
      <w:r w:rsidRPr="00465835">
        <w:rPr>
          <w:rFonts w:ascii="Arial" w:hAnsi="Arial" w:cs="Arial"/>
          <w:sz w:val="20"/>
        </w:rPr>
        <w:t xml:space="preserve">  </w:t>
      </w:r>
    </w:p>
    <w:p w:rsidRPr="00465835" w:rsidR="009B33D9" w:rsidRDefault="009B33D9" w14:paraId="14D16BA6" w14:textId="77777777">
      <w:pPr>
        <w:widowControl w:val="0"/>
        <w:tabs>
          <w:tab w:val="left" w:pos="0"/>
          <w:tab w:val="left" w:pos="1440"/>
        </w:tabs>
        <w:rPr>
          <w:rFonts w:ascii="Arial" w:hAnsi="Arial" w:cs="Arial"/>
          <w:b/>
        </w:rPr>
      </w:pPr>
    </w:p>
    <w:p w:rsidRPr="00465835" w:rsidR="009B33D9" w:rsidRDefault="009B33D9" w14:paraId="411B8B5B" w14:textId="77777777">
      <w:pPr>
        <w:widowControl w:val="0"/>
        <w:tabs>
          <w:tab w:val="left" w:pos="0"/>
        </w:tabs>
        <w:rPr>
          <w:rFonts w:ascii="Arial" w:hAnsi="Arial" w:cs="Arial"/>
        </w:rPr>
      </w:pPr>
      <w:r w:rsidRPr="00465835">
        <w:rPr>
          <w:rFonts w:ascii="Arial" w:hAnsi="Arial" w:cs="Arial"/>
        </w:rPr>
        <w:t xml:space="preserve">14.  </w:t>
      </w:r>
      <w:r w:rsidRPr="00465835">
        <w:rPr>
          <w:rFonts w:ascii="Arial" w:hAnsi="Arial" w:cs="Arial"/>
          <w:u w:val="single"/>
        </w:rPr>
        <w:t>Estimates of annualized Federal Government costs</w:t>
      </w:r>
      <w:r w:rsidRPr="00465835">
        <w:rPr>
          <w:rFonts w:ascii="Arial" w:hAnsi="Arial" w:cs="Arial"/>
        </w:rPr>
        <w:t>.</w:t>
      </w:r>
      <w:r w:rsidR="00880DD6">
        <w:rPr>
          <w:rFonts w:ascii="Arial" w:hAnsi="Arial" w:cs="Arial"/>
        </w:rPr>
        <w:t xml:space="preserve">  </w:t>
      </w:r>
    </w:p>
    <w:p w:rsidRPr="00465835" w:rsidR="00D469A0" w:rsidRDefault="00D469A0" w14:paraId="58BE09E8" w14:textId="77777777">
      <w:pPr>
        <w:widowControl w:val="0"/>
        <w:tabs>
          <w:tab w:val="left" w:pos="0"/>
        </w:tabs>
        <w:rPr>
          <w:rFonts w:ascii="Arial" w:hAnsi="Arial" w:cs="Arial"/>
        </w:rPr>
      </w:pPr>
    </w:p>
    <w:p w:rsidRPr="00D35BEE" w:rsidR="00880DD6" w:rsidRDefault="00880DD6" w14:paraId="0D8F000C" w14:textId="77777777">
      <w:pPr>
        <w:pStyle w:val="BodyText"/>
        <w:tabs>
          <w:tab w:val="clear" w:pos="576"/>
          <w:tab w:val="left" w:pos="0"/>
        </w:tabs>
        <w:rPr>
          <w:rFonts w:ascii="Arial" w:hAnsi="Arial" w:cs="Arial"/>
          <w:sz w:val="20"/>
        </w:rPr>
      </w:pPr>
      <w:r w:rsidRPr="00D35BEE">
        <w:rPr>
          <w:rFonts w:ascii="Arial" w:hAnsi="Arial" w:cs="Arial"/>
          <w:sz w:val="20"/>
        </w:rPr>
        <w:t xml:space="preserve">The estimated annual Federal Government cost is </w:t>
      </w:r>
      <w:r w:rsidRPr="00515331">
        <w:rPr>
          <w:rFonts w:ascii="Arial" w:hAnsi="Arial" w:cs="Arial"/>
          <w:sz w:val="20"/>
        </w:rPr>
        <w:t>$</w:t>
      </w:r>
      <w:r w:rsidRPr="00515331" w:rsidR="009550F6">
        <w:rPr>
          <w:rFonts w:ascii="Arial" w:hAnsi="Arial" w:cs="Arial"/>
          <w:sz w:val="20"/>
        </w:rPr>
        <w:t>8</w:t>
      </w:r>
      <w:r w:rsidRPr="00CF76EE" w:rsidR="00DB3BBE">
        <w:rPr>
          <w:rFonts w:ascii="Arial" w:hAnsi="Arial" w:cs="Arial"/>
          <w:sz w:val="20"/>
        </w:rPr>
        <w:t>6,508</w:t>
      </w:r>
      <w:r w:rsidRPr="00515331">
        <w:rPr>
          <w:rFonts w:ascii="Arial" w:hAnsi="Arial" w:cs="Arial"/>
          <w:sz w:val="20"/>
        </w:rPr>
        <w:t xml:space="preserve"> (</w:t>
      </w:r>
      <w:r w:rsidRPr="00D35BEE">
        <w:rPr>
          <w:rFonts w:ascii="Arial" w:hAnsi="Arial" w:cs="Arial"/>
          <w:sz w:val="20"/>
        </w:rPr>
        <w:t xml:space="preserve">see Appendix B).  </w:t>
      </w:r>
      <w:r w:rsidRPr="00D35BEE" w:rsidR="0026570D">
        <w:rPr>
          <w:rFonts w:ascii="Arial" w:hAnsi="Arial" w:cs="Arial"/>
          <w:sz w:val="20"/>
        </w:rPr>
        <w:t xml:space="preserve">Coast Guard personnel review DOIs during cargo transfer monitorings, periodic inspections, random boardings, and post-casualty investigations.  </w:t>
      </w:r>
      <w:r w:rsidR="003010D7">
        <w:rPr>
          <w:rFonts w:ascii="Arial" w:hAnsi="Arial" w:cs="Arial"/>
          <w:sz w:val="20"/>
        </w:rPr>
        <w:t xml:space="preserve">The number of reviews is about 20% of all annual DOIs.  </w:t>
      </w:r>
      <w:r w:rsidRPr="00D35BEE">
        <w:rPr>
          <w:rFonts w:ascii="Arial" w:hAnsi="Arial" w:cs="Arial"/>
          <w:sz w:val="20"/>
        </w:rPr>
        <w:t xml:space="preserve">We estimate that it will take </w:t>
      </w:r>
      <w:r w:rsidRPr="00D35BEE" w:rsidR="0026570D">
        <w:rPr>
          <w:rFonts w:ascii="Arial" w:hAnsi="Arial" w:cs="Arial"/>
          <w:sz w:val="20"/>
        </w:rPr>
        <w:t>a CG petty officer (E-5) about 0.03 hours (i.e., 1.5 minutes) per review</w:t>
      </w:r>
      <w:r w:rsidRPr="00D35BEE">
        <w:rPr>
          <w:rFonts w:ascii="Arial" w:hAnsi="Arial" w:cs="Arial"/>
          <w:sz w:val="20"/>
        </w:rPr>
        <w:t xml:space="preserve">.  The wage rate shown is in accordance with the current edition of COMDTINST 7310.1(series) for “In-Government” personnel.  </w:t>
      </w:r>
    </w:p>
    <w:p w:rsidRPr="00465835" w:rsidR="009B33D9" w:rsidP="00880DD6" w:rsidRDefault="009B33D9" w14:paraId="42017C04" w14:textId="77777777">
      <w:pPr>
        <w:widowControl w:val="0"/>
        <w:tabs>
          <w:tab w:val="left" w:pos="0"/>
          <w:tab w:val="left" w:pos="1440"/>
        </w:tabs>
        <w:rPr>
          <w:rFonts w:ascii="Arial" w:hAnsi="Arial" w:cs="Arial"/>
          <w:b/>
        </w:rPr>
      </w:pPr>
    </w:p>
    <w:p w:rsidRPr="00465835" w:rsidR="009B33D9" w:rsidRDefault="009B33D9" w14:paraId="4DFF6D02" w14:textId="77777777">
      <w:pPr>
        <w:widowControl w:val="0"/>
        <w:tabs>
          <w:tab w:val="left" w:pos="0"/>
        </w:tabs>
        <w:rPr>
          <w:rFonts w:ascii="Arial" w:hAnsi="Arial" w:cs="Arial"/>
        </w:rPr>
      </w:pPr>
      <w:r w:rsidRPr="00465835">
        <w:rPr>
          <w:rFonts w:ascii="Arial" w:hAnsi="Arial" w:cs="Arial"/>
        </w:rPr>
        <w:t xml:space="preserve">15.  </w:t>
      </w:r>
      <w:r w:rsidRPr="00465835">
        <w:rPr>
          <w:rFonts w:ascii="Arial" w:hAnsi="Arial" w:cs="Arial"/>
          <w:u w:val="single"/>
        </w:rPr>
        <w:t>Explain the reasons for the change in burden</w:t>
      </w:r>
      <w:r w:rsidRPr="00465835">
        <w:rPr>
          <w:rFonts w:ascii="Arial" w:hAnsi="Arial" w:cs="Arial"/>
        </w:rPr>
        <w:t>.</w:t>
      </w:r>
      <w:r w:rsidR="00880DD6">
        <w:rPr>
          <w:rFonts w:ascii="Arial" w:hAnsi="Arial" w:cs="Arial"/>
        </w:rPr>
        <w:t xml:space="preserve">  </w:t>
      </w:r>
    </w:p>
    <w:p w:rsidRPr="00465835" w:rsidR="009B33D9" w:rsidRDefault="009B33D9" w14:paraId="5B05D179" w14:textId="77777777">
      <w:pPr>
        <w:widowControl w:val="0"/>
        <w:tabs>
          <w:tab w:val="left" w:pos="0"/>
        </w:tabs>
        <w:rPr>
          <w:rFonts w:ascii="Arial" w:hAnsi="Arial" w:cs="Arial"/>
        </w:rPr>
      </w:pPr>
    </w:p>
    <w:p w:rsidRPr="00465835" w:rsidR="00DB5FBB" w:rsidP="00DB5FBB" w:rsidRDefault="009B33D9" w14:paraId="0941F071" w14:textId="77777777">
      <w:pPr>
        <w:pStyle w:val="TxBrp13"/>
        <w:spacing w:line="238" w:lineRule="exact"/>
        <w:ind w:firstLine="0"/>
        <w:rPr>
          <w:rFonts w:ascii="Arial" w:hAnsi="Arial" w:cs="Arial"/>
          <w:sz w:val="20"/>
        </w:rPr>
      </w:pPr>
      <w:r w:rsidRPr="00465835">
        <w:rPr>
          <w:rFonts w:ascii="Arial" w:hAnsi="Arial" w:cs="Arial"/>
          <w:sz w:val="20"/>
        </w:rPr>
        <w:t>The</w:t>
      </w:r>
      <w:r w:rsidR="00DB3BBE">
        <w:rPr>
          <w:rFonts w:ascii="Arial" w:hAnsi="Arial" w:cs="Arial"/>
          <w:sz w:val="20"/>
        </w:rPr>
        <w:t>re is no</w:t>
      </w:r>
      <w:r w:rsidRPr="00465835">
        <w:rPr>
          <w:rFonts w:ascii="Arial" w:hAnsi="Arial" w:cs="Arial"/>
          <w:sz w:val="20"/>
        </w:rPr>
        <w:t xml:space="preserve"> change in the burden</w:t>
      </w:r>
      <w:r w:rsidR="00DB3BBE">
        <w:rPr>
          <w:rFonts w:ascii="Arial" w:hAnsi="Arial" w:cs="Arial"/>
          <w:sz w:val="20"/>
        </w:rPr>
        <w:t xml:space="preserve">. </w:t>
      </w:r>
      <w:r w:rsidR="002B02C5">
        <w:rPr>
          <w:rFonts w:ascii="Arial" w:hAnsi="Arial" w:cs="Arial"/>
          <w:sz w:val="20"/>
        </w:rPr>
        <w:t xml:space="preserve"> </w:t>
      </w:r>
      <w:r w:rsidRPr="00465835" w:rsidR="00DB5FBB">
        <w:rPr>
          <w:rFonts w:ascii="Arial" w:hAnsi="Arial" w:cs="Arial"/>
          <w:sz w:val="20"/>
        </w:rPr>
        <w:t xml:space="preserve">There is no proposed change to the recordkeeping requirements of this collection.  The recordkeeping requirements, and the methodology for calculating burden, remain unchanged.  </w:t>
      </w:r>
    </w:p>
    <w:p w:rsidRPr="00465835" w:rsidR="00DB5FBB" w:rsidP="00DB5FBB" w:rsidRDefault="00DB5FBB" w14:paraId="41B1DE97" w14:textId="77777777">
      <w:pPr>
        <w:pStyle w:val="TxBrp13"/>
        <w:spacing w:line="238" w:lineRule="exact"/>
        <w:ind w:firstLine="0"/>
        <w:rPr>
          <w:rFonts w:ascii="Arial" w:hAnsi="Arial" w:cs="Arial"/>
          <w:sz w:val="20"/>
        </w:rPr>
      </w:pPr>
    </w:p>
    <w:p w:rsidRPr="00465835" w:rsidR="009B33D9" w:rsidRDefault="009B33D9" w14:paraId="5FB521E4" w14:textId="77777777">
      <w:pPr>
        <w:widowControl w:val="0"/>
        <w:tabs>
          <w:tab w:val="left" w:pos="-540"/>
        </w:tabs>
        <w:ind w:left="450" w:hanging="450"/>
        <w:rPr>
          <w:rFonts w:ascii="Arial" w:hAnsi="Arial" w:cs="Arial"/>
        </w:rPr>
      </w:pPr>
      <w:r w:rsidRPr="00465835">
        <w:rPr>
          <w:rFonts w:ascii="Arial" w:hAnsi="Arial" w:cs="Arial"/>
        </w:rPr>
        <w:t xml:space="preserve">16.  </w:t>
      </w:r>
      <w:r w:rsidRPr="00880DD6" w:rsidR="00880DD6">
        <w:rPr>
          <w:rFonts w:ascii="Arial" w:hAnsi="Arial" w:cs="Arial"/>
          <w:u w:val="single"/>
        </w:rPr>
        <w:t>Plans for tabulation, statistical analysis and publication</w:t>
      </w:r>
      <w:r w:rsidRPr="00465835">
        <w:rPr>
          <w:rFonts w:ascii="Arial" w:hAnsi="Arial" w:cs="Arial"/>
        </w:rPr>
        <w:t>.</w:t>
      </w:r>
      <w:r w:rsidR="00880DD6">
        <w:rPr>
          <w:rFonts w:ascii="Arial" w:hAnsi="Arial" w:cs="Arial"/>
        </w:rPr>
        <w:t xml:space="preserve">  </w:t>
      </w:r>
    </w:p>
    <w:p w:rsidRPr="00465835" w:rsidR="002C47E3" w:rsidRDefault="002C47E3" w14:paraId="42E21C44" w14:textId="77777777">
      <w:pPr>
        <w:pStyle w:val="BodyText"/>
        <w:tabs>
          <w:tab w:val="clear" w:pos="576"/>
          <w:tab w:val="left" w:pos="0"/>
        </w:tabs>
        <w:rPr>
          <w:rFonts w:ascii="Arial" w:hAnsi="Arial" w:cs="Arial"/>
          <w:sz w:val="20"/>
        </w:rPr>
      </w:pPr>
    </w:p>
    <w:p w:rsidRPr="00465835" w:rsidR="009B33D9" w:rsidRDefault="003833CB" w14:paraId="776340E1" w14:textId="77777777">
      <w:pPr>
        <w:pStyle w:val="BodyText"/>
        <w:tabs>
          <w:tab w:val="clear" w:pos="576"/>
          <w:tab w:val="left" w:pos="0"/>
        </w:tabs>
        <w:rPr>
          <w:rFonts w:ascii="Arial" w:hAnsi="Arial" w:cs="Arial"/>
          <w:sz w:val="20"/>
        </w:rPr>
      </w:pPr>
      <w:r w:rsidRPr="00465835">
        <w:rPr>
          <w:rFonts w:ascii="Arial" w:hAnsi="Arial" w:cs="Arial"/>
          <w:sz w:val="20"/>
        </w:rPr>
        <w:t>This information collection will not be published for statistical purposes</w:t>
      </w:r>
      <w:r w:rsidRPr="00465835" w:rsidR="009B33D9">
        <w:rPr>
          <w:rFonts w:ascii="Arial" w:hAnsi="Arial" w:cs="Arial"/>
          <w:sz w:val="20"/>
        </w:rPr>
        <w:t>.</w:t>
      </w:r>
      <w:r w:rsidRPr="00465835">
        <w:rPr>
          <w:rFonts w:ascii="Arial" w:hAnsi="Arial" w:cs="Arial"/>
          <w:sz w:val="20"/>
        </w:rPr>
        <w:t xml:space="preserve">  </w:t>
      </w:r>
    </w:p>
    <w:p w:rsidRPr="00465835" w:rsidR="009B33D9" w:rsidRDefault="009B33D9" w14:paraId="35BCF252" w14:textId="77777777">
      <w:pPr>
        <w:widowControl w:val="0"/>
        <w:tabs>
          <w:tab w:val="left" w:pos="0"/>
          <w:tab w:val="left" w:pos="1440"/>
        </w:tabs>
        <w:rPr>
          <w:rFonts w:ascii="Arial" w:hAnsi="Arial" w:cs="Arial"/>
        </w:rPr>
      </w:pPr>
    </w:p>
    <w:p w:rsidRPr="00465835" w:rsidR="009B33D9" w:rsidRDefault="009B33D9" w14:paraId="2CA913EC" w14:textId="77777777">
      <w:pPr>
        <w:widowControl w:val="0"/>
        <w:tabs>
          <w:tab w:val="left" w:pos="0"/>
        </w:tabs>
        <w:rPr>
          <w:rFonts w:ascii="Arial" w:hAnsi="Arial" w:cs="Arial"/>
        </w:rPr>
      </w:pPr>
      <w:r w:rsidRPr="00465835">
        <w:rPr>
          <w:rFonts w:ascii="Arial" w:hAnsi="Arial" w:cs="Arial"/>
        </w:rPr>
        <w:t xml:space="preserve">17.  </w:t>
      </w:r>
      <w:r w:rsidRPr="00880DD6" w:rsidR="00880DD6">
        <w:rPr>
          <w:rFonts w:ascii="Arial" w:hAnsi="Arial" w:cs="Arial"/>
          <w:u w:val="single"/>
        </w:rPr>
        <w:t>Approval for not explaining the expiration date for OMB approval</w:t>
      </w:r>
      <w:r w:rsidRPr="00880DD6">
        <w:rPr>
          <w:rFonts w:ascii="Arial" w:hAnsi="Arial" w:cs="Arial"/>
        </w:rPr>
        <w:t>.</w:t>
      </w:r>
      <w:r w:rsidR="00880DD6">
        <w:rPr>
          <w:rFonts w:ascii="Arial" w:hAnsi="Arial" w:cs="Arial"/>
          <w:u w:val="single"/>
        </w:rPr>
        <w:t xml:space="preserve">  </w:t>
      </w:r>
    </w:p>
    <w:p w:rsidRPr="00465835" w:rsidR="00DB5FBB" w:rsidRDefault="00DB5FBB" w14:paraId="6D6E204B" w14:textId="77777777">
      <w:pPr>
        <w:widowControl w:val="0"/>
        <w:tabs>
          <w:tab w:val="left" w:pos="0"/>
          <w:tab w:val="left" w:pos="1440"/>
        </w:tabs>
        <w:rPr>
          <w:rFonts w:ascii="Arial" w:hAnsi="Arial" w:cs="Arial"/>
        </w:rPr>
      </w:pPr>
    </w:p>
    <w:p w:rsidRPr="00465835" w:rsidR="009B33D9" w:rsidRDefault="003833CB" w14:paraId="34D9DC1A" w14:textId="77777777">
      <w:pPr>
        <w:widowControl w:val="0"/>
        <w:tabs>
          <w:tab w:val="left" w:pos="0"/>
          <w:tab w:val="left" w:pos="1440"/>
        </w:tabs>
        <w:rPr>
          <w:rFonts w:ascii="Arial" w:hAnsi="Arial" w:cs="Arial"/>
        </w:rPr>
      </w:pPr>
      <w:r w:rsidRPr="00465835">
        <w:rPr>
          <w:rFonts w:ascii="Arial" w:hAnsi="Arial" w:cs="Arial"/>
        </w:rPr>
        <w:t>The Coast Guard will display the expiration date for OMB approval of this information collection</w:t>
      </w:r>
      <w:r w:rsidRPr="00465835" w:rsidR="009B33D9">
        <w:rPr>
          <w:rFonts w:ascii="Arial" w:hAnsi="Arial" w:cs="Arial"/>
        </w:rPr>
        <w:t>.</w:t>
      </w:r>
      <w:r w:rsidRPr="00465835">
        <w:rPr>
          <w:rFonts w:ascii="Arial" w:hAnsi="Arial" w:cs="Arial"/>
        </w:rPr>
        <w:t xml:space="preserve">  </w:t>
      </w:r>
    </w:p>
    <w:p w:rsidRPr="00465835" w:rsidR="009B33D9" w:rsidRDefault="009B33D9" w14:paraId="24DD98DB" w14:textId="77777777">
      <w:pPr>
        <w:widowControl w:val="0"/>
        <w:tabs>
          <w:tab w:val="left" w:pos="0"/>
          <w:tab w:val="left" w:pos="1440"/>
        </w:tabs>
        <w:rPr>
          <w:rFonts w:ascii="Arial" w:hAnsi="Arial" w:cs="Arial"/>
        </w:rPr>
      </w:pPr>
    </w:p>
    <w:p w:rsidRPr="00465835" w:rsidR="009B33D9" w:rsidRDefault="009B33D9" w14:paraId="643DC101" w14:textId="77777777">
      <w:pPr>
        <w:pStyle w:val="BodyTextIndent"/>
        <w:tabs>
          <w:tab w:val="clear" w:pos="576"/>
          <w:tab w:val="clear" w:pos="1020"/>
          <w:tab w:val="clear" w:pos="1440"/>
          <w:tab w:val="left" w:pos="0"/>
        </w:tabs>
        <w:ind w:left="0"/>
        <w:rPr>
          <w:rFonts w:ascii="Arial" w:hAnsi="Arial" w:cs="Arial"/>
          <w:sz w:val="20"/>
        </w:rPr>
      </w:pPr>
      <w:r w:rsidRPr="00465835">
        <w:rPr>
          <w:rFonts w:ascii="Arial" w:hAnsi="Arial" w:cs="Arial"/>
          <w:sz w:val="20"/>
        </w:rPr>
        <w:t xml:space="preserve">18.  </w:t>
      </w:r>
      <w:r w:rsidRPr="00465835">
        <w:rPr>
          <w:rFonts w:ascii="Arial" w:hAnsi="Arial" w:cs="Arial"/>
          <w:sz w:val="20"/>
          <w:u w:val="single"/>
        </w:rPr>
        <w:t>Explain each exception to the certification statement</w:t>
      </w:r>
      <w:r w:rsidRPr="00465835">
        <w:rPr>
          <w:rFonts w:ascii="Arial" w:hAnsi="Arial" w:cs="Arial"/>
          <w:sz w:val="20"/>
        </w:rPr>
        <w:t>.</w:t>
      </w:r>
      <w:r w:rsidR="00CD75F2">
        <w:rPr>
          <w:rFonts w:ascii="Arial" w:hAnsi="Arial" w:cs="Arial"/>
          <w:sz w:val="20"/>
        </w:rPr>
        <w:t xml:space="preserve">  </w:t>
      </w:r>
    </w:p>
    <w:p w:rsidRPr="00465835" w:rsidR="00DB5FBB" w:rsidRDefault="00DB5FBB" w14:paraId="30222D17" w14:textId="77777777">
      <w:pPr>
        <w:widowControl w:val="0"/>
        <w:tabs>
          <w:tab w:val="left" w:pos="0"/>
          <w:tab w:val="left" w:pos="1440"/>
        </w:tabs>
        <w:rPr>
          <w:rFonts w:ascii="Arial" w:hAnsi="Arial" w:cs="Arial"/>
        </w:rPr>
      </w:pPr>
    </w:p>
    <w:p w:rsidRPr="00465835" w:rsidR="009B33D9" w:rsidRDefault="003833CB" w14:paraId="2A288A26" w14:textId="77777777">
      <w:pPr>
        <w:widowControl w:val="0"/>
        <w:tabs>
          <w:tab w:val="left" w:pos="0"/>
          <w:tab w:val="left" w:pos="1440"/>
        </w:tabs>
        <w:rPr>
          <w:rFonts w:ascii="Arial" w:hAnsi="Arial" w:cs="Arial"/>
          <w:bCs/>
        </w:rPr>
      </w:pPr>
      <w:r w:rsidRPr="00465835">
        <w:rPr>
          <w:rFonts w:ascii="Arial" w:hAnsi="Arial" w:cs="Arial"/>
        </w:rPr>
        <w:t xml:space="preserve">The Coast Guard </w:t>
      </w:r>
      <w:r w:rsidRPr="00465835">
        <w:rPr>
          <w:rFonts w:ascii="Arial" w:hAnsi="Arial" w:cs="Arial"/>
          <w:bCs/>
        </w:rPr>
        <w:t>does not request an exception to the certification of this information collection</w:t>
      </w:r>
      <w:r w:rsidRPr="00465835" w:rsidR="009B33D9">
        <w:rPr>
          <w:rFonts w:ascii="Arial" w:hAnsi="Arial" w:cs="Arial"/>
          <w:bCs/>
        </w:rPr>
        <w:t>.</w:t>
      </w:r>
      <w:r w:rsidR="00DB3BBE">
        <w:rPr>
          <w:rFonts w:ascii="Arial" w:hAnsi="Arial" w:cs="Arial"/>
          <w:bCs/>
        </w:rPr>
        <w:t xml:space="preserve">  </w:t>
      </w:r>
    </w:p>
    <w:p w:rsidRPr="00495FFA" w:rsidR="009B33D9" w:rsidRDefault="009B33D9" w14:paraId="70488F85" w14:textId="77777777">
      <w:pPr>
        <w:widowControl w:val="0"/>
        <w:tabs>
          <w:tab w:val="left" w:pos="0"/>
          <w:tab w:val="left" w:pos="1440"/>
        </w:tabs>
        <w:rPr>
          <w:rFonts w:ascii="Arial" w:hAnsi="Arial" w:cs="Arial"/>
        </w:rPr>
      </w:pPr>
    </w:p>
    <w:p w:rsidRPr="00495FFA" w:rsidR="00DB5FBB" w:rsidRDefault="00DB5FBB" w14:paraId="2AB6D89B" w14:textId="77777777">
      <w:pPr>
        <w:widowControl w:val="0"/>
        <w:tabs>
          <w:tab w:val="left" w:pos="0"/>
          <w:tab w:val="left" w:pos="1440"/>
        </w:tabs>
        <w:rPr>
          <w:rFonts w:ascii="Arial" w:hAnsi="Arial" w:cs="Arial"/>
        </w:rPr>
      </w:pPr>
    </w:p>
    <w:p w:rsidRPr="00465835" w:rsidR="009B33D9" w:rsidRDefault="009B33D9" w14:paraId="43A06C61" w14:textId="77777777">
      <w:pPr>
        <w:widowControl w:val="0"/>
        <w:tabs>
          <w:tab w:val="left" w:pos="0"/>
          <w:tab w:val="left" w:pos="1440"/>
        </w:tabs>
        <w:rPr>
          <w:rFonts w:ascii="Arial" w:hAnsi="Arial" w:cs="Arial"/>
          <w:b/>
          <w:bCs/>
        </w:rPr>
      </w:pPr>
      <w:r w:rsidRPr="00465835">
        <w:rPr>
          <w:rFonts w:ascii="Arial" w:hAnsi="Arial" w:cs="Arial"/>
          <w:b/>
          <w:bCs/>
        </w:rPr>
        <w:t>B.  Collection of Information Employing Statistical Methods</w:t>
      </w:r>
      <w:r w:rsidR="00DB3BBE">
        <w:rPr>
          <w:rFonts w:ascii="Arial" w:hAnsi="Arial" w:cs="Arial"/>
          <w:b/>
          <w:bCs/>
        </w:rPr>
        <w:t xml:space="preserve">  </w:t>
      </w:r>
    </w:p>
    <w:p w:rsidRPr="00465835" w:rsidR="00DB5FBB" w:rsidRDefault="00DB5FBB" w14:paraId="7C6A964F" w14:textId="77777777">
      <w:pPr>
        <w:pStyle w:val="BodyText"/>
        <w:tabs>
          <w:tab w:val="clear" w:pos="576"/>
          <w:tab w:val="left" w:pos="0"/>
        </w:tabs>
        <w:rPr>
          <w:rFonts w:ascii="Arial" w:hAnsi="Arial" w:cs="Arial"/>
          <w:sz w:val="20"/>
        </w:rPr>
      </w:pPr>
    </w:p>
    <w:p w:rsidR="009B33D9" w:rsidRDefault="00CE24B5" w14:paraId="20154312" w14:textId="77777777">
      <w:pPr>
        <w:pStyle w:val="BodyText"/>
        <w:tabs>
          <w:tab w:val="clear" w:pos="576"/>
          <w:tab w:val="left" w:pos="0"/>
        </w:tabs>
        <w:rPr>
          <w:rFonts w:ascii="Arial" w:hAnsi="Arial" w:cs="Arial"/>
          <w:sz w:val="20"/>
        </w:rPr>
      </w:pPr>
      <w:r w:rsidRPr="00465835">
        <w:rPr>
          <w:rFonts w:ascii="Arial" w:hAnsi="Arial" w:cs="Arial"/>
          <w:sz w:val="20"/>
        </w:rPr>
        <w:t>This information collection does not employ statistical methods</w:t>
      </w:r>
      <w:r w:rsidRPr="00465835" w:rsidR="009B33D9">
        <w:rPr>
          <w:rFonts w:ascii="Arial" w:hAnsi="Arial" w:cs="Arial"/>
          <w:sz w:val="20"/>
        </w:rPr>
        <w:t xml:space="preserve">. </w:t>
      </w:r>
      <w:r w:rsidR="00DB3BBE">
        <w:rPr>
          <w:rFonts w:ascii="Arial" w:hAnsi="Arial" w:cs="Arial"/>
          <w:sz w:val="20"/>
        </w:rPr>
        <w:t xml:space="preserve"> </w:t>
      </w:r>
    </w:p>
    <w:p w:rsidR="000070F4" w:rsidRDefault="000070F4" w14:paraId="6ABAD271" w14:textId="77777777">
      <w:pPr>
        <w:pStyle w:val="BodyText"/>
        <w:tabs>
          <w:tab w:val="clear" w:pos="576"/>
          <w:tab w:val="left" w:pos="0"/>
        </w:tabs>
        <w:rPr>
          <w:rFonts w:ascii="Arial" w:hAnsi="Arial" w:cs="Arial"/>
          <w:sz w:val="20"/>
        </w:rPr>
      </w:pPr>
    </w:p>
    <w:p w:rsidRPr="00465835" w:rsidR="000070F4" w:rsidRDefault="000070F4" w14:paraId="1C282F24" w14:textId="77777777">
      <w:pPr>
        <w:pStyle w:val="BodyText"/>
        <w:tabs>
          <w:tab w:val="clear" w:pos="576"/>
          <w:tab w:val="left" w:pos="0"/>
        </w:tabs>
        <w:rPr>
          <w:rFonts w:ascii="Arial" w:hAnsi="Arial" w:cs="Arial"/>
          <w:sz w:val="20"/>
        </w:rPr>
      </w:pPr>
    </w:p>
    <w:sectPr w:rsidRPr="00465835" w:rsidR="000070F4" w:rsidSect="005610F0">
      <w:headerReference w:type="even" r:id="rId13"/>
      <w:headerReference w:type="default" r:id="rId14"/>
      <w:footerReference w:type="even" r:id="rId15"/>
      <w:footerReference w:type="default" r:id="rId16"/>
      <w:footnotePr>
        <w:numRestart w:val="eachSect"/>
      </w:foot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5025" w14:textId="77777777" w:rsidR="002E06EB" w:rsidRDefault="002E06EB">
      <w:r>
        <w:separator/>
      </w:r>
    </w:p>
  </w:endnote>
  <w:endnote w:type="continuationSeparator" w:id="0">
    <w:p w14:paraId="1160E7D7" w14:textId="77777777" w:rsidR="002E06EB" w:rsidRDefault="002E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3CE9" w14:textId="77777777" w:rsidR="00861B4E" w:rsidRDefault="00861B4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6CA3F7" w14:textId="77777777" w:rsidR="00861B4E" w:rsidRDefault="00861B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15CE" w14:textId="5940A5C7" w:rsidR="00861B4E" w:rsidRPr="00465835" w:rsidRDefault="00861B4E">
    <w:pPr>
      <w:pStyle w:val="Footer"/>
      <w:jc w:val="center"/>
      <w:rPr>
        <w:rFonts w:ascii="Arial" w:hAnsi="Arial" w:cs="Arial"/>
      </w:rPr>
    </w:pPr>
    <w:r w:rsidRPr="00465835">
      <w:rPr>
        <w:rStyle w:val="PageNumber"/>
        <w:rFonts w:ascii="Arial" w:hAnsi="Arial" w:cs="Arial"/>
      </w:rPr>
      <w:fldChar w:fldCharType="begin"/>
    </w:r>
    <w:r w:rsidRPr="00465835">
      <w:rPr>
        <w:rStyle w:val="PageNumber"/>
        <w:rFonts w:ascii="Arial" w:hAnsi="Arial" w:cs="Arial"/>
      </w:rPr>
      <w:instrText xml:space="preserve"> PAGE </w:instrText>
    </w:r>
    <w:r w:rsidRPr="00465835">
      <w:rPr>
        <w:rStyle w:val="PageNumber"/>
        <w:rFonts w:ascii="Arial" w:hAnsi="Arial" w:cs="Arial"/>
      </w:rPr>
      <w:fldChar w:fldCharType="separate"/>
    </w:r>
    <w:r w:rsidR="0079685B">
      <w:rPr>
        <w:rStyle w:val="PageNumber"/>
        <w:rFonts w:ascii="Arial" w:hAnsi="Arial" w:cs="Arial"/>
        <w:noProof/>
      </w:rPr>
      <w:t>1</w:t>
    </w:r>
    <w:r w:rsidRPr="00465835">
      <w:rPr>
        <w:rStyle w:val="PageNumber"/>
        <w:rFonts w:ascii="Arial" w:hAnsi="Arial" w:cs="Arial"/>
      </w:rPr>
      <w:fldChar w:fldCharType="end"/>
    </w:r>
    <w:r w:rsidRPr="00465835">
      <w:rPr>
        <w:rStyle w:val="PageNumber"/>
        <w:rFonts w:ascii="Arial" w:hAnsi="Arial" w:cs="Arial"/>
      </w:rPr>
      <w:t xml:space="preserve"> of  </w:t>
    </w:r>
    <w:r w:rsidRPr="00465835">
      <w:rPr>
        <w:rStyle w:val="PageNumber"/>
        <w:rFonts w:ascii="Arial" w:hAnsi="Arial" w:cs="Arial"/>
      </w:rPr>
      <w:fldChar w:fldCharType="begin"/>
    </w:r>
    <w:r w:rsidRPr="00465835">
      <w:rPr>
        <w:rStyle w:val="PageNumber"/>
        <w:rFonts w:ascii="Arial" w:hAnsi="Arial" w:cs="Arial"/>
      </w:rPr>
      <w:instrText xml:space="preserve"> NUMPAGES </w:instrText>
    </w:r>
    <w:r w:rsidRPr="00465835">
      <w:rPr>
        <w:rStyle w:val="PageNumber"/>
        <w:rFonts w:ascii="Arial" w:hAnsi="Arial" w:cs="Arial"/>
      </w:rPr>
      <w:fldChar w:fldCharType="separate"/>
    </w:r>
    <w:r w:rsidR="0079685B">
      <w:rPr>
        <w:rStyle w:val="PageNumber"/>
        <w:rFonts w:ascii="Arial" w:hAnsi="Arial" w:cs="Arial"/>
        <w:noProof/>
      </w:rPr>
      <w:t>3</w:t>
    </w:r>
    <w:r w:rsidRPr="0046583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849AF" w14:textId="77777777" w:rsidR="002E06EB" w:rsidRDefault="002E06EB">
      <w:r>
        <w:separator/>
      </w:r>
    </w:p>
  </w:footnote>
  <w:footnote w:type="continuationSeparator" w:id="0">
    <w:p w14:paraId="0A700E53" w14:textId="77777777" w:rsidR="002E06EB" w:rsidRDefault="002E06EB">
      <w:r>
        <w:continuationSeparator/>
      </w:r>
    </w:p>
  </w:footnote>
  <w:footnote w:id="1">
    <w:p w14:paraId="351CBB7A" w14:textId="77777777" w:rsidR="00861B4E" w:rsidRPr="00592F0D" w:rsidRDefault="00861B4E">
      <w:pPr>
        <w:pStyle w:val="FootnoteText"/>
        <w:rPr>
          <w:rFonts w:ascii="Arial" w:hAnsi="Arial" w:cs="Arial"/>
          <w:sz w:val="16"/>
          <w:szCs w:val="16"/>
        </w:rPr>
      </w:pPr>
      <w:r w:rsidRPr="00592F0D">
        <w:rPr>
          <w:rStyle w:val="FootnoteReference"/>
          <w:rFonts w:ascii="Arial" w:hAnsi="Arial" w:cs="Arial"/>
          <w:sz w:val="16"/>
          <w:szCs w:val="16"/>
        </w:rPr>
        <w:footnoteRef/>
      </w:r>
      <w:r w:rsidRPr="00592F0D">
        <w:rPr>
          <w:rFonts w:ascii="Arial" w:hAnsi="Arial" w:cs="Arial"/>
          <w:sz w:val="16"/>
          <w:szCs w:val="16"/>
        </w:rPr>
        <w:t xml:space="preserve">  The use of any electronic DOI system is at the discretion of an owner/operator of the waterfront facility or vessel that engages in oil or hazardous materials transfers.  </w:t>
      </w:r>
    </w:p>
  </w:footnote>
  <w:footnote w:id="2">
    <w:p w14:paraId="2A510C84" w14:textId="77777777" w:rsidR="00861B4E" w:rsidRPr="00495FFA" w:rsidRDefault="00861B4E" w:rsidP="005C0B81">
      <w:pPr>
        <w:pStyle w:val="FootnoteText"/>
        <w:rPr>
          <w:rFonts w:ascii="Arial" w:hAnsi="Arial" w:cs="Arial"/>
          <w:sz w:val="16"/>
          <w:szCs w:val="16"/>
        </w:rPr>
      </w:pPr>
      <w:r w:rsidRPr="00495FFA">
        <w:rPr>
          <w:rStyle w:val="FootnoteReference"/>
          <w:rFonts w:ascii="Arial" w:hAnsi="Arial" w:cs="Arial"/>
          <w:sz w:val="16"/>
          <w:szCs w:val="16"/>
        </w:rPr>
        <w:footnoteRef/>
      </w:r>
      <w:r w:rsidRPr="00495FFA">
        <w:rPr>
          <w:rFonts w:ascii="Arial" w:hAnsi="Arial" w:cs="Arial"/>
          <w:sz w:val="16"/>
          <w:szCs w:val="16"/>
        </w:rPr>
        <w:t xml:space="preserve">  The time estimate (i.e., 18 minutes) to complete a DOI reflects both the vessel and facility time.  </w:t>
      </w:r>
    </w:p>
  </w:footnote>
  <w:footnote w:id="3">
    <w:p w14:paraId="0259EB97" w14:textId="77777777" w:rsidR="00515331" w:rsidRDefault="00515331" w:rsidP="00515331">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https://www.bls.gov/oes/2020/may/oes535031.htm</w:t>
        </w:r>
      </w:hyperlink>
      <w:r>
        <w:rPr>
          <w:rStyle w:val="Hyperlink"/>
          <w:rFonts w:ascii="Arial" w:hAnsi="Arial" w:cs="Arial"/>
          <w:sz w:val="18"/>
          <w:szCs w:val="18"/>
        </w:rPr>
        <w:t xml:space="preserve">  </w:t>
      </w:r>
    </w:p>
  </w:footnote>
  <w:footnote w:id="4">
    <w:p w14:paraId="4EAFA5D8" w14:textId="77777777" w:rsidR="00515331" w:rsidRDefault="00515331" w:rsidP="00515331">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https://www.bls.gov/oes/2020/may/oes535011.htm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1067" w14:textId="56E82BB6" w:rsidR="00861B4E" w:rsidRDefault="00861B4E">
    <w:pPr>
      <w:pStyle w:val="Header"/>
    </w:pPr>
    <w:r>
      <w:t>OMB 2115-0506</w:t>
    </w:r>
    <w:r>
      <w:tab/>
    </w:r>
    <w:r>
      <w:tab/>
    </w:r>
    <w:r>
      <w:fldChar w:fldCharType="begin"/>
    </w:r>
    <w:r>
      <w:instrText xml:space="preserve"> DATE \@ "MM/dd/yy" </w:instrText>
    </w:r>
    <w:r>
      <w:fldChar w:fldCharType="separate"/>
    </w:r>
    <w:r w:rsidR="0079685B">
      <w:rPr>
        <w:noProof/>
      </w:rPr>
      <w:t>05/18/22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DD2EE" w14:textId="77777777" w:rsidR="00861B4E" w:rsidRPr="00465835" w:rsidRDefault="00861B4E">
    <w:pPr>
      <w:pStyle w:val="Header"/>
      <w:rPr>
        <w:rFonts w:ascii="Arial" w:hAnsi="Arial" w:cs="Arial"/>
      </w:rPr>
    </w:pPr>
    <w:r w:rsidRPr="00465835">
      <w:rPr>
        <w:rFonts w:ascii="Arial" w:hAnsi="Arial" w:cs="Arial"/>
      </w:rPr>
      <w:t xml:space="preserve">1625-0039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62130A"/>
    <w:multiLevelType w:val="hybridMultilevel"/>
    <w:tmpl w:val="312CEF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7D877B0"/>
    <w:multiLevelType w:val="hybridMultilevel"/>
    <w:tmpl w:val="DF2A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316569"/>
    <w:multiLevelType w:val="hybridMultilevel"/>
    <w:tmpl w:val="5B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548DC"/>
    <w:multiLevelType w:val="hybridMultilevel"/>
    <w:tmpl w:val="383A8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CA3670"/>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0716D3C"/>
    <w:multiLevelType w:val="hybridMultilevel"/>
    <w:tmpl w:val="EDBA7BF2"/>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31F21"/>
    <w:multiLevelType w:val="hybridMultilevel"/>
    <w:tmpl w:val="B46E6A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10"/>
  </w:num>
  <w:num w:numId="6">
    <w:abstractNumId w:val="1"/>
  </w:num>
  <w:num w:numId="7">
    <w:abstractNumId w:val="5"/>
  </w:num>
  <w:num w:numId="8">
    <w:abstractNumId w:val="6"/>
  </w:num>
  <w:num w:numId="9">
    <w:abstractNumId w:val="4"/>
  </w:num>
  <w:num w:numId="10">
    <w:abstractNumId w:val="9"/>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3B"/>
    <w:rsid w:val="00002E0A"/>
    <w:rsid w:val="000070F4"/>
    <w:rsid w:val="0002056D"/>
    <w:rsid w:val="0004173B"/>
    <w:rsid w:val="00054647"/>
    <w:rsid w:val="00093207"/>
    <w:rsid w:val="00093460"/>
    <w:rsid w:val="00094177"/>
    <w:rsid w:val="00097FB2"/>
    <w:rsid w:val="000E77C5"/>
    <w:rsid w:val="000F60E8"/>
    <w:rsid w:val="00105E76"/>
    <w:rsid w:val="00115D44"/>
    <w:rsid w:val="00120D7D"/>
    <w:rsid w:val="001249F3"/>
    <w:rsid w:val="0012736B"/>
    <w:rsid w:val="00162D58"/>
    <w:rsid w:val="0016702E"/>
    <w:rsid w:val="0017001F"/>
    <w:rsid w:val="00173109"/>
    <w:rsid w:val="00183802"/>
    <w:rsid w:val="0018578F"/>
    <w:rsid w:val="00191A40"/>
    <w:rsid w:val="00193EAA"/>
    <w:rsid w:val="001A5645"/>
    <w:rsid w:val="001B03F2"/>
    <w:rsid w:val="001C1C3B"/>
    <w:rsid w:val="001D37BD"/>
    <w:rsid w:val="001D737B"/>
    <w:rsid w:val="001F133B"/>
    <w:rsid w:val="00201E61"/>
    <w:rsid w:val="00211F8C"/>
    <w:rsid w:val="00220E1B"/>
    <w:rsid w:val="00222488"/>
    <w:rsid w:val="002254AD"/>
    <w:rsid w:val="00242903"/>
    <w:rsid w:val="00247DB2"/>
    <w:rsid w:val="00257506"/>
    <w:rsid w:val="002647E5"/>
    <w:rsid w:val="002654A7"/>
    <w:rsid w:val="0026570D"/>
    <w:rsid w:val="00275798"/>
    <w:rsid w:val="002B02C5"/>
    <w:rsid w:val="002C47E3"/>
    <w:rsid w:val="002C5C43"/>
    <w:rsid w:val="002C79D9"/>
    <w:rsid w:val="002E06EB"/>
    <w:rsid w:val="002E544E"/>
    <w:rsid w:val="002F0E07"/>
    <w:rsid w:val="003010D7"/>
    <w:rsid w:val="003036D5"/>
    <w:rsid w:val="003052E2"/>
    <w:rsid w:val="00314A49"/>
    <w:rsid w:val="00324593"/>
    <w:rsid w:val="00350C35"/>
    <w:rsid w:val="0037544A"/>
    <w:rsid w:val="003801E7"/>
    <w:rsid w:val="003833CB"/>
    <w:rsid w:val="00393965"/>
    <w:rsid w:val="003A4307"/>
    <w:rsid w:val="003A5BD4"/>
    <w:rsid w:val="003B067A"/>
    <w:rsid w:val="003B573D"/>
    <w:rsid w:val="003E6D53"/>
    <w:rsid w:val="0040349B"/>
    <w:rsid w:val="00404450"/>
    <w:rsid w:val="00411683"/>
    <w:rsid w:val="00412564"/>
    <w:rsid w:val="004141A1"/>
    <w:rsid w:val="004466C0"/>
    <w:rsid w:val="00465835"/>
    <w:rsid w:val="004671D8"/>
    <w:rsid w:val="004718A3"/>
    <w:rsid w:val="00484A5A"/>
    <w:rsid w:val="00495FFA"/>
    <w:rsid w:val="004A7B00"/>
    <w:rsid w:val="00503A85"/>
    <w:rsid w:val="00515331"/>
    <w:rsid w:val="00516E5A"/>
    <w:rsid w:val="005171AB"/>
    <w:rsid w:val="00520BAC"/>
    <w:rsid w:val="0052211F"/>
    <w:rsid w:val="0055727A"/>
    <w:rsid w:val="0055794D"/>
    <w:rsid w:val="005610F0"/>
    <w:rsid w:val="00571475"/>
    <w:rsid w:val="00592F0D"/>
    <w:rsid w:val="005A0D18"/>
    <w:rsid w:val="005B24CB"/>
    <w:rsid w:val="005C0B81"/>
    <w:rsid w:val="006261C2"/>
    <w:rsid w:val="00652F0E"/>
    <w:rsid w:val="00662A1A"/>
    <w:rsid w:val="006A528B"/>
    <w:rsid w:val="006E6F92"/>
    <w:rsid w:val="006E7071"/>
    <w:rsid w:val="006F0FC2"/>
    <w:rsid w:val="00704D23"/>
    <w:rsid w:val="00704D53"/>
    <w:rsid w:val="007100FC"/>
    <w:rsid w:val="00714DFC"/>
    <w:rsid w:val="00716F59"/>
    <w:rsid w:val="0072748E"/>
    <w:rsid w:val="007362C6"/>
    <w:rsid w:val="00744E7E"/>
    <w:rsid w:val="00762CAD"/>
    <w:rsid w:val="00762ED7"/>
    <w:rsid w:val="0078160C"/>
    <w:rsid w:val="00782EEC"/>
    <w:rsid w:val="0079685B"/>
    <w:rsid w:val="007B0CF9"/>
    <w:rsid w:val="007B6CC4"/>
    <w:rsid w:val="007C1FB2"/>
    <w:rsid w:val="007D5687"/>
    <w:rsid w:val="007F0867"/>
    <w:rsid w:val="007F0C6D"/>
    <w:rsid w:val="007F774F"/>
    <w:rsid w:val="008108F5"/>
    <w:rsid w:val="00813564"/>
    <w:rsid w:val="00815696"/>
    <w:rsid w:val="00844F5E"/>
    <w:rsid w:val="00861B4E"/>
    <w:rsid w:val="00867961"/>
    <w:rsid w:val="008751DF"/>
    <w:rsid w:val="00880BCE"/>
    <w:rsid w:val="00880DD6"/>
    <w:rsid w:val="00890898"/>
    <w:rsid w:val="008B6E65"/>
    <w:rsid w:val="008B6E7C"/>
    <w:rsid w:val="008C4BA6"/>
    <w:rsid w:val="008E3A53"/>
    <w:rsid w:val="008E54A9"/>
    <w:rsid w:val="0092086A"/>
    <w:rsid w:val="00923E0D"/>
    <w:rsid w:val="00930F37"/>
    <w:rsid w:val="009319B1"/>
    <w:rsid w:val="009550F6"/>
    <w:rsid w:val="00961F12"/>
    <w:rsid w:val="00976A07"/>
    <w:rsid w:val="009876BC"/>
    <w:rsid w:val="009B33D9"/>
    <w:rsid w:val="009B6614"/>
    <w:rsid w:val="009C095A"/>
    <w:rsid w:val="009C69D5"/>
    <w:rsid w:val="009D374C"/>
    <w:rsid w:val="009D4DD6"/>
    <w:rsid w:val="009D66C4"/>
    <w:rsid w:val="009E104D"/>
    <w:rsid w:val="009E29C3"/>
    <w:rsid w:val="00A04051"/>
    <w:rsid w:val="00A42257"/>
    <w:rsid w:val="00A45477"/>
    <w:rsid w:val="00A7252A"/>
    <w:rsid w:val="00A863B8"/>
    <w:rsid w:val="00AA034D"/>
    <w:rsid w:val="00AA626B"/>
    <w:rsid w:val="00AE2BB8"/>
    <w:rsid w:val="00AF5B35"/>
    <w:rsid w:val="00B37742"/>
    <w:rsid w:val="00B80F19"/>
    <w:rsid w:val="00B86EDD"/>
    <w:rsid w:val="00BC470F"/>
    <w:rsid w:val="00BC7FC8"/>
    <w:rsid w:val="00C013C6"/>
    <w:rsid w:val="00C05C1E"/>
    <w:rsid w:val="00C63CF9"/>
    <w:rsid w:val="00C87FD0"/>
    <w:rsid w:val="00CC2396"/>
    <w:rsid w:val="00CC347F"/>
    <w:rsid w:val="00CC5988"/>
    <w:rsid w:val="00CC6E66"/>
    <w:rsid w:val="00CD476A"/>
    <w:rsid w:val="00CD75F2"/>
    <w:rsid w:val="00CE24B5"/>
    <w:rsid w:val="00CF76EE"/>
    <w:rsid w:val="00D00937"/>
    <w:rsid w:val="00D02CE1"/>
    <w:rsid w:val="00D06F9F"/>
    <w:rsid w:val="00D13DBA"/>
    <w:rsid w:val="00D17271"/>
    <w:rsid w:val="00D24F50"/>
    <w:rsid w:val="00D35BEE"/>
    <w:rsid w:val="00D469A0"/>
    <w:rsid w:val="00D60A61"/>
    <w:rsid w:val="00D9171C"/>
    <w:rsid w:val="00DA1A81"/>
    <w:rsid w:val="00DA7C8E"/>
    <w:rsid w:val="00DB3BBE"/>
    <w:rsid w:val="00DB5FBB"/>
    <w:rsid w:val="00DD316A"/>
    <w:rsid w:val="00DE2CEB"/>
    <w:rsid w:val="00DF7C47"/>
    <w:rsid w:val="00E01AC8"/>
    <w:rsid w:val="00E06391"/>
    <w:rsid w:val="00E13E1E"/>
    <w:rsid w:val="00E32F5E"/>
    <w:rsid w:val="00E57696"/>
    <w:rsid w:val="00E872A5"/>
    <w:rsid w:val="00E92369"/>
    <w:rsid w:val="00EC5B4B"/>
    <w:rsid w:val="00F017D0"/>
    <w:rsid w:val="00F177CF"/>
    <w:rsid w:val="00F2570A"/>
    <w:rsid w:val="00F508DF"/>
    <w:rsid w:val="00FD0DAD"/>
    <w:rsid w:val="00FE0FEE"/>
    <w:rsid w:val="00FE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08F3810"/>
  <w15:chartTrackingRefBased/>
  <w15:docId w15:val="{604DCA11-5B32-4656-8BD8-E267DFA4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F0"/>
  </w:style>
  <w:style w:type="paragraph" w:styleId="Heading1">
    <w:name w:val="heading 1"/>
    <w:basedOn w:val="Normal"/>
    <w:next w:val="Normal"/>
    <w:qFormat/>
    <w:rsid w:val="005610F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5610F0"/>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5610F0"/>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5610F0"/>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5610F0"/>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5610F0"/>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5610F0"/>
    <w:pPr>
      <w:keepNext/>
      <w:outlineLvl w:val="6"/>
    </w:pPr>
    <w:rPr>
      <w:rFonts w:ascii="Arial" w:hAnsi="Arial"/>
      <w:b/>
      <w:snapToGrid w:val="0"/>
      <w:color w:val="000000"/>
    </w:rPr>
  </w:style>
  <w:style w:type="paragraph" w:styleId="Heading8">
    <w:name w:val="heading 8"/>
    <w:basedOn w:val="Normal"/>
    <w:next w:val="Normal"/>
    <w:qFormat/>
    <w:rsid w:val="005610F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outlineLvl w:val="7"/>
    </w:pPr>
    <w:rPr>
      <w:b/>
      <w:bCs/>
      <w:sz w:val="22"/>
    </w:rPr>
  </w:style>
  <w:style w:type="paragraph" w:styleId="Heading9">
    <w:name w:val="heading 9"/>
    <w:basedOn w:val="Normal"/>
    <w:next w:val="Normal"/>
    <w:qFormat/>
    <w:rsid w:val="005610F0"/>
    <w:pPr>
      <w:keepNext/>
      <w:ind w:left="150"/>
      <w:outlineLvl w:val="8"/>
    </w:pPr>
    <w:rPr>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10F0"/>
    <w:pPr>
      <w:tabs>
        <w:tab w:val="center" w:pos="4320"/>
        <w:tab w:val="right" w:pos="8640"/>
      </w:tabs>
    </w:pPr>
  </w:style>
  <w:style w:type="character" w:styleId="PageNumber">
    <w:name w:val="page number"/>
    <w:basedOn w:val="DefaultParagraphFont"/>
    <w:rsid w:val="005610F0"/>
  </w:style>
  <w:style w:type="paragraph" w:styleId="BodyText">
    <w:name w:val="Body Text"/>
    <w:basedOn w:val="Normal"/>
    <w:rsid w:val="005610F0"/>
    <w:pPr>
      <w:widowControl w:val="0"/>
      <w:tabs>
        <w:tab w:val="left" w:pos="576"/>
        <w:tab w:val="left" w:pos="1440"/>
      </w:tabs>
    </w:pPr>
    <w:rPr>
      <w:rFonts w:ascii="Courier" w:hAnsi="Courier"/>
      <w:sz w:val="24"/>
    </w:rPr>
  </w:style>
  <w:style w:type="paragraph" w:styleId="BodyTextIndent">
    <w:name w:val="Body Text Indent"/>
    <w:basedOn w:val="Normal"/>
    <w:rsid w:val="005610F0"/>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5610F0"/>
    <w:pPr>
      <w:tabs>
        <w:tab w:val="center" w:pos="4320"/>
        <w:tab w:val="right" w:pos="8640"/>
      </w:tabs>
    </w:pPr>
  </w:style>
  <w:style w:type="paragraph" w:styleId="BodyTextIndent2">
    <w:name w:val="Body Text Indent 2"/>
    <w:basedOn w:val="Normal"/>
    <w:rsid w:val="005610F0"/>
    <w:pPr>
      <w:widowControl w:val="0"/>
      <w:tabs>
        <w:tab w:val="left" w:pos="1440"/>
      </w:tabs>
      <w:ind w:firstLine="540"/>
    </w:pPr>
    <w:rPr>
      <w:rFonts w:ascii="Courier New" w:hAnsi="Courier New"/>
      <w:sz w:val="22"/>
    </w:rPr>
  </w:style>
  <w:style w:type="paragraph" w:styleId="Title">
    <w:name w:val="Title"/>
    <w:basedOn w:val="Normal"/>
    <w:qFormat/>
    <w:rsid w:val="005610F0"/>
    <w:pPr>
      <w:widowControl w:val="0"/>
      <w:tabs>
        <w:tab w:val="left" w:pos="1008"/>
        <w:tab w:val="center" w:pos="4752"/>
        <w:tab w:val="left" w:pos="5040"/>
      </w:tabs>
      <w:jc w:val="center"/>
    </w:pPr>
    <w:rPr>
      <w:rFonts w:ascii="Courier New" w:hAnsi="Courier New"/>
      <w:b/>
      <w:sz w:val="22"/>
    </w:rPr>
  </w:style>
  <w:style w:type="paragraph" w:styleId="FootnoteText">
    <w:name w:val="footnote text"/>
    <w:basedOn w:val="Normal"/>
    <w:link w:val="FootnoteTextChar"/>
    <w:rsid w:val="005610F0"/>
  </w:style>
  <w:style w:type="character" w:styleId="FootnoteReference">
    <w:name w:val="footnote reference"/>
    <w:rsid w:val="005610F0"/>
    <w:rPr>
      <w:vertAlign w:val="superscript"/>
    </w:rPr>
  </w:style>
  <w:style w:type="paragraph" w:styleId="BodyTextIndent3">
    <w:name w:val="Body Text Indent 3"/>
    <w:basedOn w:val="Normal"/>
    <w:rsid w:val="005610F0"/>
    <w:pPr>
      <w:ind w:left="1980" w:hanging="540"/>
    </w:pPr>
    <w:rPr>
      <w:rFonts w:ascii="Courier New" w:hAnsi="Courier New"/>
      <w:sz w:val="24"/>
    </w:rPr>
  </w:style>
  <w:style w:type="character" w:styleId="Hyperlink">
    <w:name w:val="Hyperlink"/>
    <w:rsid w:val="005610F0"/>
    <w:rPr>
      <w:color w:val="0000FF"/>
      <w:u w:val="single"/>
    </w:rPr>
  </w:style>
  <w:style w:type="paragraph" w:styleId="BalloonText">
    <w:name w:val="Balloon Text"/>
    <w:basedOn w:val="Normal"/>
    <w:semiHidden/>
    <w:rsid w:val="008108F5"/>
    <w:rPr>
      <w:rFonts w:ascii="Tahoma" w:hAnsi="Tahoma" w:cs="Tahoma"/>
      <w:sz w:val="16"/>
      <w:szCs w:val="16"/>
    </w:rPr>
  </w:style>
  <w:style w:type="character" w:styleId="CommentReference">
    <w:name w:val="annotation reference"/>
    <w:semiHidden/>
    <w:rsid w:val="008108F5"/>
    <w:rPr>
      <w:sz w:val="16"/>
      <w:szCs w:val="16"/>
    </w:rPr>
  </w:style>
  <w:style w:type="paragraph" w:styleId="CommentText">
    <w:name w:val="annotation text"/>
    <w:basedOn w:val="Normal"/>
    <w:semiHidden/>
    <w:rsid w:val="008108F5"/>
  </w:style>
  <w:style w:type="paragraph" w:styleId="CommentSubject">
    <w:name w:val="annotation subject"/>
    <w:basedOn w:val="CommentText"/>
    <w:next w:val="CommentText"/>
    <w:semiHidden/>
    <w:rsid w:val="008108F5"/>
    <w:rPr>
      <w:b/>
      <w:bCs/>
    </w:rPr>
  </w:style>
  <w:style w:type="paragraph" w:customStyle="1" w:styleId="TxBrp13">
    <w:name w:val="TxBr_p13"/>
    <w:basedOn w:val="Normal"/>
    <w:rsid w:val="00DB5FBB"/>
    <w:pPr>
      <w:widowControl w:val="0"/>
      <w:tabs>
        <w:tab w:val="left" w:pos="748"/>
      </w:tabs>
      <w:spacing w:line="238" w:lineRule="atLeast"/>
      <w:ind w:firstLine="748"/>
    </w:pPr>
    <w:rPr>
      <w:sz w:val="24"/>
    </w:rPr>
  </w:style>
  <w:style w:type="paragraph" w:customStyle="1" w:styleId="TxBrp12">
    <w:name w:val="TxBr_p12"/>
    <w:basedOn w:val="Normal"/>
    <w:rsid w:val="009550F6"/>
    <w:pPr>
      <w:widowControl w:val="0"/>
      <w:tabs>
        <w:tab w:val="left" w:pos="674"/>
      </w:tabs>
      <w:spacing w:line="238" w:lineRule="atLeast"/>
    </w:pPr>
    <w:rPr>
      <w:snapToGrid w:val="0"/>
      <w:sz w:val="24"/>
    </w:rPr>
  </w:style>
  <w:style w:type="character" w:styleId="FollowedHyperlink">
    <w:name w:val="FollowedHyperlink"/>
    <w:rsid w:val="00FE7FE6"/>
    <w:rPr>
      <w:color w:val="954F72"/>
      <w:u w:val="single"/>
    </w:rPr>
  </w:style>
  <w:style w:type="character" w:customStyle="1" w:styleId="FootnoteTextChar">
    <w:name w:val="Footnote Text Char"/>
    <w:basedOn w:val="DefaultParagraphFont"/>
    <w:link w:val="FootnoteText"/>
    <w:rsid w:val="0051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535011.htm" TargetMode="External"/><Relationship Id="rId1" Type="http://schemas.openxmlformats.org/officeDocument/2006/relationships/hyperlink" Target="https://www.bls.gov/oes/2020/may/oes535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0D768-86C4-48B5-AFC6-5FEB7BAB08F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2.xml><?xml version="1.0" encoding="utf-8"?>
<ds:datastoreItem xmlns:ds="http://schemas.openxmlformats.org/officeDocument/2006/customXml" ds:itemID="{898B78C7-8514-4F45-9E63-6583C5621568}">
  <ds:schemaRefs>
    <ds:schemaRef ds:uri="http://schemas.microsoft.com/sharepoint/v3/contenttype/forms"/>
  </ds:schemaRefs>
</ds:datastoreItem>
</file>

<file path=customXml/itemProps3.xml><?xml version="1.0" encoding="utf-8"?>
<ds:datastoreItem xmlns:ds="http://schemas.openxmlformats.org/officeDocument/2006/customXml" ds:itemID="{4F75617E-7379-47CF-B421-DA36968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F5458-549E-46AC-8285-E7D04FD8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7710</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2021-10-27T12:39:00Z</cp:lastPrinted>
  <dcterms:created xsi:type="dcterms:W3CDTF">2022-05-18T12:26:00Z</dcterms:created>
  <dcterms:modified xsi:type="dcterms:W3CDTF">2022-05-18T12:26:00Z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