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C6A" w:rsidP="004D7C6A" w:rsidRDefault="004D7C6A" w14:paraId="72E4043D" w14:textId="77777777">
      <w:pPr>
        <w:keepNext/>
        <w:rPr>
          <w:b/>
          <w:i/>
        </w:rPr>
      </w:pPr>
    </w:p>
    <w:p w:rsidRPr="007F3E5F" w:rsidR="004D7C6A" w:rsidP="004D7C6A" w:rsidRDefault="004D7C6A" w14:paraId="72E4043E" w14:textId="551124DE">
      <w:pPr>
        <w:keepNext/>
        <w:numPr>
          <w:ilvl w:val="0"/>
          <w:numId w:val="1"/>
        </w:numPr>
        <w:tabs>
          <w:tab w:val="left" w:pos="360"/>
        </w:tabs>
        <w:rPr>
          <w:rFonts w:cs="Times New Roman"/>
          <w:b/>
          <w:i/>
          <w:szCs w:val="24"/>
        </w:rPr>
      </w:pPr>
      <w:r w:rsidRPr="007F3E5F">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r w:rsidRPr="007F3E5F" w:rsidR="007E3D59">
        <w:rPr>
          <w:rFonts w:cs="Times New Roman"/>
          <w:b/>
          <w:i/>
          <w:szCs w:val="24"/>
        </w:rPr>
        <w:t>)</w:t>
      </w:r>
    </w:p>
    <w:p w:rsidRPr="007F3E5F" w:rsidR="004D7C6A" w:rsidP="004D7C6A" w:rsidRDefault="004D7C6A" w14:paraId="72E4043F" w14:textId="77777777">
      <w:pPr>
        <w:keepNext/>
        <w:numPr>
          <w:ilvl w:val="12"/>
          <w:numId w:val="0"/>
        </w:numPr>
        <w:ind w:left="360"/>
        <w:rPr>
          <w:rFonts w:cs="Times New Roman"/>
          <w:szCs w:val="24"/>
        </w:rPr>
      </w:pPr>
    </w:p>
    <w:p w:rsidR="00CE6E8E" w:rsidP="00163400" w:rsidRDefault="004F3DCF" w14:paraId="465F3B2C" w14:textId="6AD1CACF">
      <w:pPr>
        <w:ind w:left="396"/>
        <w:rPr>
          <w:rFonts w:cs="Times New Roman"/>
          <w:szCs w:val="24"/>
        </w:rPr>
      </w:pPr>
      <w:r>
        <w:rPr>
          <w:rFonts w:cs="Times New Roman"/>
          <w:szCs w:val="24"/>
        </w:rPr>
        <w:t xml:space="preserve">Consistent with requirements in the </w:t>
      </w:r>
      <w:r w:rsidRPr="007F3E5F" w:rsidR="007E70F0">
        <w:rPr>
          <w:rFonts w:cs="Times New Roman"/>
          <w:szCs w:val="24"/>
        </w:rPr>
        <w:t>Government Performance and Results Act of 1993</w:t>
      </w:r>
      <w:r w:rsidR="00F1611C">
        <w:rPr>
          <w:rFonts w:cs="Times New Roman"/>
          <w:szCs w:val="24"/>
        </w:rPr>
        <w:t xml:space="preserve"> (GPRA)</w:t>
      </w:r>
      <w:r w:rsidR="00AB534D">
        <w:rPr>
          <w:rFonts w:cs="Times New Roman"/>
          <w:szCs w:val="24"/>
        </w:rPr>
        <w:t xml:space="preserve"> (</w:t>
      </w:r>
      <w:r w:rsidRPr="007F3E5F" w:rsidR="007E70F0">
        <w:rPr>
          <w:rFonts w:cs="Times New Roman"/>
          <w:szCs w:val="24"/>
        </w:rPr>
        <w:t>Pub</w:t>
      </w:r>
      <w:r w:rsidR="0092538F">
        <w:rPr>
          <w:rFonts w:cs="Times New Roman"/>
          <w:szCs w:val="24"/>
        </w:rPr>
        <w:t>.</w:t>
      </w:r>
      <w:r w:rsidRPr="007F3E5F" w:rsidR="007E70F0">
        <w:rPr>
          <w:rFonts w:cs="Times New Roman"/>
          <w:szCs w:val="24"/>
        </w:rPr>
        <w:t xml:space="preserve"> L</w:t>
      </w:r>
      <w:r w:rsidR="00F1611C">
        <w:rPr>
          <w:rFonts w:cs="Times New Roman"/>
          <w:szCs w:val="24"/>
        </w:rPr>
        <w:t>.</w:t>
      </w:r>
      <w:r w:rsidRPr="007F3E5F" w:rsidR="007E70F0">
        <w:rPr>
          <w:rFonts w:cs="Times New Roman"/>
          <w:szCs w:val="24"/>
        </w:rPr>
        <w:t xml:space="preserve"> 103-62</w:t>
      </w:r>
      <w:r w:rsidR="0092538F">
        <w:rPr>
          <w:rFonts w:cs="Times New Roman"/>
          <w:szCs w:val="24"/>
        </w:rPr>
        <w:t xml:space="preserve">; </w:t>
      </w:r>
      <w:r w:rsidRPr="00E77FCD" w:rsidR="00E77FCD">
        <w:rPr>
          <w:rFonts w:cs="Times New Roman"/>
          <w:szCs w:val="24"/>
        </w:rPr>
        <w:t>107 Stat. 285</w:t>
      </w:r>
      <w:r w:rsidR="00E77FCD">
        <w:rPr>
          <w:rFonts w:cs="Times New Roman"/>
          <w:szCs w:val="24"/>
        </w:rPr>
        <w:t xml:space="preserve">, Aug. </w:t>
      </w:r>
      <w:r w:rsidR="0092538F">
        <w:rPr>
          <w:rFonts w:cs="Times New Roman"/>
          <w:szCs w:val="24"/>
        </w:rPr>
        <w:t>3, 1993</w:t>
      </w:r>
      <w:r w:rsidR="00AB534D">
        <w:rPr>
          <w:rFonts w:cs="Times New Roman"/>
          <w:szCs w:val="24"/>
        </w:rPr>
        <w:t>)</w:t>
      </w:r>
      <w:r w:rsidR="007E70F0">
        <w:rPr>
          <w:rFonts w:cs="Times New Roman"/>
          <w:szCs w:val="24"/>
        </w:rPr>
        <w:t>, the TSA</w:t>
      </w:r>
      <w:r w:rsidR="002832EA">
        <w:rPr>
          <w:rFonts w:cs="Times New Roman"/>
          <w:szCs w:val="24"/>
        </w:rPr>
        <w:t xml:space="preserve"> Canine Training Center (CTC)</w:t>
      </w:r>
      <w:r w:rsidR="00D73807">
        <w:rPr>
          <w:rFonts w:cs="Times New Roman"/>
          <w:szCs w:val="24"/>
        </w:rPr>
        <w:t xml:space="preserve"> </w:t>
      </w:r>
      <w:r w:rsidR="000E7A4D">
        <w:rPr>
          <w:rFonts w:cs="Times New Roman"/>
          <w:szCs w:val="24"/>
        </w:rPr>
        <w:t xml:space="preserve">evaluates the instruction </w:t>
      </w:r>
      <w:r>
        <w:rPr>
          <w:rFonts w:cs="Times New Roman"/>
          <w:szCs w:val="24"/>
        </w:rPr>
        <w:t xml:space="preserve">it delivers, through </w:t>
      </w:r>
      <w:r w:rsidR="007E70F0">
        <w:rPr>
          <w:rFonts w:cs="Times New Roman"/>
          <w:szCs w:val="24"/>
        </w:rPr>
        <w:t>a range of courses</w:t>
      </w:r>
      <w:r>
        <w:rPr>
          <w:rFonts w:cs="Times New Roman"/>
          <w:szCs w:val="24"/>
        </w:rPr>
        <w:t>,</w:t>
      </w:r>
      <w:r w:rsidR="007E70F0">
        <w:rPr>
          <w:rFonts w:cs="Times New Roman"/>
          <w:szCs w:val="24"/>
        </w:rPr>
        <w:t xml:space="preserve"> to train canines and their handlers</w:t>
      </w:r>
      <w:r>
        <w:rPr>
          <w:rFonts w:cs="Times New Roman"/>
          <w:szCs w:val="24"/>
        </w:rPr>
        <w:t xml:space="preserve">.  These handlers are </w:t>
      </w:r>
      <w:r w:rsidR="008F47B9">
        <w:rPr>
          <w:rFonts w:cs="Times New Roman"/>
          <w:szCs w:val="24"/>
        </w:rPr>
        <w:t xml:space="preserve">primarily </w:t>
      </w:r>
      <w:r w:rsidR="008F47B9">
        <w:t>TSA personnel and State and local civilian personnel working for law enforcement agencies that are responsible for the security at airports throughout the United States</w:t>
      </w:r>
      <w:r w:rsidR="007E70F0">
        <w:rPr>
          <w:rFonts w:cs="Times New Roman"/>
          <w:szCs w:val="24"/>
        </w:rPr>
        <w:t xml:space="preserve">.  </w:t>
      </w:r>
      <w:r w:rsidR="002832EA">
        <w:rPr>
          <w:rFonts w:cs="Times New Roman"/>
          <w:szCs w:val="24"/>
        </w:rPr>
        <w:t xml:space="preserve">These agencies </w:t>
      </w:r>
      <w:r w:rsidR="002832EA">
        <w:t xml:space="preserve">participate in this classroom training under agency-specific cooperative agreements with TSA’s National Explosives Detection Canine Team Program. </w:t>
      </w:r>
      <w:r w:rsidR="0049355F">
        <w:t xml:space="preserve"> </w:t>
      </w:r>
      <w:r w:rsidR="007E70F0">
        <w:rPr>
          <w:rFonts w:cs="Times New Roman"/>
          <w:szCs w:val="24"/>
        </w:rPr>
        <w:t xml:space="preserve">The courses include </w:t>
      </w:r>
      <w:r w:rsidRPr="007F3E5F" w:rsidR="007E70F0">
        <w:rPr>
          <w:rFonts w:cs="Times New Roman"/>
          <w:szCs w:val="24"/>
        </w:rPr>
        <w:t xml:space="preserve">the CTC Explosives Detection Canine Handler Course, Passenger Screening Canine </w:t>
      </w:r>
      <w:r w:rsidRPr="000C55D3" w:rsidR="007E70F0">
        <w:rPr>
          <w:rFonts w:cs="Times New Roman"/>
          <w:szCs w:val="24"/>
        </w:rPr>
        <w:t>Handler</w:t>
      </w:r>
      <w:r w:rsidRPr="007F3E5F" w:rsidR="007E70F0">
        <w:rPr>
          <w:rFonts w:cs="Times New Roman"/>
          <w:szCs w:val="24"/>
        </w:rPr>
        <w:t xml:space="preserve"> Course, </w:t>
      </w:r>
      <w:r w:rsidR="007E70F0">
        <w:rPr>
          <w:rFonts w:cs="Times New Roman"/>
          <w:szCs w:val="24"/>
        </w:rPr>
        <w:t xml:space="preserve">Bridge Course, Canine </w:t>
      </w:r>
      <w:r w:rsidR="00E94B10">
        <w:rPr>
          <w:rFonts w:cs="Times New Roman"/>
          <w:szCs w:val="24"/>
        </w:rPr>
        <w:t xml:space="preserve">Training Instructor </w:t>
      </w:r>
      <w:r w:rsidR="007E70F0">
        <w:rPr>
          <w:rFonts w:cs="Times New Roman"/>
          <w:szCs w:val="24"/>
        </w:rPr>
        <w:t xml:space="preserve">Course, </w:t>
      </w:r>
      <w:r w:rsidR="008F47B9">
        <w:rPr>
          <w:rFonts w:cs="Times New Roman"/>
          <w:szCs w:val="24"/>
        </w:rPr>
        <w:t xml:space="preserve">and </w:t>
      </w:r>
      <w:r w:rsidR="007E70F0">
        <w:rPr>
          <w:rFonts w:cs="Times New Roman"/>
          <w:szCs w:val="24"/>
        </w:rPr>
        <w:t>the Security Operations</w:t>
      </w:r>
      <w:r w:rsidR="00E94B10">
        <w:rPr>
          <w:rFonts w:cs="Times New Roman"/>
          <w:szCs w:val="24"/>
        </w:rPr>
        <w:t xml:space="preserve"> </w:t>
      </w:r>
      <w:r w:rsidR="007E70F0">
        <w:rPr>
          <w:rFonts w:cs="Times New Roman"/>
          <w:szCs w:val="24"/>
        </w:rPr>
        <w:t>Canine Management Course</w:t>
      </w:r>
      <w:r w:rsidRPr="007F3E5F" w:rsidR="007E70F0">
        <w:rPr>
          <w:rFonts w:cs="Times New Roman"/>
          <w:szCs w:val="24"/>
        </w:rPr>
        <w:t>.</w:t>
      </w:r>
      <w:r w:rsidDel="00E94B10" w:rsidR="00E94B10">
        <w:rPr>
          <w:rStyle w:val="FootnoteReference"/>
          <w:rFonts w:cs="Times New Roman"/>
          <w:szCs w:val="24"/>
        </w:rPr>
        <w:t xml:space="preserve"> </w:t>
      </w:r>
      <w:r w:rsidRPr="007F3E5F" w:rsidR="007E70F0">
        <w:rPr>
          <w:rFonts w:cs="Times New Roman"/>
          <w:szCs w:val="24"/>
        </w:rPr>
        <w:t xml:space="preserve">  </w:t>
      </w:r>
      <w:r w:rsidRPr="007F3E5F" w:rsidR="000D7600">
        <w:rPr>
          <w:rFonts w:cs="Times New Roman"/>
          <w:szCs w:val="24"/>
        </w:rPr>
        <w:t xml:space="preserve">The information obtained from TSA </w:t>
      </w:r>
      <w:r w:rsidRPr="007F3E5F" w:rsidR="00066E95">
        <w:rPr>
          <w:rFonts w:cs="Times New Roman"/>
          <w:szCs w:val="24"/>
        </w:rPr>
        <w:t xml:space="preserve">Form </w:t>
      </w:r>
      <w:r w:rsidRPr="007F3E5F" w:rsidR="000D7600">
        <w:rPr>
          <w:rFonts w:cs="Times New Roman"/>
          <w:szCs w:val="24"/>
        </w:rPr>
        <w:t xml:space="preserve">1904A, </w:t>
      </w:r>
      <w:r w:rsidRPr="004F3DCF" w:rsidR="000D7600">
        <w:rPr>
          <w:rFonts w:cs="Times New Roman"/>
          <w:szCs w:val="24"/>
        </w:rPr>
        <w:t xml:space="preserve">End of Course Level 1 </w:t>
      </w:r>
      <w:r w:rsidRPr="004F3DCF" w:rsidR="007E3B31">
        <w:rPr>
          <w:rFonts w:cs="Times New Roman"/>
          <w:szCs w:val="24"/>
        </w:rPr>
        <w:t>Evaluation</w:t>
      </w:r>
      <w:r w:rsidRPr="004F3DCF" w:rsidR="007F3E5F">
        <w:rPr>
          <w:rFonts w:cs="Times New Roman"/>
          <w:szCs w:val="24"/>
        </w:rPr>
        <w:t xml:space="preserve"> </w:t>
      </w:r>
      <w:r w:rsidRPr="004F3DCF" w:rsidR="007E3B31">
        <w:rPr>
          <w:rFonts w:cs="Times New Roman"/>
          <w:szCs w:val="24"/>
        </w:rPr>
        <w:t xml:space="preserve"> </w:t>
      </w:r>
      <w:r w:rsidRPr="004F3DCF" w:rsidR="000D7600">
        <w:rPr>
          <w:rFonts w:cs="Times New Roman"/>
          <w:szCs w:val="24"/>
        </w:rPr>
        <w:t xml:space="preserve">– </w:t>
      </w:r>
      <w:r w:rsidRPr="004F3DCF" w:rsidR="007E3B31">
        <w:rPr>
          <w:rFonts w:cs="Times New Roman"/>
          <w:szCs w:val="24"/>
        </w:rPr>
        <w:t xml:space="preserve">Instructor-Led </w:t>
      </w:r>
      <w:r w:rsidRPr="004F3DCF" w:rsidR="000D7600">
        <w:rPr>
          <w:rFonts w:cs="Times New Roman"/>
          <w:szCs w:val="24"/>
        </w:rPr>
        <w:t>Classroom Training</w:t>
      </w:r>
      <w:r w:rsidRPr="00871C8E" w:rsidR="00FA1E0C">
        <w:rPr>
          <w:rFonts w:cs="Times New Roman"/>
          <w:szCs w:val="24"/>
        </w:rPr>
        <w:t xml:space="preserve">, </w:t>
      </w:r>
      <w:r w:rsidR="00AB534D">
        <w:rPr>
          <w:rFonts w:cs="Times New Roman"/>
          <w:szCs w:val="24"/>
        </w:rPr>
        <w:t xml:space="preserve">which is provided to students </w:t>
      </w:r>
      <w:r w:rsidR="007A5192">
        <w:rPr>
          <w:rFonts w:cs="Times New Roman"/>
          <w:szCs w:val="24"/>
        </w:rPr>
        <w:t xml:space="preserve">following course completion, </w:t>
      </w:r>
      <w:r w:rsidRPr="007F3E5F" w:rsidR="000D7600">
        <w:rPr>
          <w:rFonts w:cs="Times New Roman"/>
          <w:szCs w:val="24"/>
        </w:rPr>
        <w:t xml:space="preserve">provides valuable feedback </w:t>
      </w:r>
      <w:r w:rsidR="008D6F41">
        <w:rPr>
          <w:rFonts w:cs="Times New Roman"/>
          <w:szCs w:val="24"/>
        </w:rPr>
        <w:t xml:space="preserve">about the extent to which TSA </w:t>
      </w:r>
      <w:r w:rsidR="008F47B9">
        <w:rPr>
          <w:rFonts w:cs="Times New Roman"/>
          <w:szCs w:val="24"/>
        </w:rPr>
        <w:t xml:space="preserve">personnel </w:t>
      </w:r>
      <w:r w:rsidR="008D6F41">
        <w:rPr>
          <w:rFonts w:cs="Times New Roman"/>
          <w:szCs w:val="24"/>
        </w:rPr>
        <w:t xml:space="preserve">and </w:t>
      </w:r>
      <w:r w:rsidR="008F47B9">
        <w:rPr>
          <w:rFonts w:cs="Times New Roman"/>
          <w:szCs w:val="24"/>
        </w:rPr>
        <w:t>S</w:t>
      </w:r>
      <w:r w:rsidR="008D6F41">
        <w:rPr>
          <w:rFonts w:cs="Times New Roman"/>
          <w:szCs w:val="24"/>
        </w:rPr>
        <w:t>tate and local civilian personnel (“</w:t>
      </w:r>
      <w:r w:rsidR="00A13278">
        <w:rPr>
          <w:rFonts w:cs="Times New Roman"/>
          <w:szCs w:val="24"/>
        </w:rPr>
        <w:t>TSA s</w:t>
      </w:r>
      <w:r w:rsidR="008D6F41">
        <w:rPr>
          <w:rFonts w:cs="Times New Roman"/>
          <w:szCs w:val="24"/>
        </w:rPr>
        <w:t>tudents”) are satisfied with their learning experience</w:t>
      </w:r>
      <w:r w:rsidR="008F47B9">
        <w:rPr>
          <w:rFonts w:cs="Times New Roman"/>
          <w:szCs w:val="24"/>
        </w:rPr>
        <w:t>,</w:t>
      </w:r>
      <w:r w:rsidR="008D6F41">
        <w:rPr>
          <w:rFonts w:cs="Times New Roman"/>
          <w:szCs w:val="24"/>
        </w:rPr>
        <w:t xml:space="preserve"> and is used to improve the course curriculum and course of instruction</w:t>
      </w:r>
      <w:r w:rsidRPr="007F3E5F" w:rsidR="000D7600">
        <w:rPr>
          <w:rFonts w:cs="Times New Roman"/>
          <w:szCs w:val="24"/>
        </w:rPr>
        <w:t xml:space="preserve">.  </w:t>
      </w:r>
      <w:r w:rsidR="00FA7ADA">
        <w:rPr>
          <w:rFonts w:cs="Times New Roman"/>
          <w:szCs w:val="24"/>
        </w:rPr>
        <w:t xml:space="preserve">Evaluating and improving </w:t>
      </w:r>
      <w:r w:rsidRPr="007F3E5F" w:rsidR="000D7600">
        <w:rPr>
          <w:rFonts w:cs="Times New Roman"/>
          <w:szCs w:val="24"/>
        </w:rPr>
        <w:t>the effectiveness and efficiency of instructional programs</w:t>
      </w:r>
      <w:r w:rsidR="00FA7ADA">
        <w:rPr>
          <w:rFonts w:cs="Times New Roman"/>
          <w:szCs w:val="24"/>
        </w:rPr>
        <w:t xml:space="preserve"> supports agency requirements, as dictated by GPRA, to improve government performance management.</w:t>
      </w:r>
      <w:r w:rsidR="002832EA">
        <w:rPr>
          <w:rFonts w:cs="Times New Roman"/>
          <w:szCs w:val="24"/>
        </w:rPr>
        <w:t xml:space="preserve"> </w:t>
      </w:r>
    </w:p>
    <w:p w:rsidRPr="004F3DCF" w:rsidR="004D7C6A" w:rsidP="004D7C6A" w:rsidRDefault="004D7C6A" w14:paraId="72E40441" w14:textId="77777777">
      <w:pPr>
        <w:rPr>
          <w:rFonts w:cs="Times New Roman"/>
          <w:szCs w:val="24"/>
        </w:rPr>
      </w:pPr>
    </w:p>
    <w:p w:rsidRPr="007F3E5F" w:rsidR="004D7C6A" w:rsidP="004F3DCF" w:rsidRDefault="004D7C6A" w14:paraId="72E40442" w14:textId="77777777">
      <w:pPr>
        <w:keepNext/>
        <w:numPr>
          <w:ilvl w:val="0"/>
          <w:numId w:val="1"/>
        </w:numPr>
        <w:rPr>
          <w:rFonts w:cs="Times New Roman"/>
          <w:b/>
          <w:i/>
          <w:szCs w:val="24"/>
        </w:rPr>
      </w:pPr>
      <w:r w:rsidRPr="007F3E5F">
        <w:rPr>
          <w:rFonts w:cs="Times New Roman"/>
          <w:b/>
          <w:i/>
          <w:szCs w:val="24"/>
        </w:rPr>
        <w:t>Indicate how, by whom, and for what purpose the information is to be used.  Except for a new collection, indicate the actual use the agency has made of the information received from the current collection.</w:t>
      </w:r>
    </w:p>
    <w:p w:rsidRPr="007F3E5F" w:rsidR="004D7C6A" w:rsidP="004F3DCF" w:rsidRDefault="004D7C6A" w14:paraId="72E40443" w14:textId="77777777">
      <w:pPr>
        <w:keepNext/>
        <w:ind w:left="360"/>
        <w:rPr>
          <w:rFonts w:cs="Times New Roman"/>
          <w:szCs w:val="24"/>
        </w:rPr>
      </w:pPr>
    </w:p>
    <w:p w:rsidR="006003E6" w:rsidP="004D7C6A" w:rsidRDefault="002832EA" w14:paraId="76DE49EE" w14:textId="1E1F07FE">
      <w:pPr>
        <w:ind w:left="360"/>
        <w:rPr>
          <w:rFonts w:cs="Times New Roman"/>
          <w:szCs w:val="24"/>
        </w:rPr>
      </w:pPr>
      <w:r>
        <w:t>This information collection</w:t>
      </w:r>
      <w:r w:rsidRPr="0000594C">
        <w:t xml:space="preserve"> </w:t>
      </w:r>
      <w:r>
        <w:t>captures</w:t>
      </w:r>
      <w:r w:rsidRPr="003C7770">
        <w:t xml:space="preserve"> ratings and written comments </w:t>
      </w:r>
      <w:r>
        <w:t xml:space="preserve">from students </w:t>
      </w:r>
      <w:r w:rsidRPr="003C7770">
        <w:t xml:space="preserve">about the quality of </w:t>
      </w:r>
      <w:r>
        <w:t xml:space="preserve">the </w:t>
      </w:r>
      <w:r w:rsidRPr="003C7770">
        <w:t>training</w:t>
      </w:r>
      <w:r>
        <w:t>.</w:t>
      </w:r>
      <w:r w:rsidRPr="003C7770">
        <w:t xml:space="preserve">  </w:t>
      </w:r>
      <w:r>
        <w:t xml:space="preserve">The CTC </w:t>
      </w:r>
      <w:r w:rsidRPr="003C7770">
        <w:t>collect</w:t>
      </w:r>
      <w:r>
        <w:t xml:space="preserve">s the evaluation data to determine </w:t>
      </w:r>
      <w:r>
        <w:rPr>
          <w:szCs w:val="24"/>
        </w:rPr>
        <w:t xml:space="preserve">students’ </w:t>
      </w:r>
      <w:r w:rsidRPr="007F3E5F">
        <w:rPr>
          <w:szCs w:val="24"/>
        </w:rPr>
        <w:t>satisf</w:t>
      </w:r>
      <w:r>
        <w:rPr>
          <w:szCs w:val="24"/>
        </w:rPr>
        <w:t>action</w:t>
      </w:r>
      <w:r w:rsidRPr="007F3E5F">
        <w:rPr>
          <w:szCs w:val="24"/>
        </w:rPr>
        <w:t xml:space="preserve"> with their learning experience</w:t>
      </w:r>
      <w:r>
        <w:t xml:space="preserve"> and provides it to representatives at both TSA headquarters and at CTC (e.g., to the Branch Manager, Deputy Branch Manager</w:t>
      </w:r>
      <w:r w:rsidRPr="00382659">
        <w:t>, and CTC instructional staff and supervisors</w:t>
      </w:r>
      <w:r>
        <w:t>)</w:t>
      </w:r>
      <w:r w:rsidRPr="0000594C">
        <w:t xml:space="preserve"> </w:t>
      </w:r>
      <w:r w:rsidRPr="007F3E5F">
        <w:rPr>
          <w:szCs w:val="24"/>
        </w:rPr>
        <w:t>to improve the course curriculum and course of instruction</w:t>
      </w:r>
      <w:r>
        <w:rPr>
          <w:szCs w:val="24"/>
        </w:rPr>
        <w:t xml:space="preserve">.  </w:t>
      </w:r>
      <w:r w:rsidR="007A5E3E">
        <w:t xml:space="preserve">Level 1 evaluations are standardized at TSA.  Standardization allows comparison of courses to a single, TSA-average score, as well as comparison of other courses’ average scores. </w:t>
      </w:r>
    </w:p>
    <w:p w:rsidR="006003E6" w:rsidP="004D7C6A" w:rsidRDefault="006003E6" w14:paraId="02CAE10E" w14:textId="71A03CFA">
      <w:pPr>
        <w:ind w:left="360"/>
      </w:pPr>
    </w:p>
    <w:p w:rsidRPr="007F3E5F" w:rsidR="004D7C6A" w:rsidP="00B71897" w:rsidRDefault="004D7C6A" w14:paraId="72E40446" w14:textId="77777777">
      <w:pPr>
        <w:keepNext/>
        <w:numPr>
          <w:ilvl w:val="0"/>
          <w:numId w:val="1"/>
        </w:numPr>
        <w:tabs>
          <w:tab w:val="left" w:pos="360"/>
        </w:tabs>
        <w:rPr>
          <w:rFonts w:cs="Times New Roman"/>
          <w:b/>
          <w:i/>
          <w:szCs w:val="24"/>
        </w:rPr>
      </w:pPr>
      <w:r w:rsidRPr="007F3E5F">
        <w:rPr>
          <w:rFonts w:cs="Times New Roman"/>
          <w:b/>
          <w:i/>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7F3E5F">
        <w:rPr>
          <w:rFonts w:cs="Times New Roman"/>
          <w:b/>
          <w:i/>
          <w:szCs w:val="24"/>
        </w:rPr>
        <w:lastRenderedPageBreak/>
        <w:t>consideration of using information technology to reduce burden.</w:t>
      </w:r>
      <w:r w:rsidRPr="007F3E5F">
        <w:rPr>
          <w:rFonts w:cs="Times New Roman"/>
          <w:snapToGrid w:val="0"/>
          <w:szCs w:val="24"/>
        </w:rPr>
        <w:t xml:space="preserve">  </w:t>
      </w:r>
      <w:r w:rsidRPr="007F3E5F">
        <w:rPr>
          <w:rFonts w:cs="Times New Roman"/>
          <w:b/>
          <w:i/>
          <w:snapToGrid w:val="0"/>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E77FCD" w:rsidP="004F3DCF" w:rsidRDefault="00E77FCD" w14:paraId="2154BD70" w14:textId="77777777">
      <w:pPr>
        <w:ind w:left="360"/>
        <w:rPr>
          <w:rFonts w:cs="Times New Roman"/>
          <w:color w:val="auto"/>
          <w:szCs w:val="24"/>
        </w:rPr>
      </w:pPr>
    </w:p>
    <w:p w:rsidR="004D7C6A" w:rsidP="004F3DCF" w:rsidRDefault="004D7C6A" w14:paraId="72E40447" w14:textId="086213BB">
      <w:pPr>
        <w:ind w:left="360"/>
        <w:rPr>
          <w:rFonts w:cs="Times New Roman"/>
          <w:szCs w:val="24"/>
        </w:rPr>
      </w:pPr>
      <w:r w:rsidRPr="007F3E5F">
        <w:rPr>
          <w:rFonts w:cs="Times New Roman"/>
          <w:color w:val="auto"/>
          <w:szCs w:val="24"/>
        </w:rPr>
        <w:t xml:space="preserve">The information is collected </w:t>
      </w:r>
      <w:r w:rsidRPr="007F3E5F" w:rsidR="00BB52B3">
        <w:rPr>
          <w:rFonts w:cs="Times New Roman"/>
          <w:color w:val="auto"/>
          <w:szCs w:val="24"/>
        </w:rPr>
        <w:t>electronically</w:t>
      </w:r>
      <w:r w:rsidRPr="007F3E5F">
        <w:rPr>
          <w:rFonts w:cs="Times New Roman"/>
          <w:color w:val="auto"/>
          <w:szCs w:val="24"/>
        </w:rPr>
        <w:t xml:space="preserve">.  </w:t>
      </w:r>
      <w:r w:rsidRPr="007F3E5F" w:rsidR="007E3D59">
        <w:rPr>
          <w:rFonts w:cs="Times New Roman"/>
          <w:color w:val="auto"/>
          <w:szCs w:val="24"/>
        </w:rPr>
        <w:t xml:space="preserve">In compliance with the Government Paperwork Elimination Act, </w:t>
      </w:r>
      <w:r w:rsidRPr="007F3E5F">
        <w:rPr>
          <w:rFonts w:cs="Times New Roman"/>
          <w:color w:val="auto"/>
          <w:szCs w:val="24"/>
        </w:rPr>
        <w:t xml:space="preserve">all </w:t>
      </w:r>
      <w:r w:rsidRPr="007F3E5F" w:rsidR="003B65B6">
        <w:rPr>
          <w:rFonts w:cs="Times New Roman"/>
          <w:color w:val="auto"/>
          <w:szCs w:val="24"/>
        </w:rPr>
        <w:t xml:space="preserve">TSA students, to include </w:t>
      </w:r>
      <w:r w:rsidR="00A93045">
        <w:rPr>
          <w:rFonts w:cs="Times New Roman"/>
          <w:color w:val="auto"/>
          <w:szCs w:val="24"/>
        </w:rPr>
        <w:t xml:space="preserve">civilian </w:t>
      </w:r>
      <w:r w:rsidRPr="007F3E5F" w:rsidR="003B65B6">
        <w:rPr>
          <w:rFonts w:cs="Times New Roman"/>
          <w:color w:val="auto"/>
          <w:szCs w:val="24"/>
        </w:rPr>
        <w:t xml:space="preserve">CTC students, </w:t>
      </w:r>
      <w:r w:rsidRPr="007F3E5F">
        <w:rPr>
          <w:rFonts w:cs="Times New Roman"/>
          <w:color w:val="auto"/>
          <w:szCs w:val="24"/>
        </w:rPr>
        <w:t xml:space="preserve">submit </w:t>
      </w:r>
      <w:r w:rsidRPr="007F3E5F">
        <w:rPr>
          <w:rFonts w:cs="Times New Roman"/>
          <w:szCs w:val="24"/>
        </w:rPr>
        <w:t>ratings and written comments</w:t>
      </w:r>
      <w:r w:rsidRPr="007F3E5F">
        <w:rPr>
          <w:rFonts w:cs="Times New Roman"/>
          <w:color w:val="auto"/>
          <w:szCs w:val="24"/>
        </w:rPr>
        <w:t xml:space="preserve"> electronic</w:t>
      </w:r>
      <w:r w:rsidRPr="007F3E5F" w:rsidR="007E3D59">
        <w:rPr>
          <w:rFonts w:cs="Times New Roman"/>
          <w:color w:val="auto"/>
          <w:szCs w:val="24"/>
        </w:rPr>
        <w:t xml:space="preserve">ally </w:t>
      </w:r>
      <w:r w:rsidRPr="007F3E5F">
        <w:rPr>
          <w:rFonts w:cs="Times New Roman"/>
          <w:color w:val="auto"/>
          <w:szCs w:val="24"/>
        </w:rPr>
        <w:t xml:space="preserve">through a secure </w:t>
      </w:r>
      <w:r w:rsidRPr="007F3E5F" w:rsidR="007568D0">
        <w:rPr>
          <w:rFonts w:cs="Times New Roman"/>
          <w:color w:val="auto"/>
          <w:szCs w:val="24"/>
        </w:rPr>
        <w:t xml:space="preserve">internal network drive </w:t>
      </w:r>
      <w:r w:rsidRPr="007F3E5F">
        <w:rPr>
          <w:rFonts w:cs="Times New Roman"/>
          <w:szCs w:val="24"/>
        </w:rPr>
        <w:t>accessible only by authorized personnel</w:t>
      </w:r>
      <w:r w:rsidRPr="007F3E5F" w:rsidR="006E7958">
        <w:rPr>
          <w:rFonts w:cs="Times New Roman"/>
          <w:szCs w:val="24"/>
        </w:rPr>
        <w:t>.</w:t>
      </w:r>
      <w:r w:rsidR="00B66ED2">
        <w:rPr>
          <w:rFonts w:cs="Times New Roman"/>
          <w:szCs w:val="24"/>
        </w:rPr>
        <w:t xml:space="preserve"> </w:t>
      </w:r>
      <w:r w:rsidRPr="00451EBF" w:rsidR="00451EBF">
        <w:rPr>
          <w:i/>
        </w:rPr>
        <w:t xml:space="preserve"> </w:t>
      </w:r>
      <w:r w:rsidRPr="00644067" w:rsidR="00451EBF">
        <w:rPr>
          <w:i/>
        </w:rPr>
        <w:t>See</w:t>
      </w:r>
      <w:r w:rsidR="00451EBF">
        <w:t xml:space="preserve"> 42 USC 3504.</w:t>
      </w:r>
    </w:p>
    <w:p w:rsidRPr="007F3E5F" w:rsidR="00B71897" w:rsidP="004F3DCF" w:rsidRDefault="00B71897" w14:paraId="7390FED7" w14:textId="77777777">
      <w:pPr>
        <w:ind w:left="360"/>
        <w:rPr>
          <w:rFonts w:cs="Times New Roman"/>
          <w:szCs w:val="24"/>
        </w:rPr>
      </w:pPr>
    </w:p>
    <w:p w:rsidRPr="007F3E5F" w:rsidR="004D7C6A" w:rsidP="004D7C6A" w:rsidRDefault="004D7C6A" w14:paraId="72E40448" w14:textId="77777777">
      <w:pPr>
        <w:keepNext/>
        <w:numPr>
          <w:ilvl w:val="0"/>
          <w:numId w:val="1"/>
        </w:numPr>
        <w:tabs>
          <w:tab w:val="left" w:pos="360"/>
        </w:tabs>
        <w:rPr>
          <w:rFonts w:cs="Times New Roman"/>
          <w:b/>
          <w:i/>
          <w:szCs w:val="24"/>
        </w:rPr>
      </w:pPr>
      <w:r w:rsidRPr="007F3E5F">
        <w:rPr>
          <w:rFonts w:cs="Times New Roman"/>
          <w:b/>
          <w:i/>
          <w:szCs w:val="24"/>
        </w:rPr>
        <w:t>Describe efforts to identify duplication.  Show specifically why any similar information already available cannot be used or modified for use for the purpose(s) described in Item 2 above.</w:t>
      </w:r>
    </w:p>
    <w:p w:rsidRPr="007F3E5F" w:rsidR="004D7C6A" w:rsidP="004D7C6A" w:rsidRDefault="004D7C6A" w14:paraId="72E40449" w14:textId="77777777">
      <w:pPr>
        <w:keepNext/>
        <w:numPr>
          <w:ilvl w:val="12"/>
          <w:numId w:val="0"/>
        </w:numPr>
        <w:ind w:left="360"/>
        <w:rPr>
          <w:rFonts w:cs="Times New Roman"/>
          <w:szCs w:val="24"/>
        </w:rPr>
      </w:pPr>
    </w:p>
    <w:p w:rsidRPr="007F3E5F" w:rsidR="004D7C6A" w:rsidP="004F3DCF" w:rsidRDefault="004D7C6A" w14:paraId="72E4044A" w14:textId="0050A679">
      <w:pPr>
        <w:numPr>
          <w:ilvl w:val="12"/>
          <w:numId w:val="0"/>
        </w:numPr>
        <w:ind w:left="360"/>
        <w:rPr>
          <w:rFonts w:cs="Times New Roman"/>
          <w:szCs w:val="24"/>
        </w:rPr>
      </w:pPr>
      <w:r w:rsidRPr="007F3E5F">
        <w:rPr>
          <w:rFonts w:cs="Times New Roman"/>
          <w:szCs w:val="24"/>
        </w:rPr>
        <w:t xml:space="preserve">Obtaining information from attendees, for the sole purpose of improving course </w:t>
      </w:r>
      <w:r w:rsidR="00F72CB5">
        <w:rPr>
          <w:rFonts w:cs="Times New Roman"/>
          <w:szCs w:val="24"/>
        </w:rPr>
        <w:t xml:space="preserve">instruction and </w:t>
      </w:r>
      <w:r w:rsidRPr="007F3E5F">
        <w:rPr>
          <w:rFonts w:cs="Times New Roman"/>
          <w:szCs w:val="24"/>
        </w:rPr>
        <w:t xml:space="preserve">curriculums, is the goal of the collection.  The </w:t>
      </w:r>
      <w:r w:rsidR="00FF0DF6">
        <w:rPr>
          <w:rFonts w:cs="Times New Roman"/>
          <w:szCs w:val="24"/>
        </w:rPr>
        <w:t>form</w:t>
      </w:r>
      <w:r w:rsidRPr="007F3E5F">
        <w:rPr>
          <w:rFonts w:cs="Times New Roman"/>
          <w:szCs w:val="24"/>
        </w:rPr>
        <w:t xml:space="preserve"> provides a direct and efficient way to collect feedback.  This information is not available through any other source.</w:t>
      </w:r>
    </w:p>
    <w:p w:rsidRPr="007F3E5F" w:rsidR="004D7C6A" w:rsidP="004F3DCF" w:rsidRDefault="004D7C6A" w14:paraId="72E4044B" w14:textId="77777777">
      <w:pPr>
        <w:numPr>
          <w:ilvl w:val="12"/>
          <w:numId w:val="0"/>
        </w:numPr>
        <w:ind w:left="360"/>
        <w:rPr>
          <w:rFonts w:cs="Times New Roman"/>
          <w:szCs w:val="24"/>
        </w:rPr>
      </w:pPr>
    </w:p>
    <w:p w:rsidRPr="007F3E5F" w:rsidR="004D7C6A" w:rsidP="004D7C6A" w:rsidRDefault="004D7C6A" w14:paraId="72E4044C" w14:textId="77777777">
      <w:pPr>
        <w:keepNext/>
        <w:numPr>
          <w:ilvl w:val="0"/>
          <w:numId w:val="1"/>
        </w:numPr>
        <w:tabs>
          <w:tab w:val="left" w:pos="360"/>
        </w:tabs>
        <w:rPr>
          <w:rFonts w:cs="Times New Roman"/>
          <w:b/>
          <w:i/>
          <w:szCs w:val="24"/>
        </w:rPr>
      </w:pPr>
      <w:r w:rsidRPr="007F3E5F">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Pr="007F3E5F" w:rsidR="004D7C6A" w:rsidP="004D7C6A" w:rsidRDefault="004D7C6A" w14:paraId="72E4044D" w14:textId="77777777">
      <w:pPr>
        <w:keepNext/>
        <w:numPr>
          <w:ilvl w:val="12"/>
          <w:numId w:val="0"/>
        </w:numPr>
        <w:ind w:left="360"/>
        <w:rPr>
          <w:rFonts w:cs="Times New Roman"/>
          <w:szCs w:val="24"/>
        </w:rPr>
      </w:pPr>
    </w:p>
    <w:p w:rsidRPr="007F3E5F" w:rsidR="004D7C6A" w:rsidP="004D7C6A" w:rsidRDefault="004D7C6A" w14:paraId="72E4044E" w14:textId="77777777">
      <w:pPr>
        <w:numPr>
          <w:ilvl w:val="12"/>
          <w:numId w:val="0"/>
        </w:numPr>
        <w:ind w:left="360"/>
        <w:rPr>
          <w:rFonts w:cs="Times New Roman"/>
          <w:szCs w:val="24"/>
        </w:rPr>
      </w:pPr>
      <w:r w:rsidRPr="007F3E5F">
        <w:rPr>
          <w:rFonts w:cs="Times New Roman"/>
          <w:szCs w:val="24"/>
        </w:rPr>
        <w:t>This collection does not have a significant impact on a substantial number of small businesses.</w:t>
      </w:r>
    </w:p>
    <w:p w:rsidRPr="007F3E5F" w:rsidR="004D7C6A" w:rsidP="004D7C6A" w:rsidRDefault="004D7C6A" w14:paraId="72E4044F" w14:textId="77777777">
      <w:pPr>
        <w:numPr>
          <w:ilvl w:val="12"/>
          <w:numId w:val="0"/>
        </w:numPr>
        <w:rPr>
          <w:rFonts w:cs="Times New Roman"/>
          <w:szCs w:val="24"/>
        </w:rPr>
      </w:pPr>
    </w:p>
    <w:p w:rsidRPr="007F3E5F" w:rsidR="004D7C6A" w:rsidP="004D7C6A" w:rsidRDefault="004D7C6A" w14:paraId="72E40450" w14:textId="77777777">
      <w:pPr>
        <w:keepNext/>
        <w:numPr>
          <w:ilvl w:val="0"/>
          <w:numId w:val="1"/>
        </w:numPr>
        <w:tabs>
          <w:tab w:val="left" w:pos="360"/>
        </w:tabs>
        <w:rPr>
          <w:rFonts w:cs="Times New Roman"/>
          <w:b/>
          <w:i/>
          <w:szCs w:val="24"/>
        </w:rPr>
      </w:pPr>
      <w:r w:rsidRPr="007F3E5F">
        <w:rPr>
          <w:rFonts w:cs="Times New Roman"/>
          <w:b/>
          <w:i/>
          <w:szCs w:val="24"/>
        </w:rPr>
        <w:t>Describe the consequence to Federal program or policy activities if the collection is not conducted or is conducted less frequently, as well as any technical or legal obstacles to reducing burden.</w:t>
      </w:r>
    </w:p>
    <w:p w:rsidRPr="007F3E5F" w:rsidR="004D7C6A" w:rsidP="004D7C6A" w:rsidRDefault="004D7C6A" w14:paraId="72E40451" w14:textId="77777777">
      <w:pPr>
        <w:keepNext/>
        <w:numPr>
          <w:ilvl w:val="12"/>
          <w:numId w:val="0"/>
        </w:numPr>
        <w:ind w:left="360"/>
        <w:rPr>
          <w:rFonts w:cs="Times New Roman"/>
          <w:szCs w:val="24"/>
        </w:rPr>
      </w:pPr>
    </w:p>
    <w:p w:rsidR="004D7C6A" w:rsidP="004D7C6A" w:rsidRDefault="004D7C6A" w14:paraId="72E40453" w14:textId="513BAE99">
      <w:pPr>
        <w:numPr>
          <w:ilvl w:val="12"/>
          <w:numId w:val="0"/>
        </w:numPr>
        <w:ind w:left="360"/>
        <w:rPr>
          <w:rFonts w:cs="Times New Roman"/>
          <w:szCs w:val="24"/>
        </w:rPr>
      </w:pPr>
      <w:r w:rsidRPr="007F3E5F">
        <w:rPr>
          <w:rFonts w:cs="Times New Roman"/>
          <w:szCs w:val="24"/>
        </w:rPr>
        <w:t xml:space="preserve">This information is collected from students to provide constructive feedback about their experience.  Each </w:t>
      </w:r>
      <w:r w:rsidRPr="007F3E5F" w:rsidR="0046449F">
        <w:rPr>
          <w:rFonts w:cs="Times New Roman"/>
          <w:szCs w:val="24"/>
        </w:rPr>
        <w:t>student who successfully completes the training</w:t>
      </w:r>
      <w:r w:rsidRPr="007F3E5F">
        <w:rPr>
          <w:rFonts w:cs="Times New Roman"/>
          <w:szCs w:val="24"/>
        </w:rPr>
        <w:t xml:space="preserve"> has the opportunity to provide as much or as little feedback as </w:t>
      </w:r>
      <w:r w:rsidR="00F72CB5">
        <w:rPr>
          <w:rFonts w:cs="Times New Roman"/>
          <w:szCs w:val="24"/>
        </w:rPr>
        <w:t xml:space="preserve">he or she deems </w:t>
      </w:r>
      <w:r w:rsidRPr="007F3E5F">
        <w:rPr>
          <w:rFonts w:cs="Times New Roman"/>
          <w:szCs w:val="24"/>
        </w:rPr>
        <w:t xml:space="preserve">necessary.  </w:t>
      </w:r>
      <w:r w:rsidR="00EC508E">
        <w:rPr>
          <w:rFonts w:cs="Times New Roman"/>
          <w:szCs w:val="24"/>
        </w:rPr>
        <w:t xml:space="preserve">The collection of </w:t>
      </w:r>
      <w:r w:rsidR="00172445">
        <w:rPr>
          <w:rFonts w:cs="Times New Roman"/>
          <w:szCs w:val="24"/>
        </w:rPr>
        <w:t xml:space="preserve">this </w:t>
      </w:r>
      <w:r w:rsidR="00EC508E">
        <w:rPr>
          <w:rFonts w:cs="Times New Roman"/>
          <w:szCs w:val="24"/>
        </w:rPr>
        <w:t xml:space="preserve">data enables TSA to </w:t>
      </w:r>
      <w:r w:rsidR="00471CE0">
        <w:rPr>
          <w:rFonts w:cs="Times New Roman"/>
          <w:szCs w:val="24"/>
        </w:rPr>
        <w:t>perform</w:t>
      </w:r>
      <w:r w:rsidR="004E6592">
        <w:rPr>
          <w:rFonts w:cs="Times New Roman"/>
          <w:szCs w:val="24"/>
        </w:rPr>
        <w:t xml:space="preserve"> an analysis</w:t>
      </w:r>
      <w:r w:rsidR="00EC508E">
        <w:rPr>
          <w:rFonts w:cs="Times New Roman"/>
          <w:szCs w:val="24"/>
        </w:rPr>
        <w:t xml:space="preserve"> to determine </w:t>
      </w:r>
      <w:r w:rsidR="00910446">
        <w:rPr>
          <w:rFonts w:cs="Times New Roman"/>
          <w:szCs w:val="24"/>
        </w:rPr>
        <w:t>how well</w:t>
      </w:r>
      <w:r w:rsidR="00EC508E">
        <w:rPr>
          <w:rFonts w:cs="Times New Roman"/>
          <w:szCs w:val="24"/>
        </w:rPr>
        <w:t xml:space="preserve"> the training objectives are being met in an effort to ensure proper </w:t>
      </w:r>
      <w:r w:rsidR="00471CE0">
        <w:rPr>
          <w:rFonts w:cs="Times New Roman"/>
          <w:szCs w:val="24"/>
        </w:rPr>
        <w:t xml:space="preserve">fulfillment </w:t>
      </w:r>
      <w:r w:rsidR="00EC508E">
        <w:rPr>
          <w:rFonts w:cs="Times New Roman"/>
          <w:szCs w:val="24"/>
        </w:rPr>
        <w:t xml:space="preserve">of the TSA mission.  </w:t>
      </w:r>
      <w:r w:rsidRPr="007F3E5F">
        <w:rPr>
          <w:rFonts w:cs="Times New Roman"/>
          <w:szCs w:val="24"/>
        </w:rPr>
        <w:t xml:space="preserve">This information enables TSA to update, improve, and tailor the training, curriculum, and instructor interaction for </w:t>
      </w:r>
      <w:r w:rsidRPr="007F3E5F" w:rsidR="000B1F19">
        <w:rPr>
          <w:rFonts w:cs="Times New Roman"/>
          <w:szCs w:val="24"/>
        </w:rPr>
        <w:t>optimal education and high quality instructio</w:t>
      </w:r>
      <w:r w:rsidRPr="007F3E5F" w:rsidR="007F42B0">
        <w:rPr>
          <w:rFonts w:cs="Times New Roman"/>
          <w:szCs w:val="24"/>
        </w:rPr>
        <w:t>n</w:t>
      </w:r>
      <w:r w:rsidRPr="007F3E5F">
        <w:rPr>
          <w:rFonts w:cs="Times New Roman"/>
          <w:szCs w:val="24"/>
        </w:rPr>
        <w:t xml:space="preserve">. </w:t>
      </w:r>
      <w:r w:rsidR="00386BD1">
        <w:rPr>
          <w:rFonts w:cs="Times New Roman"/>
          <w:szCs w:val="24"/>
        </w:rPr>
        <w:t xml:space="preserve"> Training development personnel compile the collected data into quarterly assessments of the overall quality of the training environment. </w:t>
      </w:r>
      <w:r w:rsidRPr="007F3E5F">
        <w:rPr>
          <w:rFonts w:cs="Times New Roman"/>
          <w:szCs w:val="24"/>
        </w:rPr>
        <w:t xml:space="preserve"> </w:t>
      </w:r>
      <w:r w:rsidRPr="00F1611C">
        <w:rPr>
          <w:rFonts w:cs="Times New Roman"/>
          <w:szCs w:val="24"/>
        </w:rPr>
        <w:t>If this collection were not conducted</w:t>
      </w:r>
      <w:r w:rsidRPr="00F1611C" w:rsidR="007967C8">
        <w:rPr>
          <w:rFonts w:cs="Times New Roman"/>
          <w:szCs w:val="24"/>
        </w:rPr>
        <w:t>,</w:t>
      </w:r>
      <w:r w:rsidRPr="00F1611C" w:rsidR="005727DB">
        <w:rPr>
          <w:rFonts w:cs="Times New Roman"/>
          <w:szCs w:val="24"/>
        </w:rPr>
        <w:t xml:space="preserve"> TSA</w:t>
      </w:r>
      <w:r w:rsidRPr="00F1611C">
        <w:rPr>
          <w:rFonts w:cs="Times New Roman"/>
          <w:szCs w:val="24"/>
        </w:rPr>
        <w:t xml:space="preserve"> would be </w:t>
      </w:r>
      <w:r w:rsidRPr="00F1611C" w:rsidR="001B4D0F">
        <w:rPr>
          <w:rFonts w:cs="Times New Roman"/>
          <w:szCs w:val="24"/>
        </w:rPr>
        <w:t xml:space="preserve">limited in its ability </w:t>
      </w:r>
      <w:r w:rsidRPr="00F1611C" w:rsidR="002A184F">
        <w:rPr>
          <w:rFonts w:cs="Times New Roman"/>
          <w:szCs w:val="24"/>
        </w:rPr>
        <w:t xml:space="preserve">to </w:t>
      </w:r>
      <w:r w:rsidRPr="00F1611C" w:rsidR="007812AF">
        <w:rPr>
          <w:rFonts w:cs="Times New Roman"/>
          <w:szCs w:val="24"/>
        </w:rPr>
        <w:t>perform</w:t>
      </w:r>
      <w:r w:rsidRPr="00F1611C" w:rsidR="007967C8">
        <w:rPr>
          <w:rFonts w:cs="Times New Roman"/>
          <w:szCs w:val="24"/>
        </w:rPr>
        <w:t xml:space="preserve"> the </w:t>
      </w:r>
      <w:r w:rsidR="00910446">
        <w:rPr>
          <w:rFonts w:cs="Times New Roman"/>
          <w:szCs w:val="24"/>
        </w:rPr>
        <w:t>analysis</w:t>
      </w:r>
      <w:r w:rsidRPr="00F1611C" w:rsidR="007967C8">
        <w:rPr>
          <w:rFonts w:cs="Times New Roman"/>
          <w:szCs w:val="24"/>
        </w:rPr>
        <w:t xml:space="preserve"> mentioned above, which rel</w:t>
      </w:r>
      <w:r w:rsidR="00910446">
        <w:rPr>
          <w:rFonts w:cs="Times New Roman"/>
          <w:szCs w:val="24"/>
        </w:rPr>
        <w:t>ies</w:t>
      </w:r>
      <w:r w:rsidRPr="00F1611C" w:rsidR="007967C8">
        <w:rPr>
          <w:rFonts w:cs="Times New Roman"/>
          <w:szCs w:val="24"/>
        </w:rPr>
        <w:t xml:space="preserve"> on TSA’s ability </w:t>
      </w:r>
      <w:r w:rsidRPr="00F1611C" w:rsidR="001B4D0F">
        <w:rPr>
          <w:rFonts w:cs="Times New Roman"/>
          <w:szCs w:val="24"/>
        </w:rPr>
        <w:t>to qualitatively evaluate training effectiveness</w:t>
      </w:r>
      <w:r w:rsidRPr="00F1611C" w:rsidR="007967C8">
        <w:rPr>
          <w:rFonts w:cs="Times New Roman"/>
          <w:szCs w:val="24"/>
        </w:rPr>
        <w:t>.</w:t>
      </w:r>
    </w:p>
    <w:p w:rsidRPr="007F3E5F" w:rsidR="004D7C6A" w:rsidP="004D7C6A" w:rsidRDefault="004D7C6A" w14:paraId="72E40454" w14:textId="3F12FB18">
      <w:pPr>
        <w:numPr>
          <w:ilvl w:val="12"/>
          <w:numId w:val="0"/>
        </w:numPr>
        <w:ind w:left="360"/>
        <w:rPr>
          <w:rFonts w:cs="Times New Roman"/>
          <w:szCs w:val="24"/>
        </w:rPr>
      </w:pPr>
    </w:p>
    <w:p w:rsidRPr="007F3E5F" w:rsidR="004D7C6A" w:rsidP="004D7C6A" w:rsidRDefault="004D7C6A" w14:paraId="72E40455" w14:textId="77777777">
      <w:pPr>
        <w:keepNext/>
        <w:numPr>
          <w:ilvl w:val="0"/>
          <w:numId w:val="1"/>
        </w:numPr>
        <w:tabs>
          <w:tab w:val="left" w:pos="360"/>
        </w:tabs>
        <w:rPr>
          <w:rFonts w:cs="Times New Roman"/>
          <w:b/>
          <w:i/>
          <w:szCs w:val="24"/>
        </w:rPr>
      </w:pPr>
      <w:r w:rsidRPr="007F3E5F">
        <w:rPr>
          <w:rFonts w:cs="Times New Roman"/>
          <w:b/>
          <w:i/>
          <w:szCs w:val="24"/>
        </w:rPr>
        <w:t>Explain any special circumstances that require the collection to be conducted in a manner inconsistent with the general information collection guidelines in 5 CFR 1320.5(d)(2).</w:t>
      </w:r>
    </w:p>
    <w:p w:rsidRPr="007F3E5F" w:rsidR="004D7C6A" w:rsidP="004D7C6A" w:rsidRDefault="004D7C6A" w14:paraId="72E40456" w14:textId="77777777">
      <w:pPr>
        <w:keepNext/>
        <w:numPr>
          <w:ilvl w:val="12"/>
          <w:numId w:val="0"/>
        </w:numPr>
        <w:ind w:left="360"/>
        <w:rPr>
          <w:rFonts w:cs="Times New Roman"/>
          <w:szCs w:val="24"/>
        </w:rPr>
      </w:pPr>
    </w:p>
    <w:p w:rsidR="004D7C6A" w:rsidP="004D7C6A" w:rsidRDefault="004D7C6A" w14:paraId="72E40457" w14:textId="7F81756A">
      <w:pPr>
        <w:numPr>
          <w:ilvl w:val="12"/>
          <w:numId w:val="0"/>
        </w:numPr>
        <w:ind w:left="360"/>
        <w:rPr>
          <w:rFonts w:cs="Times New Roman"/>
          <w:szCs w:val="24"/>
        </w:rPr>
      </w:pPr>
      <w:r w:rsidRPr="007F3E5F">
        <w:rPr>
          <w:rFonts w:cs="Times New Roman"/>
          <w:szCs w:val="24"/>
        </w:rPr>
        <w:t>This collection will be conducted consistent with the general information guidelines.</w:t>
      </w:r>
    </w:p>
    <w:p w:rsidR="00F72CB5" w:rsidP="004D7C6A" w:rsidRDefault="00F72CB5" w14:paraId="24825507" w14:textId="11571C83">
      <w:pPr>
        <w:numPr>
          <w:ilvl w:val="12"/>
          <w:numId w:val="0"/>
        </w:numPr>
        <w:ind w:left="360"/>
        <w:rPr>
          <w:rFonts w:cs="Times New Roman"/>
          <w:szCs w:val="24"/>
        </w:rPr>
      </w:pPr>
    </w:p>
    <w:p w:rsidRPr="007F3E5F" w:rsidR="004D7C6A" w:rsidP="00BB7EA0" w:rsidRDefault="004D7C6A" w14:paraId="72E40459" w14:textId="6D33A242">
      <w:pPr>
        <w:pStyle w:val="ListParagraph"/>
        <w:keepNext/>
        <w:numPr>
          <w:ilvl w:val="0"/>
          <w:numId w:val="1"/>
        </w:numPr>
        <w:rPr>
          <w:rFonts w:cs="Times New Roman"/>
          <w:b/>
          <w:i/>
          <w:szCs w:val="24"/>
        </w:rPr>
      </w:pPr>
      <w:r w:rsidRPr="007F3E5F">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BB7EA0">
        <w:rPr>
          <w:rFonts w:cs="Times New Roman"/>
          <w:b/>
          <w:szCs w:val="24"/>
        </w:rPr>
        <w:t>Federal Register</w:t>
      </w:r>
      <w:r w:rsidRPr="007F3E5F">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F3E5F" w:rsidR="004D7C6A" w:rsidP="004D7C6A" w:rsidRDefault="004D7C6A" w14:paraId="72E4045A" w14:textId="77777777">
      <w:pPr>
        <w:keepNext/>
        <w:numPr>
          <w:ilvl w:val="12"/>
          <w:numId w:val="0"/>
        </w:numPr>
        <w:ind w:left="360"/>
        <w:rPr>
          <w:rFonts w:cs="Times New Roman"/>
          <w:szCs w:val="24"/>
        </w:rPr>
      </w:pPr>
    </w:p>
    <w:p w:rsidRPr="007F3E5F" w:rsidR="004D7C6A" w:rsidP="004F3DCF" w:rsidRDefault="004D7C6A" w14:paraId="72E4045B" w14:textId="5D511A0D">
      <w:pPr>
        <w:numPr>
          <w:ilvl w:val="12"/>
          <w:numId w:val="0"/>
        </w:numPr>
        <w:ind w:left="360"/>
        <w:rPr>
          <w:rFonts w:cs="Times New Roman"/>
          <w:szCs w:val="24"/>
        </w:rPr>
      </w:pPr>
      <w:r w:rsidRPr="007F3E5F">
        <w:rPr>
          <w:rFonts w:cs="Times New Roman"/>
          <w:szCs w:val="24"/>
        </w:rPr>
        <w:t xml:space="preserve">TSA published a notice in the </w:t>
      </w:r>
      <w:r w:rsidRPr="004F3DCF">
        <w:rPr>
          <w:rFonts w:cs="Times New Roman"/>
          <w:i/>
          <w:szCs w:val="24"/>
        </w:rPr>
        <w:t>Federal Register</w:t>
      </w:r>
      <w:r w:rsidRPr="007F3E5F">
        <w:rPr>
          <w:rFonts w:cs="Times New Roman"/>
          <w:szCs w:val="24"/>
        </w:rPr>
        <w:t xml:space="preserve">, with a 60-day </w:t>
      </w:r>
      <w:r w:rsidRPr="00CE6E8E">
        <w:rPr>
          <w:rFonts w:cs="Times New Roman"/>
          <w:szCs w:val="24"/>
        </w:rPr>
        <w:t>period for s</w:t>
      </w:r>
      <w:r w:rsidRPr="00CE6E8E" w:rsidR="004E2A8C">
        <w:rPr>
          <w:rFonts w:cs="Times New Roman"/>
          <w:szCs w:val="24"/>
        </w:rPr>
        <w:t>oliciting comment</w:t>
      </w:r>
      <w:r w:rsidRPr="00BB7EA0" w:rsidR="004F3DCF">
        <w:rPr>
          <w:rFonts w:cs="Times New Roman"/>
          <w:i/>
          <w:szCs w:val="24"/>
        </w:rPr>
        <w:t>, s</w:t>
      </w:r>
      <w:r w:rsidRPr="00BB7EA0" w:rsidR="002C47DE">
        <w:rPr>
          <w:rFonts w:cs="Times New Roman"/>
          <w:i/>
          <w:szCs w:val="24"/>
        </w:rPr>
        <w:t>ee</w:t>
      </w:r>
      <w:r w:rsidRPr="00BB7EA0" w:rsidR="002C47DE">
        <w:rPr>
          <w:rFonts w:cs="Times New Roman"/>
          <w:szCs w:val="24"/>
        </w:rPr>
        <w:t xml:space="preserve"> </w:t>
      </w:r>
      <w:r w:rsidR="00D73807">
        <w:rPr>
          <w:rFonts w:cs="Times New Roman"/>
          <w:szCs w:val="24"/>
        </w:rPr>
        <w:t>8</w:t>
      </w:r>
      <w:r w:rsidR="007A5E3E">
        <w:rPr>
          <w:rFonts w:cs="Times New Roman"/>
          <w:szCs w:val="24"/>
        </w:rPr>
        <w:t>6</w:t>
      </w:r>
      <w:r w:rsidRPr="00BB7EA0" w:rsidR="008F7124">
        <w:rPr>
          <w:rFonts w:cs="Times New Roman"/>
          <w:szCs w:val="24"/>
        </w:rPr>
        <w:t xml:space="preserve"> </w:t>
      </w:r>
      <w:r w:rsidRPr="00BB7EA0" w:rsidR="002C47DE">
        <w:rPr>
          <w:rFonts w:cs="Times New Roman"/>
          <w:szCs w:val="24"/>
        </w:rPr>
        <w:t xml:space="preserve">FR </w:t>
      </w:r>
      <w:r w:rsidR="007A5E3E">
        <w:rPr>
          <w:rFonts w:cs="Times New Roman"/>
          <w:szCs w:val="24"/>
        </w:rPr>
        <w:t>63049</w:t>
      </w:r>
      <w:r w:rsidRPr="00BB7EA0" w:rsidR="007A5E3E">
        <w:rPr>
          <w:rFonts w:cs="Times New Roman"/>
          <w:szCs w:val="24"/>
        </w:rPr>
        <w:t xml:space="preserve"> </w:t>
      </w:r>
      <w:r w:rsidRPr="00BB7EA0" w:rsidR="004F3DCF">
        <w:rPr>
          <w:rFonts w:cs="Times New Roman"/>
          <w:szCs w:val="24"/>
        </w:rPr>
        <w:t>(</w:t>
      </w:r>
      <w:r w:rsidR="007A5E3E">
        <w:rPr>
          <w:rFonts w:cs="Times New Roman"/>
          <w:szCs w:val="24"/>
        </w:rPr>
        <w:t>November 15, 2021</w:t>
      </w:r>
      <w:r w:rsidRPr="00BB7EA0" w:rsidR="00967360">
        <w:rPr>
          <w:rFonts w:cs="Times New Roman"/>
          <w:szCs w:val="24"/>
        </w:rPr>
        <w:t>)</w:t>
      </w:r>
      <w:r w:rsidRPr="00BB7EA0" w:rsidR="004F3DCF">
        <w:rPr>
          <w:rFonts w:cs="Times New Roman"/>
          <w:szCs w:val="24"/>
        </w:rPr>
        <w:t>,</w:t>
      </w:r>
      <w:r w:rsidRPr="00BB7EA0" w:rsidR="00967360">
        <w:rPr>
          <w:rFonts w:cs="Times New Roman"/>
          <w:szCs w:val="24"/>
        </w:rPr>
        <w:t xml:space="preserve"> and</w:t>
      </w:r>
      <w:r w:rsidRPr="00BB7EA0" w:rsidR="004E2A8C">
        <w:rPr>
          <w:rFonts w:cs="Times New Roman"/>
          <w:bCs/>
          <w:kern w:val="24"/>
          <w:szCs w:val="24"/>
        </w:rPr>
        <w:t xml:space="preserve"> a 30-day notice, on </w:t>
      </w:r>
      <w:r w:rsidRPr="0094010A" w:rsidR="0094010A">
        <w:rPr>
          <w:rFonts w:cs="Times New Roman"/>
          <w:bCs/>
          <w:kern w:val="24"/>
          <w:szCs w:val="24"/>
        </w:rPr>
        <w:t>April 20</w:t>
      </w:r>
      <w:r w:rsidRPr="0094010A" w:rsidR="008F7124">
        <w:rPr>
          <w:rFonts w:cs="Times New Roman"/>
          <w:bCs/>
          <w:kern w:val="24"/>
          <w:szCs w:val="24"/>
        </w:rPr>
        <w:t xml:space="preserve">, </w:t>
      </w:r>
      <w:r w:rsidRPr="0094010A" w:rsidR="00D73807">
        <w:rPr>
          <w:rFonts w:cs="Times New Roman"/>
          <w:bCs/>
          <w:kern w:val="24"/>
          <w:szCs w:val="24"/>
        </w:rPr>
        <w:t xml:space="preserve">2022 </w:t>
      </w:r>
      <w:r w:rsidRPr="0094010A" w:rsidR="004E2A8C">
        <w:rPr>
          <w:rFonts w:cs="Times New Roman"/>
          <w:bCs/>
          <w:kern w:val="24"/>
          <w:szCs w:val="24"/>
        </w:rPr>
        <w:t>(</w:t>
      </w:r>
      <w:r w:rsidRPr="0094010A" w:rsidR="004F3DCF">
        <w:rPr>
          <w:rFonts w:cs="Times New Roman"/>
          <w:bCs/>
          <w:i/>
          <w:kern w:val="24"/>
          <w:szCs w:val="24"/>
        </w:rPr>
        <w:t>s</w:t>
      </w:r>
      <w:r w:rsidRPr="0094010A" w:rsidR="004E2A8C">
        <w:rPr>
          <w:rFonts w:cs="Times New Roman"/>
          <w:bCs/>
          <w:i/>
          <w:kern w:val="24"/>
          <w:szCs w:val="24"/>
        </w:rPr>
        <w:t>ee</w:t>
      </w:r>
      <w:r w:rsidRPr="0094010A" w:rsidR="004E2A8C">
        <w:rPr>
          <w:rFonts w:cs="Times New Roman"/>
          <w:bCs/>
          <w:kern w:val="24"/>
          <w:szCs w:val="24"/>
        </w:rPr>
        <w:t xml:space="preserve"> </w:t>
      </w:r>
      <w:r w:rsidRPr="0094010A" w:rsidR="00D73807">
        <w:rPr>
          <w:rFonts w:cs="Times New Roman"/>
          <w:bCs/>
          <w:kern w:val="24"/>
          <w:szCs w:val="24"/>
        </w:rPr>
        <w:t xml:space="preserve">87 </w:t>
      </w:r>
      <w:r w:rsidRPr="0094010A" w:rsidR="004E2A8C">
        <w:rPr>
          <w:rFonts w:cs="Times New Roman"/>
          <w:bCs/>
          <w:kern w:val="24"/>
          <w:szCs w:val="24"/>
        </w:rPr>
        <w:t xml:space="preserve">FR </w:t>
      </w:r>
      <w:r w:rsidRPr="0094010A" w:rsidR="0094010A">
        <w:rPr>
          <w:rFonts w:cs="Times New Roman"/>
          <w:bCs/>
          <w:kern w:val="24"/>
          <w:szCs w:val="24"/>
        </w:rPr>
        <w:t>23531</w:t>
      </w:r>
      <w:r w:rsidRPr="0094010A" w:rsidR="004E2A8C">
        <w:rPr>
          <w:rFonts w:cs="Times New Roman"/>
          <w:bCs/>
          <w:kern w:val="24"/>
          <w:szCs w:val="24"/>
        </w:rPr>
        <w:t>)</w:t>
      </w:r>
      <w:r w:rsidRPr="0094010A" w:rsidR="002C47DE">
        <w:rPr>
          <w:rFonts w:cs="Times New Roman"/>
          <w:szCs w:val="24"/>
        </w:rPr>
        <w:t xml:space="preserve">.  </w:t>
      </w:r>
      <w:r w:rsidRPr="0094010A" w:rsidDel="00D84C48">
        <w:rPr>
          <w:rFonts w:cs="Times New Roman"/>
          <w:szCs w:val="24"/>
        </w:rPr>
        <w:t>TSA received no comments in reply to th</w:t>
      </w:r>
      <w:r w:rsidRPr="0094010A" w:rsidDel="00D84C48" w:rsidR="004E2A8C">
        <w:rPr>
          <w:rFonts w:cs="Times New Roman"/>
          <w:szCs w:val="24"/>
        </w:rPr>
        <w:t>e</w:t>
      </w:r>
      <w:r w:rsidRPr="0094010A" w:rsidDel="00D84C48">
        <w:rPr>
          <w:rFonts w:cs="Times New Roman"/>
          <w:szCs w:val="24"/>
        </w:rPr>
        <w:t xml:space="preserve"> notice</w:t>
      </w:r>
      <w:r w:rsidRPr="0094010A" w:rsidDel="00D84C48" w:rsidR="004E2A8C">
        <w:rPr>
          <w:rFonts w:cs="Times New Roman"/>
          <w:szCs w:val="24"/>
        </w:rPr>
        <w:t>s</w:t>
      </w:r>
      <w:r w:rsidRPr="0094010A" w:rsidDel="00D84C48">
        <w:rPr>
          <w:rFonts w:cs="Times New Roman"/>
          <w:szCs w:val="24"/>
        </w:rPr>
        <w:t>.</w:t>
      </w:r>
    </w:p>
    <w:p w:rsidRPr="007F3E5F" w:rsidR="004D7C6A" w:rsidP="004D7C6A" w:rsidRDefault="004D7C6A" w14:paraId="72E4045C" w14:textId="77777777">
      <w:pPr>
        <w:pStyle w:val="IndexHeading"/>
        <w:keepNext w:val="0"/>
        <w:numPr>
          <w:ilvl w:val="12"/>
          <w:numId w:val="0"/>
        </w:numPr>
        <w:spacing w:line="240" w:lineRule="auto"/>
        <w:rPr>
          <w:rFonts w:ascii="Times New Roman" w:hAnsi="Times New Roman"/>
          <w:i/>
          <w:spacing w:val="0"/>
          <w:szCs w:val="24"/>
        </w:rPr>
      </w:pPr>
    </w:p>
    <w:p w:rsidRPr="007F3E5F" w:rsidR="004D7C6A" w:rsidP="004D7C6A" w:rsidRDefault="004D7C6A" w14:paraId="72E4045D" w14:textId="77777777">
      <w:pPr>
        <w:keepNext/>
        <w:numPr>
          <w:ilvl w:val="0"/>
          <w:numId w:val="1"/>
        </w:numPr>
        <w:tabs>
          <w:tab w:val="left" w:pos="360"/>
        </w:tabs>
        <w:rPr>
          <w:rFonts w:cs="Times New Roman"/>
          <w:b/>
          <w:i/>
          <w:szCs w:val="24"/>
        </w:rPr>
      </w:pPr>
      <w:r w:rsidRPr="007F3E5F">
        <w:rPr>
          <w:rFonts w:cs="Times New Roman"/>
          <w:b/>
          <w:i/>
          <w:szCs w:val="24"/>
        </w:rPr>
        <w:t>Explain any decision to provide any payment or gift to respondents, other than remuneration of contractors or grantees.</w:t>
      </w:r>
    </w:p>
    <w:p w:rsidRPr="007F3E5F" w:rsidR="004D7C6A" w:rsidP="004D7C6A" w:rsidRDefault="004D7C6A" w14:paraId="72E4045E" w14:textId="77777777">
      <w:pPr>
        <w:keepNext/>
        <w:tabs>
          <w:tab w:val="left" w:pos="360"/>
        </w:tabs>
        <w:ind w:left="360"/>
        <w:rPr>
          <w:rFonts w:cs="Times New Roman"/>
          <w:b/>
          <w:i/>
          <w:szCs w:val="24"/>
        </w:rPr>
      </w:pPr>
    </w:p>
    <w:p w:rsidRPr="007F3E5F" w:rsidR="004D7C6A" w:rsidP="004D7C6A" w:rsidRDefault="004D7C6A" w14:paraId="72E4045F" w14:textId="77777777">
      <w:pPr>
        <w:numPr>
          <w:ilvl w:val="12"/>
          <w:numId w:val="0"/>
        </w:numPr>
        <w:ind w:left="360"/>
        <w:rPr>
          <w:rFonts w:cs="Times New Roman"/>
          <w:szCs w:val="24"/>
        </w:rPr>
      </w:pPr>
      <w:r w:rsidRPr="007F3E5F">
        <w:rPr>
          <w:rFonts w:cs="Times New Roman"/>
          <w:szCs w:val="24"/>
        </w:rPr>
        <w:t>TSA does not provide any payment or gift to respondents.</w:t>
      </w:r>
    </w:p>
    <w:p w:rsidRPr="007F3E5F" w:rsidR="004D7C6A" w:rsidP="004D7C6A" w:rsidRDefault="004D7C6A" w14:paraId="72E40460" w14:textId="77777777">
      <w:pPr>
        <w:keepNext/>
        <w:numPr>
          <w:ilvl w:val="12"/>
          <w:numId w:val="0"/>
        </w:numPr>
        <w:ind w:left="360"/>
        <w:rPr>
          <w:rFonts w:cs="Times New Roman"/>
          <w:szCs w:val="24"/>
        </w:rPr>
      </w:pPr>
    </w:p>
    <w:p w:rsidRPr="007F3E5F" w:rsidR="004D7C6A" w:rsidP="004D7C6A" w:rsidRDefault="004D7C6A" w14:paraId="72E40461" w14:textId="77777777">
      <w:pPr>
        <w:keepNext/>
        <w:numPr>
          <w:ilvl w:val="0"/>
          <w:numId w:val="1"/>
        </w:numPr>
        <w:tabs>
          <w:tab w:val="left" w:pos="360"/>
        </w:tabs>
        <w:rPr>
          <w:rFonts w:cs="Times New Roman"/>
          <w:b/>
          <w:i/>
          <w:szCs w:val="24"/>
        </w:rPr>
      </w:pPr>
      <w:r w:rsidRPr="007F3E5F">
        <w:rPr>
          <w:rFonts w:cs="Times New Roman"/>
          <w:b/>
          <w:i/>
          <w:szCs w:val="24"/>
        </w:rPr>
        <w:t>Describe any assurance of confidentiality provided to respondents and the basis for the assurance in statute, regulation, or agency policy.</w:t>
      </w:r>
    </w:p>
    <w:p w:rsidRPr="007F3E5F" w:rsidR="004D7C6A" w:rsidP="004D7C6A" w:rsidRDefault="004D7C6A" w14:paraId="72E40462" w14:textId="77777777">
      <w:pPr>
        <w:keepNext/>
        <w:numPr>
          <w:ilvl w:val="12"/>
          <w:numId w:val="0"/>
        </w:numPr>
        <w:ind w:left="360"/>
        <w:rPr>
          <w:rFonts w:cs="Times New Roman"/>
          <w:szCs w:val="24"/>
        </w:rPr>
      </w:pPr>
    </w:p>
    <w:p w:rsidR="004D7C6A" w:rsidP="004F096C" w:rsidRDefault="001960AD" w14:paraId="72E40463" w14:textId="18ECA6A5">
      <w:pPr>
        <w:ind w:left="360"/>
        <w:rPr>
          <w:rFonts w:cs="Times New Roman"/>
          <w:color w:val="auto"/>
          <w:szCs w:val="24"/>
        </w:rPr>
      </w:pPr>
      <w:r w:rsidRPr="00627617">
        <w:rPr>
          <w:rFonts w:cs="Times New Roman"/>
          <w:color w:val="auto"/>
          <w:szCs w:val="24"/>
        </w:rPr>
        <w:t>TSA does not provide an assurance of confidentiality.  However,</w:t>
      </w:r>
      <w:r w:rsidR="0065044A">
        <w:rPr>
          <w:rFonts w:cs="Times New Roman"/>
          <w:color w:val="auto"/>
          <w:szCs w:val="24"/>
        </w:rPr>
        <w:t xml:space="preserve"> </w:t>
      </w:r>
      <w:r w:rsidRPr="00627617">
        <w:rPr>
          <w:rFonts w:cs="Times New Roman"/>
          <w:color w:val="auto"/>
          <w:szCs w:val="24"/>
        </w:rPr>
        <w:t>w</w:t>
      </w:r>
      <w:r w:rsidRPr="00627617" w:rsidR="007711DB">
        <w:rPr>
          <w:rFonts w:cs="Times New Roman"/>
          <w:color w:val="auto"/>
          <w:szCs w:val="24"/>
        </w:rPr>
        <w:t>hen a s</w:t>
      </w:r>
      <w:r w:rsidRPr="00627617">
        <w:rPr>
          <w:rFonts w:cs="Times New Roman"/>
          <w:color w:val="auto"/>
          <w:szCs w:val="24"/>
        </w:rPr>
        <w:t>tudent</w:t>
      </w:r>
      <w:r w:rsidR="00871C8E">
        <w:rPr>
          <w:rFonts w:cs="Times New Roman"/>
          <w:color w:val="auto"/>
          <w:szCs w:val="24"/>
        </w:rPr>
        <w:t xml:space="preserve"> submits the completed form</w:t>
      </w:r>
      <w:r w:rsidRPr="00627617" w:rsidR="007711DB">
        <w:rPr>
          <w:rFonts w:cs="Times New Roman"/>
          <w:color w:val="auto"/>
          <w:szCs w:val="24"/>
        </w:rPr>
        <w:t>, the data writes to an internal, secure hard drive</w:t>
      </w:r>
      <w:r w:rsidRPr="00627617">
        <w:rPr>
          <w:rFonts w:cs="Times New Roman"/>
          <w:color w:val="auto"/>
          <w:szCs w:val="24"/>
        </w:rPr>
        <w:t xml:space="preserve"> with </w:t>
      </w:r>
      <w:r w:rsidRPr="00627617" w:rsidR="007711DB">
        <w:rPr>
          <w:rFonts w:cs="Times New Roman"/>
          <w:color w:val="auto"/>
          <w:szCs w:val="24"/>
        </w:rPr>
        <w:t xml:space="preserve">an identification number </w:t>
      </w:r>
      <w:r w:rsidRPr="00627617">
        <w:rPr>
          <w:rFonts w:cs="Times New Roman"/>
          <w:color w:val="auto"/>
          <w:szCs w:val="24"/>
        </w:rPr>
        <w:t xml:space="preserve">completely disconnected from the individual’s identity.  No one will be able to connect any one </w:t>
      </w:r>
      <w:r w:rsidR="00871C8E">
        <w:rPr>
          <w:rFonts w:cs="Times New Roman"/>
          <w:color w:val="auto"/>
          <w:szCs w:val="24"/>
        </w:rPr>
        <w:t xml:space="preserve">form </w:t>
      </w:r>
      <w:r w:rsidRPr="00627617">
        <w:rPr>
          <w:rFonts w:cs="Times New Roman"/>
          <w:color w:val="auto"/>
          <w:szCs w:val="24"/>
        </w:rPr>
        <w:t>to an individual student.</w:t>
      </w:r>
      <w:r w:rsidRPr="00627617" w:rsidR="00B2321C">
        <w:rPr>
          <w:rFonts w:cs="Times New Roman"/>
          <w:color w:val="auto"/>
          <w:szCs w:val="24"/>
        </w:rPr>
        <w:t xml:space="preserve"> </w:t>
      </w:r>
      <w:r w:rsidR="00B71897">
        <w:rPr>
          <w:rFonts w:cs="Times New Roman"/>
          <w:color w:val="auto"/>
          <w:szCs w:val="24"/>
        </w:rPr>
        <w:t xml:space="preserve"> </w:t>
      </w:r>
      <w:r w:rsidR="004F096C">
        <w:rPr>
          <w:rFonts w:cs="Times New Roman"/>
          <w:color w:val="auto"/>
          <w:szCs w:val="24"/>
        </w:rPr>
        <w:t>No</w:t>
      </w:r>
      <w:r w:rsidRPr="0091232C" w:rsidR="0091232C">
        <w:rPr>
          <w:rFonts w:cs="Times New Roman"/>
          <w:color w:val="auto"/>
          <w:szCs w:val="24"/>
        </w:rPr>
        <w:t xml:space="preserve"> P</w:t>
      </w:r>
      <w:r w:rsidR="00CE6E8E">
        <w:rPr>
          <w:rFonts w:cs="Times New Roman"/>
          <w:color w:val="auto"/>
          <w:szCs w:val="24"/>
        </w:rPr>
        <w:t>rivacy Informatio</w:t>
      </w:r>
      <w:r w:rsidR="00910446">
        <w:rPr>
          <w:rFonts w:cs="Times New Roman"/>
          <w:color w:val="auto"/>
          <w:szCs w:val="24"/>
        </w:rPr>
        <w:t>n</w:t>
      </w:r>
      <w:r w:rsidR="00CE6E8E">
        <w:rPr>
          <w:rFonts w:cs="Times New Roman"/>
          <w:color w:val="auto"/>
          <w:szCs w:val="24"/>
        </w:rPr>
        <w:t xml:space="preserve"> Act or System of Records Notice</w:t>
      </w:r>
      <w:r w:rsidRPr="0091232C" w:rsidR="0091232C">
        <w:rPr>
          <w:rFonts w:cs="Times New Roman"/>
          <w:color w:val="auto"/>
          <w:szCs w:val="24"/>
        </w:rPr>
        <w:t xml:space="preserve"> coverage is necessary</w:t>
      </w:r>
      <w:r w:rsidR="004F096C">
        <w:rPr>
          <w:rFonts w:cs="Times New Roman"/>
          <w:color w:val="auto"/>
          <w:szCs w:val="24"/>
        </w:rPr>
        <w:t xml:space="preserve"> for this information collection</w:t>
      </w:r>
      <w:r w:rsidRPr="0091232C" w:rsidR="0091232C">
        <w:rPr>
          <w:rFonts w:cs="Times New Roman"/>
          <w:color w:val="auto"/>
          <w:szCs w:val="24"/>
        </w:rPr>
        <w:t>.</w:t>
      </w:r>
    </w:p>
    <w:p w:rsidRPr="00627617" w:rsidR="00F1611C" w:rsidP="004D7C6A" w:rsidRDefault="00F1611C" w14:paraId="14A2BF6F" w14:textId="77777777">
      <w:pPr>
        <w:ind w:left="360"/>
        <w:rPr>
          <w:rFonts w:cs="Times New Roman"/>
          <w:color w:val="auto"/>
          <w:szCs w:val="24"/>
        </w:rPr>
      </w:pPr>
    </w:p>
    <w:p w:rsidRPr="007F3E5F" w:rsidR="004D7C6A" w:rsidP="004D7C6A" w:rsidRDefault="004D7C6A" w14:paraId="72E4046B" w14:textId="77777777">
      <w:pPr>
        <w:keepNext/>
        <w:numPr>
          <w:ilvl w:val="0"/>
          <w:numId w:val="1"/>
        </w:numPr>
        <w:tabs>
          <w:tab w:val="left" w:pos="360"/>
        </w:tabs>
        <w:rPr>
          <w:rFonts w:cs="Times New Roman"/>
          <w:b/>
          <w:i/>
          <w:szCs w:val="24"/>
        </w:rPr>
      </w:pPr>
      <w:r w:rsidRPr="007F3E5F">
        <w:rPr>
          <w:rFonts w:cs="Times New Roman"/>
          <w:b/>
          <w:i/>
          <w:szCs w:val="24"/>
        </w:rPr>
        <w:t>Provide additional justification for any questions of sensitive nature, such as sexual behavior and attitudes, religious beliefs, and other matters that are commonly considered private.</w:t>
      </w:r>
    </w:p>
    <w:p w:rsidRPr="007F3E5F" w:rsidR="004D7C6A" w:rsidP="004F3DCF" w:rsidRDefault="004D7C6A" w14:paraId="72E4046C" w14:textId="77777777">
      <w:pPr>
        <w:keepNext/>
        <w:numPr>
          <w:ilvl w:val="12"/>
          <w:numId w:val="0"/>
        </w:numPr>
        <w:ind w:left="360"/>
        <w:rPr>
          <w:rFonts w:cs="Times New Roman"/>
          <w:szCs w:val="24"/>
        </w:rPr>
      </w:pPr>
    </w:p>
    <w:p w:rsidRPr="007F3E5F" w:rsidR="004D7C6A" w:rsidP="004D7C6A" w:rsidRDefault="004D7C6A" w14:paraId="72E4046D" w14:textId="36BD1782">
      <w:pPr>
        <w:numPr>
          <w:ilvl w:val="12"/>
          <w:numId w:val="0"/>
        </w:numPr>
        <w:ind w:left="360"/>
        <w:rPr>
          <w:rFonts w:cs="Times New Roman"/>
          <w:szCs w:val="24"/>
        </w:rPr>
      </w:pPr>
      <w:r w:rsidRPr="007F3E5F">
        <w:rPr>
          <w:rFonts w:cs="Times New Roman"/>
          <w:szCs w:val="24"/>
        </w:rPr>
        <w:t>TSA does not ask any questions of a sensitive or private nature</w:t>
      </w:r>
      <w:r w:rsidRPr="007F3E5F" w:rsidR="00D574B7">
        <w:rPr>
          <w:rFonts w:cs="Times New Roman"/>
          <w:szCs w:val="24"/>
        </w:rPr>
        <w:t xml:space="preserve"> on the </w:t>
      </w:r>
      <w:r w:rsidRPr="004F3DCF" w:rsidR="00D574B7">
        <w:rPr>
          <w:rFonts w:cs="Times New Roman"/>
          <w:szCs w:val="24"/>
        </w:rPr>
        <w:t>End of Course Level</w:t>
      </w:r>
      <w:r w:rsidRPr="004F3DCF" w:rsidR="008E453E">
        <w:rPr>
          <w:rFonts w:cs="Times New Roman"/>
          <w:szCs w:val="24"/>
        </w:rPr>
        <w:t xml:space="preserve"> 1</w:t>
      </w:r>
      <w:r w:rsidRPr="004F3DCF" w:rsidR="00D574B7">
        <w:rPr>
          <w:rFonts w:cs="Times New Roman"/>
          <w:szCs w:val="24"/>
        </w:rPr>
        <w:t xml:space="preserve"> Evaluation</w:t>
      </w:r>
      <w:r w:rsidRPr="004F3DCF" w:rsidR="00871C8E">
        <w:rPr>
          <w:rFonts w:cs="Times New Roman"/>
          <w:szCs w:val="24"/>
        </w:rPr>
        <w:t>–Instructor-Led Classroom Training</w:t>
      </w:r>
      <w:r w:rsidRPr="00B71897" w:rsidR="00871C8E">
        <w:rPr>
          <w:rFonts w:cs="Times New Roman"/>
          <w:szCs w:val="24"/>
        </w:rPr>
        <w:t xml:space="preserve"> </w:t>
      </w:r>
      <w:r w:rsidRPr="007F3E5F" w:rsidR="00D574B7">
        <w:rPr>
          <w:rFonts w:cs="Times New Roman"/>
          <w:szCs w:val="24"/>
        </w:rPr>
        <w:t>form</w:t>
      </w:r>
      <w:r w:rsidRPr="007F3E5F">
        <w:rPr>
          <w:rFonts w:cs="Times New Roman"/>
          <w:szCs w:val="24"/>
        </w:rPr>
        <w:t>.</w:t>
      </w:r>
    </w:p>
    <w:p w:rsidRPr="007F3E5F" w:rsidR="004D7C6A" w:rsidP="004D7C6A" w:rsidRDefault="004D7C6A" w14:paraId="72E4046E" w14:textId="77777777">
      <w:pPr>
        <w:numPr>
          <w:ilvl w:val="12"/>
          <w:numId w:val="0"/>
        </w:numPr>
        <w:rPr>
          <w:rFonts w:cs="Times New Roman"/>
          <w:i/>
          <w:szCs w:val="24"/>
        </w:rPr>
      </w:pPr>
    </w:p>
    <w:p w:rsidRPr="007F3E5F" w:rsidR="004D7C6A" w:rsidP="004D7C6A" w:rsidRDefault="004D7C6A" w14:paraId="72E4046F" w14:textId="6D800453">
      <w:pPr>
        <w:keepNext/>
        <w:numPr>
          <w:ilvl w:val="0"/>
          <w:numId w:val="1"/>
        </w:numPr>
        <w:tabs>
          <w:tab w:val="left" w:pos="360"/>
        </w:tabs>
        <w:rPr>
          <w:rFonts w:cs="Times New Roman"/>
          <w:b/>
          <w:i/>
          <w:szCs w:val="24"/>
        </w:rPr>
      </w:pPr>
      <w:r w:rsidRPr="007F3E5F">
        <w:rPr>
          <w:rFonts w:cs="Times New Roman"/>
          <w:b/>
          <w:i/>
          <w:szCs w:val="24"/>
        </w:rPr>
        <w:t xml:space="preserve">Provide estimates of hour </w:t>
      </w:r>
      <w:r w:rsidRPr="007F3E5F" w:rsidR="00ED5D9A">
        <w:rPr>
          <w:rFonts w:cs="Times New Roman"/>
          <w:b/>
          <w:i/>
          <w:szCs w:val="24"/>
        </w:rPr>
        <w:t xml:space="preserve">and cost </w:t>
      </w:r>
      <w:r w:rsidRPr="007F3E5F">
        <w:rPr>
          <w:rFonts w:cs="Times New Roman"/>
          <w:b/>
          <w:i/>
          <w:szCs w:val="24"/>
        </w:rPr>
        <w:t>burden</w:t>
      </w:r>
      <w:r w:rsidRPr="007F3E5F" w:rsidR="00ED5D9A">
        <w:rPr>
          <w:rFonts w:cs="Times New Roman"/>
          <w:b/>
          <w:i/>
          <w:szCs w:val="24"/>
        </w:rPr>
        <w:t>s</w:t>
      </w:r>
      <w:r w:rsidRPr="007F3E5F">
        <w:rPr>
          <w:rFonts w:cs="Times New Roman"/>
          <w:b/>
          <w:i/>
          <w:szCs w:val="24"/>
        </w:rPr>
        <w:t xml:space="preserve"> of the collection of information.</w:t>
      </w:r>
    </w:p>
    <w:p w:rsidRPr="007F3E5F" w:rsidR="004D7C6A" w:rsidP="004D7C6A" w:rsidRDefault="004D7C6A" w14:paraId="72E40470" w14:textId="77777777">
      <w:pPr>
        <w:keepNext/>
        <w:numPr>
          <w:ilvl w:val="12"/>
          <w:numId w:val="0"/>
        </w:numPr>
        <w:ind w:left="360"/>
        <w:rPr>
          <w:rFonts w:cs="Times New Roman"/>
          <w:szCs w:val="24"/>
        </w:rPr>
      </w:pPr>
    </w:p>
    <w:p w:rsidR="00AB6D6E" w:rsidP="00AB6D6E" w:rsidRDefault="00AB6D6E" w14:paraId="6C1223DC" w14:textId="6C13190F">
      <w:pPr>
        <w:numPr>
          <w:ilvl w:val="12"/>
          <w:numId w:val="0"/>
        </w:numPr>
        <w:tabs>
          <w:tab w:val="left" w:pos="360"/>
        </w:tabs>
        <w:ind w:left="360"/>
        <w:rPr>
          <w:rFonts w:cs="Times New Roman"/>
          <w:szCs w:val="24"/>
        </w:rPr>
      </w:pPr>
      <w:r>
        <w:rPr>
          <w:rFonts w:cs="Times New Roman"/>
          <w:szCs w:val="24"/>
        </w:rPr>
        <w:t xml:space="preserve">TSA estimates that on average, </w:t>
      </w:r>
      <w:r w:rsidR="00042319">
        <w:rPr>
          <w:rFonts w:cs="Times New Roman"/>
          <w:szCs w:val="24"/>
        </w:rPr>
        <w:t>156</w:t>
      </w:r>
      <w:r>
        <w:rPr>
          <w:rFonts w:cs="Times New Roman"/>
          <w:szCs w:val="24"/>
        </w:rPr>
        <w:t xml:space="preserve"> students will participate in this collection on an annual basis.  TSA estimates that it would take approximately 30 minutes (0.5 hours) to participate, resulting in an estimated average annual burden of </w:t>
      </w:r>
      <w:r w:rsidR="00042319">
        <w:rPr>
          <w:rFonts w:cs="Times New Roman"/>
          <w:szCs w:val="24"/>
        </w:rPr>
        <w:t>78</w:t>
      </w:r>
      <w:r>
        <w:rPr>
          <w:rFonts w:cs="Times New Roman"/>
          <w:szCs w:val="24"/>
        </w:rPr>
        <w:t xml:space="preserve"> hours (</w:t>
      </w:r>
      <w:r w:rsidR="00042319">
        <w:rPr>
          <w:rFonts w:cs="Times New Roman"/>
          <w:szCs w:val="24"/>
        </w:rPr>
        <w:t>156</w:t>
      </w:r>
      <w:r>
        <w:rPr>
          <w:rFonts w:cs="Times New Roman"/>
          <w:szCs w:val="24"/>
        </w:rPr>
        <w:t xml:space="preserve"> students x 0.5 hours).</w:t>
      </w:r>
    </w:p>
    <w:p w:rsidR="00AB6D6E" w:rsidP="00AB6D6E" w:rsidRDefault="00AB6D6E" w14:paraId="0EF6A4CA" w14:textId="77777777">
      <w:pPr>
        <w:numPr>
          <w:ilvl w:val="12"/>
          <w:numId w:val="0"/>
        </w:numPr>
        <w:tabs>
          <w:tab w:val="left" w:pos="360"/>
        </w:tabs>
        <w:ind w:left="360"/>
        <w:rPr>
          <w:rFonts w:cs="Times New Roman"/>
          <w:szCs w:val="24"/>
        </w:rPr>
      </w:pPr>
    </w:p>
    <w:p w:rsidR="00AB6D6E" w:rsidP="00AB6D6E" w:rsidRDefault="00AB6D6E" w14:paraId="271C8238" w14:textId="46DE91FE">
      <w:pPr>
        <w:numPr>
          <w:ilvl w:val="12"/>
          <w:numId w:val="0"/>
        </w:numPr>
        <w:tabs>
          <w:tab w:val="left" w:pos="360"/>
        </w:tabs>
        <w:ind w:left="360"/>
        <w:rPr>
          <w:rFonts w:cs="Times New Roman"/>
          <w:szCs w:val="24"/>
        </w:rPr>
      </w:pPr>
      <w:r>
        <w:rPr>
          <w:rFonts w:cs="Times New Roman"/>
          <w:szCs w:val="24"/>
        </w:rPr>
        <w:lastRenderedPageBreak/>
        <w:t>The cost burden is calculated by multiplying the hours by the average hourly wage rate of the participants.  The national average fully loaded hourly wage for Police and Sheriff’s Patrol Officers is $</w:t>
      </w:r>
      <w:r w:rsidR="00042319">
        <w:rPr>
          <w:rFonts w:cs="Times New Roman"/>
          <w:szCs w:val="24"/>
        </w:rPr>
        <w:t>54.51</w:t>
      </w:r>
      <w:r>
        <w:rPr>
          <w:rFonts w:cs="Times New Roman"/>
          <w:szCs w:val="24"/>
        </w:rPr>
        <w:t>.</w:t>
      </w:r>
      <w:r>
        <w:rPr>
          <w:rStyle w:val="FootnoteReference"/>
          <w:rFonts w:cs="Times New Roman"/>
          <w:szCs w:val="24"/>
        </w:rPr>
        <w:footnoteReference w:id="1"/>
      </w:r>
    </w:p>
    <w:p w:rsidR="00AB6D6E" w:rsidP="00AB6D6E" w:rsidRDefault="00AB6D6E" w14:paraId="0BBC77F6" w14:textId="77777777">
      <w:pPr>
        <w:numPr>
          <w:ilvl w:val="12"/>
          <w:numId w:val="0"/>
        </w:numPr>
        <w:tabs>
          <w:tab w:val="left" w:pos="360"/>
        </w:tabs>
        <w:ind w:left="360"/>
        <w:rPr>
          <w:rFonts w:cs="Times New Roman"/>
          <w:szCs w:val="24"/>
        </w:rPr>
      </w:pPr>
    </w:p>
    <w:p w:rsidRPr="007F3E5F" w:rsidR="00AB6D6E" w:rsidP="00AB6D6E" w:rsidRDefault="00AB6D6E" w14:paraId="5852D522" w14:textId="22C7433A">
      <w:pPr>
        <w:numPr>
          <w:ilvl w:val="12"/>
          <w:numId w:val="0"/>
        </w:numPr>
        <w:ind w:left="360"/>
        <w:rPr>
          <w:rFonts w:cs="Times New Roman"/>
          <w:szCs w:val="24"/>
        </w:rPr>
      </w:pPr>
      <w:r>
        <w:rPr>
          <w:rFonts w:cs="Times New Roman"/>
          <w:szCs w:val="24"/>
        </w:rPr>
        <w:t>TSA multiplies this total average annual hour burden (</w:t>
      </w:r>
      <w:r w:rsidR="00042319">
        <w:rPr>
          <w:rFonts w:cs="Times New Roman"/>
          <w:szCs w:val="24"/>
        </w:rPr>
        <w:t>78</w:t>
      </w:r>
      <w:r>
        <w:rPr>
          <w:rFonts w:cs="Times New Roman"/>
          <w:szCs w:val="24"/>
        </w:rPr>
        <w:t xml:space="preserve"> hours) by a fully loaded wage rate of $</w:t>
      </w:r>
      <w:r w:rsidR="00042319">
        <w:rPr>
          <w:rFonts w:cs="Times New Roman"/>
          <w:szCs w:val="24"/>
        </w:rPr>
        <w:t>54.51</w:t>
      </w:r>
      <w:r>
        <w:rPr>
          <w:rFonts w:cs="Times New Roman"/>
          <w:szCs w:val="24"/>
        </w:rPr>
        <w:t xml:space="preserve"> to estimate an average annual hour burden cost of $</w:t>
      </w:r>
      <w:r w:rsidR="0089593D">
        <w:rPr>
          <w:rFonts w:cs="Times New Roman"/>
          <w:szCs w:val="24"/>
        </w:rPr>
        <w:t>4,252</w:t>
      </w:r>
      <w:r>
        <w:rPr>
          <w:rFonts w:cs="Times New Roman"/>
          <w:szCs w:val="24"/>
        </w:rPr>
        <w:t>).  TSA estimates the three-year total hour burden cost of $</w:t>
      </w:r>
      <w:r w:rsidR="0089593D">
        <w:rPr>
          <w:rFonts w:cs="Times New Roman"/>
          <w:szCs w:val="24"/>
        </w:rPr>
        <w:t>12,756</w:t>
      </w:r>
      <w:r>
        <w:rPr>
          <w:rFonts w:cs="Times New Roman"/>
          <w:szCs w:val="24"/>
        </w:rPr>
        <w:t xml:space="preserve"> $.</w:t>
      </w:r>
    </w:p>
    <w:p w:rsidRPr="007F3E5F" w:rsidR="004D7C6A" w:rsidP="003A5A62" w:rsidRDefault="004D7C6A" w14:paraId="72E40472" w14:textId="3EB1B724">
      <w:pPr>
        <w:numPr>
          <w:ilvl w:val="12"/>
          <w:numId w:val="0"/>
        </w:numPr>
        <w:ind w:left="360"/>
        <w:rPr>
          <w:rFonts w:cs="Times New Roman"/>
          <w:szCs w:val="24"/>
        </w:rPr>
      </w:pPr>
    </w:p>
    <w:p w:rsidRPr="007F3E5F" w:rsidR="004D7C6A" w:rsidP="00D56128" w:rsidRDefault="00D56128" w14:paraId="72E40473" w14:textId="36DBC698">
      <w:pPr>
        <w:keepNext/>
        <w:numPr>
          <w:ilvl w:val="0"/>
          <w:numId w:val="1"/>
        </w:numPr>
        <w:tabs>
          <w:tab w:val="left" w:pos="360"/>
        </w:tabs>
        <w:rPr>
          <w:rFonts w:cs="Times New Roman"/>
          <w:b/>
          <w:i/>
          <w:szCs w:val="24"/>
        </w:rPr>
      </w:pPr>
      <w:r w:rsidRPr="00D56128">
        <w:rPr>
          <w:rFonts w:cs="Times New Roman"/>
          <w:b/>
          <w:i/>
          <w:szCs w:val="24"/>
        </w:rPr>
        <w:t>Provide an estimate of the total annual cost burden to respondents or recordkeepers resulting from the collection of information.</w:t>
      </w:r>
    </w:p>
    <w:p w:rsidRPr="007F3E5F" w:rsidR="004D7C6A" w:rsidP="004D7C6A" w:rsidRDefault="004D7C6A" w14:paraId="72E40474" w14:textId="77777777">
      <w:pPr>
        <w:keepNext/>
        <w:numPr>
          <w:ilvl w:val="12"/>
          <w:numId w:val="0"/>
        </w:numPr>
        <w:ind w:left="360"/>
        <w:rPr>
          <w:rFonts w:cs="Times New Roman"/>
          <w:szCs w:val="24"/>
        </w:rPr>
      </w:pPr>
    </w:p>
    <w:p w:rsidRPr="007F3E5F" w:rsidR="004D7C6A" w:rsidP="004D7C6A" w:rsidRDefault="004D7C6A" w14:paraId="72E40475" w14:textId="69E300BA">
      <w:pPr>
        <w:numPr>
          <w:ilvl w:val="12"/>
          <w:numId w:val="0"/>
        </w:numPr>
        <w:ind w:left="360"/>
        <w:rPr>
          <w:rFonts w:cs="Times New Roman"/>
          <w:szCs w:val="24"/>
        </w:rPr>
      </w:pPr>
      <w:r w:rsidRPr="007F3E5F">
        <w:rPr>
          <w:rFonts w:cs="Times New Roman"/>
          <w:szCs w:val="24"/>
        </w:rPr>
        <w:t xml:space="preserve">There </w:t>
      </w:r>
      <w:r w:rsidR="00D56128">
        <w:rPr>
          <w:rFonts w:cs="Times New Roman"/>
          <w:szCs w:val="24"/>
        </w:rPr>
        <w:t xml:space="preserve">is </w:t>
      </w:r>
      <w:r w:rsidRPr="007F3E5F" w:rsidR="00800677">
        <w:rPr>
          <w:rFonts w:cs="Times New Roman"/>
          <w:szCs w:val="24"/>
        </w:rPr>
        <w:t>no cost</w:t>
      </w:r>
      <w:r w:rsidR="00D56128">
        <w:rPr>
          <w:rFonts w:cs="Times New Roman"/>
          <w:szCs w:val="24"/>
        </w:rPr>
        <w:t xml:space="preserve"> burden to respondents</w:t>
      </w:r>
      <w:r w:rsidRPr="007F3E5F" w:rsidR="00800677">
        <w:rPr>
          <w:rFonts w:cs="Times New Roman"/>
          <w:szCs w:val="24"/>
        </w:rPr>
        <w:t xml:space="preserve"> for this collection of information</w:t>
      </w:r>
      <w:r w:rsidRPr="007F3E5F">
        <w:rPr>
          <w:rFonts w:cs="Times New Roman"/>
          <w:szCs w:val="24"/>
        </w:rPr>
        <w:t>.</w:t>
      </w:r>
    </w:p>
    <w:p w:rsidRPr="007F3E5F" w:rsidR="004D7C6A" w:rsidP="004D7C6A" w:rsidRDefault="004D7C6A" w14:paraId="72E40476" w14:textId="77777777">
      <w:pPr>
        <w:pStyle w:val="IndexHeading"/>
        <w:keepNext w:val="0"/>
        <w:numPr>
          <w:ilvl w:val="12"/>
          <w:numId w:val="0"/>
        </w:numPr>
        <w:spacing w:line="240" w:lineRule="auto"/>
        <w:rPr>
          <w:rFonts w:ascii="Times New Roman" w:hAnsi="Times New Roman"/>
          <w:spacing w:val="0"/>
          <w:szCs w:val="24"/>
        </w:rPr>
      </w:pPr>
    </w:p>
    <w:p w:rsidRPr="007F3E5F" w:rsidR="004D7C6A" w:rsidP="004D7C6A" w:rsidRDefault="004D7C6A" w14:paraId="72E40477" w14:textId="77777777">
      <w:pPr>
        <w:keepNext/>
        <w:numPr>
          <w:ilvl w:val="0"/>
          <w:numId w:val="1"/>
        </w:numPr>
        <w:tabs>
          <w:tab w:val="left" w:pos="360"/>
        </w:tabs>
        <w:rPr>
          <w:rFonts w:cs="Times New Roman"/>
          <w:b/>
          <w:i/>
          <w:szCs w:val="24"/>
        </w:rPr>
      </w:pPr>
      <w:r w:rsidRPr="007F3E5F">
        <w:rPr>
          <w:rFonts w:cs="Times New Roman"/>
          <w:b/>
          <w:i/>
          <w:szCs w:val="24"/>
        </w:rPr>
        <w:t>Provide estimates of annualized cost to the Federal Government.  Also, provide a description of the method used to estimate cost, and other expenses that would not have been incurred without this collection of information.</w:t>
      </w:r>
    </w:p>
    <w:p w:rsidRPr="00B13887" w:rsidR="004D7C6A" w:rsidP="00B13887" w:rsidRDefault="004D7C6A" w14:paraId="72E40478" w14:textId="77777777">
      <w:pPr>
        <w:pStyle w:val="IndexHeading"/>
        <w:spacing w:line="240" w:lineRule="auto"/>
        <w:ind w:left="360"/>
        <w:rPr>
          <w:rFonts w:ascii="Times New Roman" w:hAnsi="Times New Roman"/>
          <w:spacing w:val="0"/>
          <w:szCs w:val="24"/>
        </w:rPr>
      </w:pPr>
    </w:p>
    <w:p w:rsidRPr="00B13887" w:rsidR="00AB6D6E" w:rsidP="008855CA" w:rsidRDefault="00AB6D6E" w14:paraId="097183DC" w14:textId="71DE5B7F">
      <w:pPr>
        <w:pStyle w:val="Index1"/>
      </w:pPr>
      <w:r w:rsidRPr="00B13887">
        <w:t>TSA uses the fully loaded average hourly wage rates of $</w:t>
      </w:r>
      <w:r w:rsidR="00CC65D0">
        <w:t>72.73</w:t>
      </w:r>
      <w:r w:rsidRPr="00910446">
        <w:rPr>
          <w:rStyle w:val="FootnoteReference"/>
          <w:rFonts w:cs="Times New Roman"/>
          <w:szCs w:val="24"/>
        </w:rPr>
        <w:footnoteReference w:id="2"/>
      </w:r>
      <w:r w:rsidRPr="00B13887">
        <w:t>, $</w:t>
      </w:r>
      <w:r w:rsidR="00CC65D0">
        <w:t>85.80</w:t>
      </w:r>
      <w:r w:rsidRPr="00910446">
        <w:rPr>
          <w:rStyle w:val="FootnoteReference"/>
          <w:rFonts w:cs="Times New Roman"/>
          <w:szCs w:val="24"/>
        </w:rPr>
        <w:footnoteReference w:id="3"/>
      </w:r>
      <w:r w:rsidRPr="00B13887">
        <w:t>, and $</w:t>
      </w:r>
      <w:r w:rsidR="00CC65D0">
        <w:t>100.79</w:t>
      </w:r>
      <w:r w:rsidRPr="00910446">
        <w:rPr>
          <w:rStyle w:val="FootnoteReference"/>
          <w:rFonts w:cs="Times New Roman"/>
          <w:szCs w:val="24"/>
        </w:rPr>
        <w:footnoteReference w:id="4"/>
      </w:r>
      <w:r w:rsidRPr="00B13887">
        <w:t>, to estimate TSA employees’ cost to either compile the data for management review or to review the entire accumulated package.</w:t>
      </w:r>
    </w:p>
    <w:p w:rsidRPr="00313367" w:rsidR="00AB6D6E" w:rsidP="00AB6D6E" w:rsidRDefault="00AB6D6E" w14:paraId="62DC5640" w14:textId="77777777"/>
    <w:p w:rsidR="00AB6D6E" w:rsidP="00AB6D6E" w:rsidRDefault="00AB6D6E" w14:paraId="2BEB1498" w14:textId="16DD3C49">
      <w:pPr>
        <w:numPr>
          <w:ilvl w:val="12"/>
          <w:numId w:val="0"/>
        </w:numPr>
        <w:ind w:left="360"/>
      </w:pPr>
      <w:r>
        <w:rPr>
          <w:rFonts w:cs="Times New Roman"/>
          <w:szCs w:val="24"/>
        </w:rPr>
        <w:t>TSA estimates that t</w:t>
      </w:r>
      <w:r w:rsidRPr="006C7311">
        <w:t>he annual</w:t>
      </w:r>
      <w:r>
        <w:t xml:space="preserve"> hour burden</w:t>
      </w:r>
      <w:r w:rsidRPr="006C7311">
        <w:t xml:space="preserve"> cost to the Federal Government </w:t>
      </w:r>
      <w:r>
        <w:t>as a result of this ICR is approximately</w:t>
      </w:r>
      <w:r w:rsidRPr="006C7311">
        <w:t xml:space="preserve"> $</w:t>
      </w:r>
      <w:r w:rsidR="00CC65D0">
        <w:t>59,240</w:t>
      </w:r>
      <w:r>
        <w:t>.  This estimate, calculated using loaded hourly rates, is based</w:t>
      </w:r>
      <w:r w:rsidRPr="006C7311">
        <w:t xml:space="preserve"> </w:t>
      </w:r>
      <w:r>
        <w:t xml:space="preserve">on </w:t>
      </w:r>
      <w:r w:rsidR="00CC65D0">
        <w:t>seven</w:t>
      </w:r>
      <w:r w:rsidRPr="006C7311">
        <w:t xml:space="preserve"> Federal employees. </w:t>
      </w:r>
      <w:r w:rsidR="00213E35">
        <w:t xml:space="preserve"> </w:t>
      </w:r>
      <w:r>
        <w:t>Table 1 shows the total annual hour burden cost estimate for TSA.</w:t>
      </w:r>
    </w:p>
    <w:p w:rsidR="00993C54" w:rsidP="00AB6D6E" w:rsidRDefault="00993C54" w14:paraId="42A9C26E" w14:textId="77777777">
      <w:pPr>
        <w:numPr>
          <w:ilvl w:val="12"/>
          <w:numId w:val="0"/>
        </w:numPr>
        <w:ind w:left="360"/>
      </w:pPr>
    </w:p>
    <w:tbl>
      <w:tblPr>
        <w:tblW w:w="9720" w:type="dxa"/>
        <w:tblInd w:w="-10" w:type="dxa"/>
        <w:tblLook w:val="04A0" w:firstRow="1" w:lastRow="0" w:firstColumn="1" w:lastColumn="0" w:noHBand="0" w:noVBand="1"/>
      </w:tblPr>
      <w:tblGrid>
        <w:gridCol w:w="2530"/>
        <w:gridCol w:w="981"/>
        <w:gridCol w:w="1390"/>
        <w:gridCol w:w="1182"/>
        <w:gridCol w:w="1477"/>
        <w:gridCol w:w="2160"/>
      </w:tblGrid>
      <w:tr w:rsidRPr="00993C54" w:rsidR="00993C54" w:rsidTr="00DB034B" w14:paraId="333D848E" w14:textId="77777777">
        <w:trPr>
          <w:cantSplit/>
          <w:trHeight w:val="304"/>
        </w:trPr>
        <w:tc>
          <w:tcPr>
            <w:tcW w:w="9720" w:type="dxa"/>
            <w:gridSpan w:val="6"/>
            <w:tcBorders>
              <w:top w:val="nil"/>
              <w:left w:val="nil"/>
              <w:bottom w:val="nil"/>
              <w:right w:val="nil"/>
            </w:tcBorders>
            <w:shd w:val="clear" w:color="auto" w:fill="auto"/>
            <w:noWrap/>
            <w:vAlign w:val="bottom"/>
            <w:hideMark/>
          </w:tcPr>
          <w:p w:rsidRPr="00993C54" w:rsidR="00993C54" w:rsidP="00993C54" w:rsidRDefault="00993C54" w14:paraId="63BBB5E2" w14:textId="077BEA0D">
            <w:pPr>
              <w:rPr>
                <w:rFonts w:cs="Times New Roman"/>
                <w:b/>
                <w:bCs/>
                <w:sz w:val="22"/>
                <w:szCs w:val="22"/>
              </w:rPr>
            </w:pPr>
            <w:r w:rsidRPr="00993C54">
              <w:rPr>
                <w:rFonts w:cs="Times New Roman"/>
                <w:b/>
                <w:bCs/>
                <w:sz w:val="22"/>
                <w:szCs w:val="22"/>
              </w:rPr>
              <w:t xml:space="preserve">Table 1: </w:t>
            </w:r>
            <w:r w:rsidR="00605D1A">
              <w:rPr>
                <w:rFonts w:cs="Times New Roman"/>
                <w:b/>
                <w:bCs/>
                <w:sz w:val="22"/>
                <w:szCs w:val="22"/>
              </w:rPr>
              <w:t xml:space="preserve"> </w:t>
            </w:r>
            <w:r w:rsidRPr="00993C54">
              <w:rPr>
                <w:rFonts w:cs="Times New Roman"/>
                <w:b/>
                <w:bCs/>
                <w:sz w:val="22"/>
                <w:szCs w:val="22"/>
              </w:rPr>
              <w:t xml:space="preserve">TSA Total Hour Burden Cost </w:t>
            </w:r>
          </w:p>
        </w:tc>
      </w:tr>
      <w:tr w:rsidRPr="00993C54" w:rsidR="00993C54" w:rsidTr="00DB034B" w14:paraId="0A4B2B43" w14:textId="77777777">
        <w:trPr>
          <w:cantSplit/>
          <w:trHeight w:val="851"/>
        </w:trPr>
        <w:tc>
          <w:tcPr>
            <w:tcW w:w="2530" w:type="dxa"/>
            <w:vMerge w:val="restart"/>
            <w:tcBorders>
              <w:top w:val="single" w:color="auto" w:sz="8" w:space="0"/>
              <w:left w:val="single" w:color="auto" w:sz="8" w:space="0"/>
              <w:bottom w:val="single" w:color="000000" w:sz="8" w:space="0"/>
              <w:right w:val="single" w:color="auto" w:sz="4" w:space="0"/>
            </w:tcBorders>
            <w:shd w:val="clear" w:color="auto" w:fill="auto"/>
            <w:vAlign w:val="bottom"/>
            <w:hideMark/>
          </w:tcPr>
          <w:p w:rsidRPr="00993C54" w:rsidR="00993C54" w:rsidP="00993C54" w:rsidRDefault="00993C54" w14:paraId="5A13132D" w14:textId="77777777">
            <w:pPr>
              <w:jc w:val="center"/>
              <w:rPr>
                <w:rFonts w:cs="Times New Roman"/>
                <w:b/>
                <w:bCs/>
                <w:sz w:val="22"/>
                <w:szCs w:val="22"/>
              </w:rPr>
            </w:pPr>
            <w:r w:rsidRPr="00993C54">
              <w:rPr>
                <w:rFonts w:cs="Times New Roman"/>
                <w:b/>
                <w:bCs/>
                <w:sz w:val="22"/>
                <w:szCs w:val="22"/>
              </w:rPr>
              <w:lastRenderedPageBreak/>
              <w:t>Position and TSA Pay Band</w:t>
            </w:r>
          </w:p>
        </w:tc>
        <w:tc>
          <w:tcPr>
            <w:tcW w:w="981" w:type="dxa"/>
            <w:tcBorders>
              <w:top w:val="single" w:color="auto" w:sz="8" w:space="0"/>
              <w:left w:val="nil"/>
              <w:bottom w:val="single" w:color="auto" w:sz="4" w:space="0"/>
              <w:right w:val="single" w:color="auto" w:sz="4" w:space="0"/>
            </w:tcBorders>
            <w:shd w:val="clear" w:color="auto" w:fill="auto"/>
            <w:vAlign w:val="bottom"/>
            <w:hideMark/>
          </w:tcPr>
          <w:p w:rsidRPr="00993C54" w:rsidR="00993C54" w:rsidP="00993C54" w:rsidRDefault="00993C54" w14:paraId="28D38C27" w14:textId="77777777">
            <w:pPr>
              <w:jc w:val="center"/>
              <w:rPr>
                <w:rFonts w:cs="Times New Roman"/>
                <w:b/>
                <w:bCs/>
                <w:sz w:val="22"/>
                <w:szCs w:val="22"/>
              </w:rPr>
            </w:pPr>
            <w:r w:rsidRPr="00993C54">
              <w:rPr>
                <w:rFonts w:cs="Times New Roman"/>
                <w:b/>
                <w:bCs/>
                <w:sz w:val="22"/>
                <w:szCs w:val="22"/>
              </w:rPr>
              <w:t>Loaded Hourly Wage Rate (Band)</w:t>
            </w:r>
          </w:p>
        </w:tc>
        <w:tc>
          <w:tcPr>
            <w:tcW w:w="1390" w:type="dxa"/>
            <w:tcBorders>
              <w:top w:val="single" w:color="auto" w:sz="8" w:space="0"/>
              <w:left w:val="nil"/>
              <w:bottom w:val="single" w:color="auto" w:sz="4" w:space="0"/>
              <w:right w:val="single" w:color="auto" w:sz="4" w:space="0"/>
            </w:tcBorders>
            <w:shd w:val="clear" w:color="auto" w:fill="auto"/>
            <w:vAlign w:val="bottom"/>
            <w:hideMark/>
          </w:tcPr>
          <w:p w:rsidRPr="00993C54" w:rsidR="00993C54" w:rsidP="00993C54" w:rsidRDefault="00993C54" w14:paraId="56B46FBC" w14:textId="77777777">
            <w:pPr>
              <w:jc w:val="center"/>
              <w:rPr>
                <w:rFonts w:cs="Times New Roman"/>
                <w:b/>
                <w:bCs/>
                <w:sz w:val="22"/>
                <w:szCs w:val="22"/>
              </w:rPr>
            </w:pPr>
            <w:r w:rsidRPr="00993C54">
              <w:rPr>
                <w:rFonts w:cs="Times New Roman"/>
                <w:b/>
                <w:bCs/>
                <w:sz w:val="22"/>
                <w:szCs w:val="22"/>
              </w:rPr>
              <w:t>Hours to Review</w:t>
            </w:r>
          </w:p>
        </w:tc>
        <w:tc>
          <w:tcPr>
            <w:tcW w:w="1182" w:type="dxa"/>
            <w:tcBorders>
              <w:top w:val="single" w:color="auto" w:sz="8" w:space="0"/>
              <w:left w:val="nil"/>
              <w:bottom w:val="single" w:color="auto" w:sz="4" w:space="0"/>
              <w:right w:val="single" w:color="auto" w:sz="4" w:space="0"/>
            </w:tcBorders>
            <w:shd w:val="clear" w:color="auto" w:fill="auto"/>
            <w:vAlign w:val="bottom"/>
            <w:hideMark/>
          </w:tcPr>
          <w:p w:rsidRPr="00993C54" w:rsidR="00993C54" w:rsidP="00993C54" w:rsidRDefault="00993C54" w14:paraId="632F68A5" w14:textId="77777777">
            <w:pPr>
              <w:jc w:val="center"/>
              <w:rPr>
                <w:rFonts w:cs="Times New Roman"/>
                <w:b/>
                <w:bCs/>
                <w:sz w:val="22"/>
                <w:szCs w:val="22"/>
              </w:rPr>
            </w:pPr>
            <w:r w:rsidRPr="00993C54">
              <w:rPr>
                <w:rFonts w:cs="Times New Roman"/>
                <w:b/>
                <w:bCs/>
                <w:sz w:val="22"/>
                <w:szCs w:val="22"/>
              </w:rPr>
              <w:t>Number of Reviewers</w:t>
            </w:r>
          </w:p>
        </w:tc>
        <w:tc>
          <w:tcPr>
            <w:tcW w:w="1477" w:type="dxa"/>
            <w:tcBorders>
              <w:top w:val="single" w:color="auto" w:sz="8" w:space="0"/>
              <w:left w:val="nil"/>
              <w:bottom w:val="single" w:color="auto" w:sz="4" w:space="0"/>
              <w:right w:val="single" w:color="auto" w:sz="4" w:space="0"/>
            </w:tcBorders>
            <w:shd w:val="clear" w:color="auto" w:fill="auto"/>
            <w:vAlign w:val="bottom"/>
            <w:hideMark/>
          </w:tcPr>
          <w:p w:rsidRPr="00993C54" w:rsidR="00993C54" w:rsidP="00993C54" w:rsidRDefault="00993C54" w14:paraId="2CCE6A9E" w14:textId="77777777">
            <w:pPr>
              <w:jc w:val="center"/>
              <w:rPr>
                <w:rFonts w:cs="Times New Roman"/>
                <w:b/>
                <w:bCs/>
                <w:sz w:val="22"/>
                <w:szCs w:val="22"/>
              </w:rPr>
            </w:pPr>
            <w:r w:rsidRPr="00993C54">
              <w:rPr>
                <w:rFonts w:cs="Times New Roman"/>
                <w:b/>
                <w:bCs/>
                <w:sz w:val="22"/>
                <w:szCs w:val="22"/>
              </w:rPr>
              <w:t>Number of Reviews Annually</w:t>
            </w:r>
          </w:p>
        </w:tc>
        <w:tc>
          <w:tcPr>
            <w:tcW w:w="2160" w:type="dxa"/>
            <w:tcBorders>
              <w:top w:val="single" w:color="auto" w:sz="8" w:space="0"/>
              <w:left w:val="nil"/>
              <w:bottom w:val="single" w:color="auto" w:sz="4" w:space="0"/>
              <w:right w:val="single" w:color="auto" w:sz="8" w:space="0"/>
            </w:tcBorders>
            <w:shd w:val="clear" w:color="auto" w:fill="auto"/>
            <w:vAlign w:val="bottom"/>
            <w:hideMark/>
          </w:tcPr>
          <w:p w:rsidRPr="00993C54" w:rsidR="00993C54" w:rsidP="00993C54" w:rsidRDefault="00993C54" w14:paraId="05DCFFBA" w14:textId="77777777">
            <w:pPr>
              <w:jc w:val="center"/>
              <w:rPr>
                <w:rFonts w:cs="Times New Roman"/>
                <w:b/>
                <w:bCs/>
                <w:color w:val="auto"/>
                <w:sz w:val="22"/>
                <w:szCs w:val="22"/>
              </w:rPr>
            </w:pPr>
            <w:r w:rsidRPr="00993C54">
              <w:rPr>
                <w:rFonts w:cs="Times New Roman"/>
                <w:b/>
                <w:bCs/>
                <w:color w:val="auto"/>
                <w:sz w:val="22"/>
                <w:szCs w:val="22"/>
              </w:rPr>
              <w:t>Annual Cost to Review</w:t>
            </w:r>
          </w:p>
        </w:tc>
      </w:tr>
      <w:tr w:rsidRPr="00993C54" w:rsidR="00993C54" w:rsidTr="00DB034B" w14:paraId="1CE04AB1" w14:textId="77777777">
        <w:trPr>
          <w:cantSplit/>
          <w:trHeight w:val="304"/>
        </w:trPr>
        <w:tc>
          <w:tcPr>
            <w:tcW w:w="2530" w:type="dxa"/>
            <w:vMerge/>
            <w:tcBorders>
              <w:top w:val="single" w:color="auto" w:sz="8" w:space="0"/>
              <w:left w:val="single" w:color="auto" w:sz="8" w:space="0"/>
              <w:bottom w:val="single" w:color="000000" w:sz="8" w:space="0"/>
              <w:right w:val="single" w:color="auto" w:sz="4" w:space="0"/>
            </w:tcBorders>
            <w:vAlign w:val="bottom"/>
            <w:hideMark/>
          </w:tcPr>
          <w:p w:rsidRPr="00993C54" w:rsidR="00993C54" w:rsidP="00993C54" w:rsidRDefault="00993C54" w14:paraId="00C74EA9" w14:textId="77777777">
            <w:pPr>
              <w:rPr>
                <w:rFonts w:cs="Times New Roman"/>
                <w:b/>
                <w:bCs/>
                <w:sz w:val="22"/>
                <w:szCs w:val="22"/>
              </w:rPr>
            </w:pPr>
          </w:p>
        </w:tc>
        <w:tc>
          <w:tcPr>
            <w:tcW w:w="981" w:type="dxa"/>
            <w:tcBorders>
              <w:top w:val="nil"/>
              <w:left w:val="nil"/>
              <w:bottom w:val="single" w:color="auto" w:sz="8" w:space="0"/>
              <w:right w:val="single" w:color="auto" w:sz="4" w:space="0"/>
            </w:tcBorders>
            <w:shd w:val="clear" w:color="auto" w:fill="auto"/>
            <w:vAlign w:val="bottom"/>
            <w:hideMark/>
          </w:tcPr>
          <w:p w:rsidRPr="00993C54" w:rsidR="00993C54" w:rsidP="00993C54" w:rsidRDefault="00993C54" w14:paraId="79214809" w14:textId="77777777">
            <w:pPr>
              <w:jc w:val="center"/>
              <w:rPr>
                <w:rFonts w:cs="Times New Roman"/>
                <w:b/>
                <w:bCs/>
                <w:sz w:val="22"/>
                <w:szCs w:val="22"/>
              </w:rPr>
            </w:pPr>
            <w:r w:rsidRPr="00993C54">
              <w:rPr>
                <w:rFonts w:cs="Times New Roman"/>
                <w:b/>
                <w:bCs/>
                <w:sz w:val="22"/>
                <w:szCs w:val="22"/>
              </w:rPr>
              <w:t>A</w:t>
            </w:r>
          </w:p>
        </w:tc>
        <w:tc>
          <w:tcPr>
            <w:tcW w:w="1390" w:type="dxa"/>
            <w:tcBorders>
              <w:top w:val="nil"/>
              <w:left w:val="nil"/>
              <w:bottom w:val="single" w:color="auto" w:sz="8" w:space="0"/>
              <w:right w:val="single" w:color="auto" w:sz="4" w:space="0"/>
            </w:tcBorders>
            <w:shd w:val="clear" w:color="auto" w:fill="auto"/>
            <w:vAlign w:val="bottom"/>
            <w:hideMark/>
          </w:tcPr>
          <w:p w:rsidRPr="00993C54" w:rsidR="00993C54" w:rsidP="00993C54" w:rsidRDefault="00993C54" w14:paraId="0CD58CA4" w14:textId="77777777">
            <w:pPr>
              <w:jc w:val="center"/>
              <w:rPr>
                <w:rFonts w:cs="Times New Roman"/>
                <w:b/>
                <w:bCs/>
                <w:sz w:val="22"/>
                <w:szCs w:val="22"/>
              </w:rPr>
            </w:pPr>
            <w:r w:rsidRPr="00993C54">
              <w:rPr>
                <w:rFonts w:cs="Times New Roman"/>
                <w:b/>
                <w:bCs/>
                <w:sz w:val="22"/>
                <w:szCs w:val="22"/>
              </w:rPr>
              <w:t>B</w:t>
            </w:r>
          </w:p>
        </w:tc>
        <w:tc>
          <w:tcPr>
            <w:tcW w:w="1182" w:type="dxa"/>
            <w:tcBorders>
              <w:top w:val="nil"/>
              <w:left w:val="nil"/>
              <w:bottom w:val="single" w:color="auto" w:sz="8" w:space="0"/>
              <w:right w:val="single" w:color="auto" w:sz="4" w:space="0"/>
            </w:tcBorders>
            <w:shd w:val="clear" w:color="auto" w:fill="auto"/>
            <w:vAlign w:val="bottom"/>
            <w:hideMark/>
          </w:tcPr>
          <w:p w:rsidRPr="00993C54" w:rsidR="00993C54" w:rsidP="00993C54" w:rsidRDefault="00993C54" w14:paraId="778128E5" w14:textId="77777777">
            <w:pPr>
              <w:jc w:val="center"/>
              <w:rPr>
                <w:rFonts w:cs="Times New Roman"/>
                <w:b/>
                <w:bCs/>
                <w:sz w:val="22"/>
                <w:szCs w:val="22"/>
              </w:rPr>
            </w:pPr>
            <w:r w:rsidRPr="00993C54">
              <w:rPr>
                <w:rFonts w:cs="Times New Roman"/>
                <w:b/>
                <w:bCs/>
                <w:sz w:val="22"/>
                <w:szCs w:val="22"/>
              </w:rPr>
              <w:t>C</w:t>
            </w:r>
          </w:p>
        </w:tc>
        <w:tc>
          <w:tcPr>
            <w:tcW w:w="1477" w:type="dxa"/>
            <w:tcBorders>
              <w:top w:val="nil"/>
              <w:left w:val="nil"/>
              <w:bottom w:val="single" w:color="auto" w:sz="8" w:space="0"/>
              <w:right w:val="single" w:color="auto" w:sz="4" w:space="0"/>
            </w:tcBorders>
            <w:shd w:val="clear" w:color="auto" w:fill="auto"/>
            <w:vAlign w:val="bottom"/>
            <w:hideMark/>
          </w:tcPr>
          <w:p w:rsidRPr="00993C54" w:rsidR="00993C54" w:rsidP="00993C54" w:rsidRDefault="00993C54" w14:paraId="310AD7AC" w14:textId="77777777">
            <w:pPr>
              <w:jc w:val="center"/>
              <w:rPr>
                <w:rFonts w:cs="Times New Roman"/>
                <w:b/>
                <w:bCs/>
                <w:sz w:val="22"/>
                <w:szCs w:val="22"/>
              </w:rPr>
            </w:pPr>
            <w:r w:rsidRPr="00993C54">
              <w:rPr>
                <w:rFonts w:cs="Times New Roman"/>
                <w:b/>
                <w:bCs/>
                <w:sz w:val="22"/>
                <w:szCs w:val="22"/>
              </w:rPr>
              <w:t>D</w:t>
            </w:r>
          </w:p>
        </w:tc>
        <w:tc>
          <w:tcPr>
            <w:tcW w:w="2160" w:type="dxa"/>
            <w:tcBorders>
              <w:top w:val="nil"/>
              <w:left w:val="nil"/>
              <w:bottom w:val="single" w:color="auto" w:sz="8" w:space="0"/>
              <w:right w:val="single" w:color="auto" w:sz="8" w:space="0"/>
            </w:tcBorders>
            <w:shd w:val="clear" w:color="auto" w:fill="auto"/>
            <w:vAlign w:val="bottom"/>
            <w:hideMark/>
          </w:tcPr>
          <w:p w:rsidRPr="00993C54" w:rsidR="00993C54" w:rsidP="00993C54" w:rsidRDefault="00993C54" w14:paraId="0800AC57" w14:textId="77777777">
            <w:pPr>
              <w:jc w:val="center"/>
              <w:rPr>
                <w:rFonts w:cs="Times New Roman"/>
                <w:b/>
                <w:bCs/>
                <w:color w:val="auto"/>
                <w:sz w:val="22"/>
                <w:szCs w:val="22"/>
              </w:rPr>
            </w:pPr>
            <w:r w:rsidRPr="00993C54">
              <w:rPr>
                <w:rFonts w:cs="Times New Roman"/>
                <w:b/>
                <w:bCs/>
                <w:color w:val="auto"/>
                <w:sz w:val="22"/>
                <w:szCs w:val="22"/>
              </w:rPr>
              <w:t>E = A × B × C × D</w:t>
            </w:r>
          </w:p>
        </w:tc>
      </w:tr>
      <w:tr w:rsidRPr="00993C54" w:rsidR="00993C54" w:rsidTr="00DB034B" w14:paraId="38D6140F" w14:textId="77777777">
        <w:trPr>
          <w:cantSplit/>
          <w:trHeight w:val="583"/>
        </w:trPr>
        <w:tc>
          <w:tcPr>
            <w:tcW w:w="2530" w:type="dxa"/>
            <w:tcBorders>
              <w:top w:val="nil"/>
              <w:left w:val="single" w:color="auto" w:sz="8" w:space="0"/>
              <w:bottom w:val="single" w:color="auto" w:sz="4" w:space="0"/>
              <w:right w:val="single" w:color="auto" w:sz="4" w:space="0"/>
            </w:tcBorders>
            <w:shd w:val="clear" w:color="auto" w:fill="auto"/>
            <w:vAlign w:val="bottom"/>
            <w:hideMark/>
          </w:tcPr>
          <w:p w:rsidRPr="00993C54" w:rsidR="00993C54" w:rsidP="00993C54" w:rsidRDefault="00993C54" w14:paraId="639E2DE8" w14:textId="77777777">
            <w:pPr>
              <w:rPr>
                <w:rFonts w:cs="Times New Roman"/>
                <w:sz w:val="22"/>
                <w:szCs w:val="22"/>
              </w:rPr>
            </w:pPr>
            <w:r w:rsidRPr="00993C54">
              <w:rPr>
                <w:rFonts w:cs="Times New Roman"/>
                <w:sz w:val="22"/>
                <w:szCs w:val="22"/>
              </w:rPr>
              <w:t xml:space="preserve">Supervisory Agent in Charge - K </w:t>
            </w:r>
          </w:p>
        </w:tc>
        <w:tc>
          <w:tcPr>
            <w:tcW w:w="981" w:type="dxa"/>
            <w:tcBorders>
              <w:top w:val="nil"/>
              <w:left w:val="nil"/>
              <w:bottom w:val="single" w:color="auto" w:sz="4" w:space="0"/>
              <w:right w:val="single" w:color="auto" w:sz="4" w:space="0"/>
            </w:tcBorders>
            <w:shd w:val="clear" w:color="auto" w:fill="auto"/>
            <w:noWrap/>
            <w:vAlign w:val="bottom"/>
            <w:hideMark/>
          </w:tcPr>
          <w:p w:rsidRPr="00993C54" w:rsidR="00993C54" w:rsidP="00993C54" w:rsidRDefault="00993C54" w14:paraId="465413AB" w14:textId="77777777">
            <w:pPr>
              <w:jc w:val="right"/>
              <w:rPr>
                <w:rFonts w:cs="Times New Roman"/>
                <w:sz w:val="22"/>
                <w:szCs w:val="22"/>
              </w:rPr>
            </w:pPr>
            <w:r w:rsidRPr="00993C54">
              <w:rPr>
                <w:rFonts w:cs="Times New Roman"/>
                <w:sz w:val="22"/>
                <w:szCs w:val="22"/>
              </w:rPr>
              <w:t>$100.79</w:t>
            </w:r>
          </w:p>
        </w:tc>
        <w:tc>
          <w:tcPr>
            <w:tcW w:w="1390" w:type="dxa"/>
            <w:tcBorders>
              <w:top w:val="nil"/>
              <w:left w:val="nil"/>
              <w:bottom w:val="single" w:color="auto" w:sz="4" w:space="0"/>
              <w:right w:val="single" w:color="auto" w:sz="4" w:space="0"/>
            </w:tcBorders>
            <w:shd w:val="clear" w:color="auto" w:fill="auto"/>
            <w:noWrap/>
            <w:vAlign w:val="bottom"/>
            <w:hideMark/>
          </w:tcPr>
          <w:p w:rsidRPr="00993C54" w:rsidR="00993C54" w:rsidP="00993C54" w:rsidRDefault="00993C54" w14:paraId="228360AA" w14:textId="77777777">
            <w:pPr>
              <w:jc w:val="right"/>
              <w:rPr>
                <w:rFonts w:cs="Times New Roman"/>
                <w:sz w:val="22"/>
                <w:szCs w:val="22"/>
              </w:rPr>
            </w:pPr>
            <w:r w:rsidRPr="00993C54">
              <w:rPr>
                <w:rFonts w:cs="Times New Roman"/>
                <w:sz w:val="22"/>
                <w:szCs w:val="22"/>
              </w:rPr>
              <w:t>1</w:t>
            </w:r>
          </w:p>
        </w:tc>
        <w:tc>
          <w:tcPr>
            <w:tcW w:w="1182" w:type="dxa"/>
            <w:tcBorders>
              <w:top w:val="nil"/>
              <w:left w:val="nil"/>
              <w:bottom w:val="single" w:color="auto" w:sz="4" w:space="0"/>
              <w:right w:val="single" w:color="auto" w:sz="4" w:space="0"/>
            </w:tcBorders>
            <w:shd w:val="clear" w:color="auto" w:fill="auto"/>
            <w:noWrap/>
            <w:vAlign w:val="bottom"/>
            <w:hideMark/>
          </w:tcPr>
          <w:p w:rsidRPr="00993C54" w:rsidR="00993C54" w:rsidP="00993C54" w:rsidRDefault="00993C54" w14:paraId="25200F8F" w14:textId="77777777">
            <w:pPr>
              <w:jc w:val="right"/>
              <w:rPr>
                <w:rFonts w:cs="Times New Roman"/>
                <w:sz w:val="22"/>
                <w:szCs w:val="22"/>
              </w:rPr>
            </w:pPr>
            <w:r w:rsidRPr="00993C54">
              <w:rPr>
                <w:rFonts w:cs="Times New Roman"/>
                <w:sz w:val="22"/>
                <w:szCs w:val="22"/>
              </w:rPr>
              <w:t>2</w:t>
            </w:r>
          </w:p>
        </w:tc>
        <w:tc>
          <w:tcPr>
            <w:tcW w:w="1477" w:type="dxa"/>
            <w:tcBorders>
              <w:top w:val="nil"/>
              <w:left w:val="nil"/>
              <w:bottom w:val="single" w:color="auto" w:sz="4" w:space="0"/>
              <w:right w:val="single" w:color="auto" w:sz="4" w:space="0"/>
            </w:tcBorders>
            <w:shd w:val="clear" w:color="auto" w:fill="auto"/>
            <w:noWrap/>
            <w:vAlign w:val="bottom"/>
            <w:hideMark/>
          </w:tcPr>
          <w:p w:rsidRPr="00993C54" w:rsidR="00993C54" w:rsidP="00993C54" w:rsidRDefault="00993C54" w14:paraId="5A01A475" w14:textId="77777777">
            <w:pPr>
              <w:jc w:val="right"/>
              <w:rPr>
                <w:rFonts w:cs="Times New Roman"/>
                <w:sz w:val="22"/>
                <w:szCs w:val="22"/>
              </w:rPr>
            </w:pPr>
            <w:r w:rsidRPr="00993C54">
              <w:rPr>
                <w:rFonts w:cs="Times New Roman"/>
                <w:sz w:val="22"/>
                <w:szCs w:val="22"/>
              </w:rPr>
              <w:t>79</w:t>
            </w:r>
          </w:p>
        </w:tc>
        <w:tc>
          <w:tcPr>
            <w:tcW w:w="2160" w:type="dxa"/>
            <w:tcBorders>
              <w:top w:val="nil"/>
              <w:left w:val="nil"/>
              <w:bottom w:val="single" w:color="auto" w:sz="4" w:space="0"/>
              <w:right w:val="single" w:color="auto" w:sz="8" w:space="0"/>
            </w:tcBorders>
            <w:shd w:val="clear" w:color="auto" w:fill="auto"/>
            <w:noWrap/>
            <w:vAlign w:val="bottom"/>
            <w:hideMark/>
          </w:tcPr>
          <w:p w:rsidRPr="00993C54" w:rsidR="00993C54" w:rsidP="00993C54" w:rsidRDefault="00993C54" w14:paraId="0C0F0F99" w14:textId="77777777">
            <w:pPr>
              <w:jc w:val="center"/>
              <w:rPr>
                <w:rFonts w:cs="Times New Roman"/>
                <w:sz w:val="22"/>
                <w:szCs w:val="22"/>
              </w:rPr>
            </w:pPr>
            <w:r w:rsidRPr="00993C54">
              <w:rPr>
                <w:rFonts w:cs="Times New Roman"/>
                <w:sz w:val="22"/>
                <w:szCs w:val="22"/>
              </w:rPr>
              <w:t>$15,924.46</w:t>
            </w:r>
          </w:p>
        </w:tc>
      </w:tr>
      <w:tr w:rsidRPr="00993C54" w:rsidR="00993C54" w:rsidTr="00DB034B" w14:paraId="7076DD86" w14:textId="77777777">
        <w:trPr>
          <w:cantSplit/>
          <w:trHeight w:val="293"/>
        </w:trPr>
        <w:tc>
          <w:tcPr>
            <w:tcW w:w="2530" w:type="dxa"/>
            <w:tcBorders>
              <w:top w:val="nil"/>
              <w:left w:val="single" w:color="auto" w:sz="8" w:space="0"/>
              <w:bottom w:val="single" w:color="auto" w:sz="4" w:space="0"/>
              <w:right w:val="single" w:color="auto" w:sz="4" w:space="0"/>
            </w:tcBorders>
            <w:shd w:val="clear" w:color="auto" w:fill="auto"/>
            <w:vAlign w:val="bottom"/>
            <w:hideMark/>
          </w:tcPr>
          <w:p w:rsidRPr="00993C54" w:rsidR="00993C54" w:rsidP="00993C54" w:rsidRDefault="00993C54" w14:paraId="07CC5520" w14:textId="77777777">
            <w:pPr>
              <w:rPr>
                <w:rFonts w:cs="Times New Roman"/>
                <w:sz w:val="22"/>
                <w:szCs w:val="22"/>
              </w:rPr>
            </w:pPr>
            <w:r w:rsidRPr="00993C54">
              <w:rPr>
                <w:rFonts w:cs="Times New Roman"/>
                <w:sz w:val="22"/>
                <w:szCs w:val="22"/>
              </w:rPr>
              <w:t xml:space="preserve"> Supervisor - J </w:t>
            </w:r>
          </w:p>
        </w:tc>
        <w:tc>
          <w:tcPr>
            <w:tcW w:w="981" w:type="dxa"/>
            <w:tcBorders>
              <w:top w:val="nil"/>
              <w:left w:val="nil"/>
              <w:bottom w:val="single" w:color="auto" w:sz="4" w:space="0"/>
              <w:right w:val="single" w:color="auto" w:sz="4" w:space="0"/>
            </w:tcBorders>
            <w:shd w:val="clear" w:color="auto" w:fill="auto"/>
            <w:noWrap/>
            <w:vAlign w:val="bottom"/>
            <w:hideMark/>
          </w:tcPr>
          <w:p w:rsidRPr="00993C54" w:rsidR="00993C54" w:rsidP="00993C54" w:rsidRDefault="00993C54" w14:paraId="44EA5FA7" w14:textId="77777777">
            <w:pPr>
              <w:jc w:val="right"/>
              <w:rPr>
                <w:rFonts w:cs="Times New Roman"/>
                <w:sz w:val="22"/>
                <w:szCs w:val="22"/>
              </w:rPr>
            </w:pPr>
            <w:r w:rsidRPr="00993C54">
              <w:rPr>
                <w:rFonts w:cs="Times New Roman"/>
                <w:sz w:val="22"/>
                <w:szCs w:val="22"/>
              </w:rPr>
              <w:t>$85.80</w:t>
            </w:r>
          </w:p>
        </w:tc>
        <w:tc>
          <w:tcPr>
            <w:tcW w:w="1390" w:type="dxa"/>
            <w:tcBorders>
              <w:top w:val="nil"/>
              <w:left w:val="nil"/>
              <w:bottom w:val="single" w:color="auto" w:sz="4" w:space="0"/>
              <w:right w:val="single" w:color="auto" w:sz="4" w:space="0"/>
            </w:tcBorders>
            <w:shd w:val="clear" w:color="auto" w:fill="auto"/>
            <w:noWrap/>
            <w:vAlign w:val="bottom"/>
            <w:hideMark/>
          </w:tcPr>
          <w:p w:rsidRPr="00993C54" w:rsidR="00993C54" w:rsidP="00993C54" w:rsidRDefault="00993C54" w14:paraId="6E6457E4" w14:textId="77777777">
            <w:pPr>
              <w:jc w:val="right"/>
              <w:rPr>
                <w:rFonts w:cs="Times New Roman"/>
                <w:sz w:val="22"/>
                <w:szCs w:val="22"/>
              </w:rPr>
            </w:pPr>
            <w:r w:rsidRPr="00993C54">
              <w:rPr>
                <w:rFonts w:cs="Times New Roman"/>
                <w:sz w:val="22"/>
                <w:szCs w:val="22"/>
              </w:rPr>
              <w:t>1</w:t>
            </w:r>
          </w:p>
        </w:tc>
        <w:tc>
          <w:tcPr>
            <w:tcW w:w="1182" w:type="dxa"/>
            <w:tcBorders>
              <w:top w:val="nil"/>
              <w:left w:val="nil"/>
              <w:bottom w:val="single" w:color="auto" w:sz="4" w:space="0"/>
              <w:right w:val="single" w:color="auto" w:sz="4" w:space="0"/>
            </w:tcBorders>
            <w:shd w:val="clear" w:color="auto" w:fill="auto"/>
            <w:noWrap/>
            <w:vAlign w:val="bottom"/>
            <w:hideMark/>
          </w:tcPr>
          <w:p w:rsidRPr="00993C54" w:rsidR="00993C54" w:rsidP="00993C54" w:rsidRDefault="00993C54" w14:paraId="1A8CB7F2" w14:textId="77777777">
            <w:pPr>
              <w:jc w:val="right"/>
              <w:rPr>
                <w:rFonts w:cs="Times New Roman"/>
                <w:sz w:val="22"/>
                <w:szCs w:val="22"/>
              </w:rPr>
            </w:pPr>
            <w:r w:rsidRPr="00993C54">
              <w:rPr>
                <w:rFonts w:cs="Times New Roman"/>
                <w:sz w:val="22"/>
                <w:szCs w:val="22"/>
              </w:rPr>
              <w:t>3</w:t>
            </w:r>
          </w:p>
        </w:tc>
        <w:tc>
          <w:tcPr>
            <w:tcW w:w="1477" w:type="dxa"/>
            <w:tcBorders>
              <w:top w:val="nil"/>
              <w:left w:val="nil"/>
              <w:bottom w:val="single" w:color="auto" w:sz="4" w:space="0"/>
              <w:right w:val="single" w:color="auto" w:sz="4" w:space="0"/>
            </w:tcBorders>
            <w:shd w:val="clear" w:color="auto" w:fill="auto"/>
            <w:noWrap/>
            <w:vAlign w:val="bottom"/>
            <w:hideMark/>
          </w:tcPr>
          <w:p w:rsidRPr="00993C54" w:rsidR="00993C54" w:rsidP="00993C54" w:rsidRDefault="00993C54" w14:paraId="23798AF8" w14:textId="77777777">
            <w:pPr>
              <w:jc w:val="right"/>
              <w:rPr>
                <w:rFonts w:cs="Times New Roman"/>
                <w:sz w:val="22"/>
                <w:szCs w:val="22"/>
              </w:rPr>
            </w:pPr>
            <w:r w:rsidRPr="00993C54">
              <w:rPr>
                <w:rFonts w:cs="Times New Roman"/>
                <w:sz w:val="22"/>
                <w:szCs w:val="22"/>
              </w:rPr>
              <w:t>79</w:t>
            </w:r>
          </w:p>
        </w:tc>
        <w:tc>
          <w:tcPr>
            <w:tcW w:w="2160" w:type="dxa"/>
            <w:tcBorders>
              <w:top w:val="nil"/>
              <w:left w:val="nil"/>
              <w:bottom w:val="single" w:color="auto" w:sz="4" w:space="0"/>
              <w:right w:val="single" w:color="auto" w:sz="8" w:space="0"/>
            </w:tcBorders>
            <w:shd w:val="clear" w:color="auto" w:fill="auto"/>
            <w:noWrap/>
            <w:vAlign w:val="bottom"/>
            <w:hideMark/>
          </w:tcPr>
          <w:p w:rsidRPr="00993C54" w:rsidR="00993C54" w:rsidP="00993C54" w:rsidRDefault="00993C54" w14:paraId="08D50D96" w14:textId="77777777">
            <w:pPr>
              <w:jc w:val="center"/>
              <w:rPr>
                <w:rFonts w:cs="Times New Roman"/>
                <w:sz w:val="22"/>
                <w:szCs w:val="22"/>
              </w:rPr>
            </w:pPr>
            <w:r w:rsidRPr="00993C54">
              <w:rPr>
                <w:rFonts w:cs="Times New Roman"/>
                <w:sz w:val="22"/>
                <w:szCs w:val="22"/>
              </w:rPr>
              <w:t>$20,334.30</w:t>
            </w:r>
          </w:p>
        </w:tc>
      </w:tr>
      <w:tr w:rsidRPr="00993C54" w:rsidR="00993C54" w:rsidTr="00DB034B" w14:paraId="07408B71" w14:textId="77777777">
        <w:trPr>
          <w:cantSplit/>
          <w:trHeight w:val="404"/>
        </w:trPr>
        <w:tc>
          <w:tcPr>
            <w:tcW w:w="2530" w:type="dxa"/>
            <w:tcBorders>
              <w:top w:val="nil"/>
              <w:left w:val="single" w:color="auto" w:sz="8" w:space="0"/>
              <w:bottom w:val="nil"/>
              <w:right w:val="single" w:color="auto" w:sz="4" w:space="0"/>
            </w:tcBorders>
            <w:shd w:val="clear" w:color="auto" w:fill="auto"/>
            <w:vAlign w:val="bottom"/>
            <w:hideMark/>
          </w:tcPr>
          <w:p w:rsidRPr="00993C54" w:rsidR="00993C54" w:rsidP="00993C54" w:rsidRDefault="00993C54" w14:paraId="1B1D5A10" w14:textId="77777777">
            <w:pPr>
              <w:rPr>
                <w:rFonts w:cs="Times New Roman"/>
                <w:sz w:val="22"/>
                <w:szCs w:val="22"/>
              </w:rPr>
            </w:pPr>
            <w:r w:rsidRPr="00993C54">
              <w:rPr>
                <w:rFonts w:cs="Times New Roman"/>
                <w:sz w:val="22"/>
                <w:szCs w:val="22"/>
              </w:rPr>
              <w:t xml:space="preserve"> Trainer Development - I </w:t>
            </w:r>
          </w:p>
        </w:tc>
        <w:tc>
          <w:tcPr>
            <w:tcW w:w="981" w:type="dxa"/>
            <w:tcBorders>
              <w:top w:val="nil"/>
              <w:left w:val="nil"/>
              <w:bottom w:val="nil"/>
              <w:right w:val="single" w:color="auto" w:sz="4" w:space="0"/>
            </w:tcBorders>
            <w:shd w:val="clear" w:color="auto" w:fill="auto"/>
            <w:noWrap/>
            <w:vAlign w:val="bottom"/>
            <w:hideMark/>
          </w:tcPr>
          <w:p w:rsidRPr="00993C54" w:rsidR="00993C54" w:rsidP="00993C54" w:rsidRDefault="00993C54" w14:paraId="5014DF5E" w14:textId="77777777">
            <w:pPr>
              <w:jc w:val="right"/>
              <w:rPr>
                <w:rFonts w:cs="Times New Roman"/>
                <w:sz w:val="22"/>
                <w:szCs w:val="22"/>
              </w:rPr>
            </w:pPr>
            <w:r w:rsidRPr="00993C54">
              <w:rPr>
                <w:rFonts w:cs="Times New Roman"/>
                <w:sz w:val="22"/>
                <w:szCs w:val="22"/>
              </w:rPr>
              <w:t>$72.73</w:t>
            </w:r>
          </w:p>
        </w:tc>
        <w:tc>
          <w:tcPr>
            <w:tcW w:w="1390" w:type="dxa"/>
            <w:tcBorders>
              <w:top w:val="nil"/>
              <w:left w:val="nil"/>
              <w:bottom w:val="nil"/>
              <w:right w:val="single" w:color="auto" w:sz="4" w:space="0"/>
            </w:tcBorders>
            <w:shd w:val="clear" w:color="auto" w:fill="auto"/>
            <w:noWrap/>
            <w:vAlign w:val="bottom"/>
            <w:hideMark/>
          </w:tcPr>
          <w:p w:rsidRPr="00993C54" w:rsidR="00993C54" w:rsidP="00993C54" w:rsidRDefault="00993C54" w14:paraId="4BCA04E5" w14:textId="77777777">
            <w:pPr>
              <w:jc w:val="right"/>
              <w:rPr>
                <w:rFonts w:cs="Times New Roman"/>
                <w:sz w:val="22"/>
                <w:szCs w:val="22"/>
              </w:rPr>
            </w:pPr>
            <w:r w:rsidRPr="00993C54">
              <w:rPr>
                <w:rFonts w:cs="Times New Roman"/>
                <w:sz w:val="22"/>
                <w:szCs w:val="22"/>
              </w:rPr>
              <w:t>2</w:t>
            </w:r>
          </w:p>
        </w:tc>
        <w:tc>
          <w:tcPr>
            <w:tcW w:w="1182" w:type="dxa"/>
            <w:tcBorders>
              <w:top w:val="nil"/>
              <w:left w:val="nil"/>
              <w:bottom w:val="nil"/>
              <w:right w:val="single" w:color="auto" w:sz="4" w:space="0"/>
            </w:tcBorders>
            <w:shd w:val="clear" w:color="auto" w:fill="auto"/>
            <w:noWrap/>
            <w:vAlign w:val="bottom"/>
            <w:hideMark/>
          </w:tcPr>
          <w:p w:rsidRPr="00993C54" w:rsidR="00993C54" w:rsidP="00993C54" w:rsidRDefault="00993C54" w14:paraId="202AA6AD" w14:textId="77777777">
            <w:pPr>
              <w:jc w:val="right"/>
              <w:rPr>
                <w:rFonts w:cs="Times New Roman"/>
                <w:sz w:val="22"/>
                <w:szCs w:val="22"/>
              </w:rPr>
            </w:pPr>
            <w:r w:rsidRPr="00993C54">
              <w:rPr>
                <w:rFonts w:cs="Times New Roman"/>
                <w:sz w:val="22"/>
                <w:szCs w:val="22"/>
              </w:rPr>
              <w:t>2</w:t>
            </w:r>
          </w:p>
        </w:tc>
        <w:tc>
          <w:tcPr>
            <w:tcW w:w="1477" w:type="dxa"/>
            <w:tcBorders>
              <w:top w:val="nil"/>
              <w:left w:val="nil"/>
              <w:bottom w:val="nil"/>
              <w:right w:val="single" w:color="auto" w:sz="4" w:space="0"/>
            </w:tcBorders>
            <w:shd w:val="clear" w:color="auto" w:fill="auto"/>
            <w:noWrap/>
            <w:vAlign w:val="bottom"/>
            <w:hideMark/>
          </w:tcPr>
          <w:p w:rsidRPr="00993C54" w:rsidR="00993C54" w:rsidP="00993C54" w:rsidRDefault="00993C54" w14:paraId="1F48FA64" w14:textId="77777777">
            <w:pPr>
              <w:jc w:val="right"/>
              <w:rPr>
                <w:rFonts w:cs="Times New Roman"/>
                <w:sz w:val="22"/>
                <w:szCs w:val="22"/>
              </w:rPr>
            </w:pPr>
            <w:r w:rsidRPr="00993C54">
              <w:rPr>
                <w:rFonts w:cs="Times New Roman"/>
                <w:sz w:val="22"/>
                <w:szCs w:val="22"/>
              </w:rPr>
              <w:t>79</w:t>
            </w:r>
          </w:p>
        </w:tc>
        <w:tc>
          <w:tcPr>
            <w:tcW w:w="2160" w:type="dxa"/>
            <w:tcBorders>
              <w:top w:val="nil"/>
              <w:left w:val="nil"/>
              <w:bottom w:val="nil"/>
              <w:right w:val="single" w:color="auto" w:sz="8" w:space="0"/>
            </w:tcBorders>
            <w:shd w:val="clear" w:color="auto" w:fill="auto"/>
            <w:noWrap/>
            <w:vAlign w:val="bottom"/>
            <w:hideMark/>
          </w:tcPr>
          <w:p w:rsidRPr="00993C54" w:rsidR="00993C54" w:rsidP="00993C54" w:rsidRDefault="00993C54" w14:paraId="4DBA8301" w14:textId="77777777">
            <w:pPr>
              <w:jc w:val="center"/>
              <w:rPr>
                <w:rFonts w:cs="Times New Roman"/>
                <w:sz w:val="22"/>
                <w:szCs w:val="22"/>
              </w:rPr>
            </w:pPr>
            <w:r w:rsidRPr="00993C54">
              <w:rPr>
                <w:rFonts w:cs="Times New Roman"/>
                <w:sz w:val="22"/>
                <w:szCs w:val="22"/>
              </w:rPr>
              <w:t>$22,981.54</w:t>
            </w:r>
          </w:p>
        </w:tc>
      </w:tr>
      <w:tr w:rsidRPr="00993C54" w:rsidR="00993C54" w:rsidTr="00DB034B" w14:paraId="22D56787" w14:textId="77777777">
        <w:trPr>
          <w:cantSplit/>
          <w:trHeight w:val="304"/>
        </w:trPr>
        <w:tc>
          <w:tcPr>
            <w:tcW w:w="2530"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993C54" w:rsidR="00993C54" w:rsidP="00993C54" w:rsidRDefault="00993C54" w14:paraId="52322BDE" w14:textId="77777777">
            <w:pPr>
              <w:rPr>
                <w:rFonts w:cs="Times New Roman"/>
                <w:b/>
                <w:bCs/>
                <w:sz w:val="22"/>
                <w:szCs w:val="22"/>
              </w:rPr>
            </w:pPr>
            <w:r w:rsidRPr="00993C54">
              <w:rPr>
                <w:rFonts w:cs="Times New Roman"/>
                <w:b/>
                <w:bCs/>
                <w:sz w:val="22"/>
                <w:szCs w:val="22"/>
              </w:rPr>
              <w:t xml:space="preserve">Total Government Cost of Review per year </w:t>
            </w:r>
          </w:p>
        </w:tc>
        <w:tc>
          <w:tcPr>
            <w:tcW w:w="981" w:type="dxa"/>
            <w:tcBorders>
              <w:top w:val="single" w:color="auto" w:sz="8" w:space="0"/>
              <w:left w:val="nil"/>
              <w:bottom w:val="single" w:color="auto" w:sz="8" w:space="0"/>
              <w:right w:val="single" w:color="auto" w:sz="4" w:space="0"/>
            </w:tcBorders>
            <w:shd w:val="clear" w:color="auto" w:fill="auto"/>
            <w:noWrap/>
            <w:vAlign w:val="bottom"/>
            <w:hideMark/>
          </w:tcPr>
          <w:p w:rsidRPr="00993C54" w:rsidR="00993C54" w:rsidP="00993C54" w:rsidRDefault="00993C54" w14:paraId="69C9B7DE" w14:textId="77777777">
            <w:pPr>
              <w:rPr>
                <w:rFonts w:cs="Times New Roman"/>
                <w:b/>
                <w:bCs/>
                <w:sz w:val="22"/>
                <w:szCs w:val="22"/>
              </w:rPr>
            </w:pPr>
            <w:r w:rsidRPr="00993C54">
              <w:rPr>
                <w:rFonts w:cs="Times New Roman"/>
                <w:b/>
                <w:bCs/>
                <w:sz w:val="22"/>
                <w:szCs w:val="22"/>
              </w:rPr>
              <w:t> </w:t>
            </w:r>
          </w:p>
        </w:tc>
        <w:tc>
          <w:tcPr>
            <w:tcW w:w="1390" w:type="dxa"/>
            <w:tcBorders>
              <w:top w:val="single" w:color="auto" w:sz="8" w:space="0"/>
              <w:left w:val="nil"/>
              <w:bottom w:val="single" w:color="auto" w:sz="8" w:space="0"/>
              <w:right w:val="single" w:color="auto" w:sz="4" w:space="0"/>
            </w:tcBorders>
            <w:shd w:val="clear" w:color="auto" w:fill="auto"/>
            <w:noWrap/>
            <w:vAlign w:val="bottom"/>
            <w:hideMark/>
          </w:tcPr>
          <w:p w:rsidRPr="00993C54" w:rsidR="00993C54" w:rsidP="00993C54" w:rsidRDefault="00993C54" w14:paraId="7A9F9FC7" w14:textId="77777777">
            <w:pPr>
              <w:rPr>
                <w:rFonts w:cs="Times New Roman"/>
                <w:b/>
                <w:bCs/>
                <w:sz w:val="22"/>
                <w:szCs w:val="22"/>
              </w:rPr>
            </w:pPr>
            <w:r w:rsidRPr="00993C54">
              <w:rPr>
                <w:rFonts w:cs="Times New Roman"/>
                <w:b/>
                <w:bCs/>
                <w:sz w:val="22"/>
                <w:szCs w:val="22"/>
              </w:rPr>
              <w:t> </w:t>
            </w:r>
          </w:p>
        </w:tc>
        <w:tc>
          <w:tcPr>
            <w:tcW w:w="1182" w:type="dxa"/>
            <w:tcBorders>
              <w:top w:val="single" w:color="auto" w:sz="8" w:space="0"/>
              <w:left w:val="nil"/>
              <w:bottom w:val="single" w:color="auto" w:sz="8" w:space="0"/>
              <w:right w:val="single" w:color="auto" w:sz="4" w:space="0"/>
            </w:tcBorders>
            <w:shd w:val="clear" w:color="auto" w:fill="auto"/>
            <w:noWrap/>
            <w:vAlign w:val="bottom"/>
            <w:hideMark/>
          </w:tcPr>
          <w:p w:rsidRPr="00993C54" w:rsidR="00993C54" w:rsidP="00993C54" w:rsidRDefault="00993C54" w14:paraId="58C19738" w14:textId="77777777">
            <w:pPr>
              <w:rPr>
                <w:rFonts w:cs="Times New Roman"/>
                <w:b/>
                <w:bCs/>
                <w:sz w:val="22"/>
                <w:szCs w:val="22"/>
              </w:rPr>
            </w:pPr>
            <w:r w:rsidRPr="00993C54">
              <w:rPr>
                <w:rFonts w:cs="Times New Roman"/>
                <w:b/>
                <w:bCs/>
                <w:sz w:val="22"/>
                <w:szCs w:val="22"/>
              </w:rPr>
              <w:t> </w:t>
            </w:r>
          </w:p>
        </w:tc>
        <w:tc>
          <w:tcPr>
            <w:tcW w:w="1477" w:type="dxa"/>
            <w:tcBorders>
              <w:top w:val="single" w:color="auto" w:sz="8" w:space="0"/>
              <w:left w:val="nil"/>
              <w:bottom w:val="single" w:color="auto" w:sz="8" w:space="0"/>
              <w:right w:val="single" w:color="auto" w:sz="4" w:space="0"/>
            </w:tcBorders>
            <w:shd w:val="clear" w:color="auto" w:fill="auto"/>
            <w:noWrap/>
            <w:vAlign w:val="bottom"/>
            <w:hideMark/>
          </w:tcPr>
          <w:p w:rsidRPr="00993C54" w:rsidR="00993C54" w:rsidP="00993C54" w:rsidRDefault="00993C54" w14:paraId="15D317FD" w14:textId="77777777">
            <w:pPr>
              <w:rPr>
                <w:rFonts w:cs="Times New Roman"/>
                <w:b/>
                <w:bCs/>
                <w:sz w:val="22"/>
                <w:szCs w:val="22"/>
              </w:rPr>
            </w:pPr>
            <w:r w:rsidRPr="00993C54">
              <w:rPr>
                <w:rFonts w:cs="Times New Roman"/>
                <w:b/>
                <w:bCs/>
                <w:sz w:val="22"/>
                <w:szCs w:val="22"/>
              </w:rPr>
              <w:t> </w:t>
            </w:r>
          </w:p>
        </w:tc>
        <w:tc>
          <w:tcPr>
            <w:tcW w:w="2160" w:type="dxa"/>
            <w:tcBorders>
              <w:top w:val="single" w:color="auto" w:sz="8" w:space="0"/>
              <w:left w:val="nil"/>
              <w:bottom w:val="single" w:color="auto" w:sz="8" w:space="0"/>
              <w:right w:val="single" w:color="auto" w:sz="8" w:space="0"/>
            </w:tcBorders>
            <w:shd w:val="clear" w:color="auto" w:fill="auto"/>
            <w:noWrap/>
            <w:vAlign w:val="bottom"/>
            <w:hideMark/>
          </w:tcPr>
          <w:p w:rsidRPr="00993C54" w:rsidR="00993C54" w:rsidP="00993C54" w:rsidRDefault="00993C54" w14:paraId="5E4BF3D0" w14:textId="77777777">
            <w:pPr>
              <w:jc w:val="center"/>
              <w:rPr>
                <w:rFonts w:cs="Times New Roman"/>
                <w:b/>
                <w:bCs/>
                <w:sz w:val="22"/>
                <w:szCs w:val="22"/>
              </w:rPr>
            </w:pPr>
            <w:r w:rsidRPr="00993C54">
              <w:rPr>
                <w:rFonts w:cs="Times New Roman"/>
                <w:b/>
                <w:bCs/>
                <w:sz w:val="22"/>
                <w:szCs w:val="22"/>
              </w:rPr>
              <w:t>$59,240.31</w:t>
            </w:r>
          </w:p>
        </w:tc>
      </w:tr>
    </w:tbl>
    <w:p w:rsidRPr="00993C54" w:rsidR="00993C54" w:rsidP="00993C54" w:rsidRDefault="00993C54" w14:paraId="6FF16E45" w14:textId="77777777">
      <w:pPr>
        <w:autoSpaceDE w:val="0"/>
        <w:autoSpaceDN w:val="0"/>
        <w:adjustRightInd w:val="0"/>
        <w:spacing w:after="120"/>
        <w:rPr>
          <w:rFonts w:cs="Times New Roman"/>
          <w:bCs/>
          <w:iCs/>
          <w:sz w:val="20"/>
          <w:szCs w:val="22"/>
        </w:rPr>
      </w:pPr>
      <w:r w:rsidRPr="00993C54">
        <w:rPr>
          <w:rFonts w:cs="Times New Roman"/>
          <w:bCs/>
          <w:iCs/>
          <w:sz w:val="20"/>
          <w:szCs w:val="22"/>
        </w:rPr>
        <w:t>Note: Calculations may not be exact due to rounding in the table.</w:t>
      </w:r>
    </w:p>
    <w:p w:rsidR="00993C54" w:rsidP="00AB6D6E" w:rsidRDefault="00993C54" w14:paraId="71F65A27" w14:textId="77777777">
      <w:pPr>
        <w:numPr>
          <w:ilvl w:val="12"/>
          <w:numId w:val="0"/>
        </w:numPr>
        <w:ind w:left="360"/>
      </w:pPr>
    </w:p>
    <w:p w:rsidR="00227894" w:rsidP="004D7C6A" w:rsidRDefault="00AB6D6E" w14:paraId="591C65CA" w14:textId="15533542">
      <w:pPr>
        <w:numPr>
          <w:ilvl w:val="12"/>
          <w:numId w:val="0"/>
        </w:numPr>
        <w:ind w:left="360"/>
      </w:pPr>
      <w:r w:rsidRPr="00C25DA0">
        <w:rPr>
          <w:rFonts w:cs="Times New Roman"/>
          <w:szCs w:val="24"/>
        </w:rPr>
        <w:t xml:space="preserve">TSA estimates the three-year total burden to be </w:t>
      </w:r>
      <w:r>
        <w:rPr>
          <w:rFonts w:cs="Times New Roman"/>
          <w:szCs w:val="24"/>
        </w:rPr>
        <w:t>$</w:t>
      </w:r>
      <w:r w:rsidR="00903629">
        <w:rPr>
          <w:rFonts w:cs="Times New Roman"/>
          <w:szCs w:val="24"/>
        </w:rPr>
        <w:t>177,721</w:t>
      </w:r>
      <w:r>
        <w:rPr>
          <w:rFonts w:cs="Times New Roman"/>
          <w:szCs w:val="24"/>
        </w:rPr>
        <w:t xml:space="preserve"> ($</w:t>
      </w:r>
      <w:r w:rsidR="00903629">
        <w:rPr>
          <w:rFonts w:cs="Times New Roman"/>
          <w:szCs w:val="24"/>
        </w:rPr>
        <w:t>59,240</w:t>
      </w:r>
      <w:r>
        <w:rPr>
          <w:rFonts w:cs="Times New Roman"/>
          <w:szCs w:val="24"/>
        </w:rPr>
        <w:t xml:space="preserve"> x 3 years).</w:t>
      </w:r>
      <w:r>
        <w:t xml:space="preserve"> </w:t>
      </w:r>
    </w:p>
    <w:p w:rsidRPr="007F3E5F" w:rsidR="008F7124" w:rsidP="004D7C6A" w:rsidRDefault="008F7124" w14:paraId="72AB9DF1" w14:textId="77777777">
      <w:pPr>
        <w:numPr>
          <w:ilvl w:val="12"/>
          <w:numId w:val="0"/>
        </w:numPr>
        <w:ind w:left="360"/>
        <w:rPr>
          <w:rFonts w:cs="Times New Roman"/>
          <w:szCs w:val="24"/>
        </w:rPr>
      </w:pPr>
    </w:p>
    <w:p w:rsidRPr="007F3E5F" w:rsidR="004D7C6A" w:rsidP="004D7C6A" w:rsidRDefault="004D7C6A" w14:paraId="72E4049F" w14:textId="77777777">
      <w:pPr>
        <w:keepNext/>
        <w:numPr>
          <w:ilvl w:val="0"/>
          <w:numId w:val="1"/>
        </w:numPr>
        <w:tabs>
          <w:tab w:val="left" w:pos="360"/>
        </w:tabs>
        <w:rPr>
          <w:rFonts w:cs="Times New Roman"/>
          <w:b/>
          <w:i/>
          <w:szCs w:val="24"/>
        </w:rPr>
      </w:pPr>
      <w:r w:rsidRPr="007F3E5F">
        <w:rPr>
          <w:rFonts w:cs="Times New Roman"/>
          <w:b/>
          <w:i/>
          <w:szCs w:val="24"/>
        </w:rPr>
        <w:t>Explain the reasons for any program changes or adjustments reported in Items 13 or 14 of the OMB Form 83-I.</w:t>
      </w:r>
    </w:p>
    <w:p w:rsidRPr="007F3E5F" w:rsidR="004D7C6A" w:rsidP="004D7C6A" w:rsidRDefault="004D7C6A" w14:paraId="72E404A0" w14:textId="77777777">
      <w:pPr>
        <w:keepNext/>
        <w:numPr>
          <w:ilvl w:val="12"/>
          <w:numId w:val="0"/>
        </w:numPr>
        <w:ind w:left="360"/>
        <w:rPr>
          <w:rFonts w:cs="Times New Roman"/>
          <w:szCs w:val="24"/>
        </w:rPr>
      </w:pPr>
    </w:p>
    <w:p w:rsidR="00903629" w:rsidP="008855CA" w:rsidRDefault="00903629" w14:paraId="7BD4FAE2" w14:textId="6FE19A7F">
      <w:pPr>
        <w:pStyle w:val="Index1"/>
      </w:pPr>
      <w:r>
        <w:t>There are no program changes or adjustments to this collection.</w:t>
      </w:r>
      <w:r w:rsidR="00802357">
        <w:t xml:space="preserve">  </w:t>
      </w:r>
      <w:bookmarkStart w:name="_GoBack" w:id="0"/>
      <w:r w:rsidRPr="00802357" w:rsidR="00802357">
        <w:t>Howe</w:t>
      </w:r>
      <w:r w:rsidR="00802357">
        <w:t>v</w:t>
      </w:r>
      <w:r w:rsidRPr="00802357" w:rsidR="00802357">
        <w:t xml:space="preserve">er, </w:t>
      </w:r>
      <w:r w:rsidR="008855CA">
        <w:t xml:space="preserve">since the 2019 renewal of this Information Collection Request, </w:t>
      </w:r>
      <w:r w:rsidRPr="00802357" w:rsidR="00802357">
        <w:t xml:space="preserve">the number of respondents have increased from 79 to 156 annually.  </w:t>
      </w:r>
      <w:bookmarkEnd w:id="0"/>
    </w:p>
    <w:p w:rsidRPr="009062D9" w:rsidR="004D7C6A" w:rsidP="008855CA" w:rsidRDefault="004D7C6A" w14:paraId="72E404A2" w14:textId="7DC1CD94">
      <w:pPr>
        <w:pStyle w:val="Index1"/>
      </w:pPr>
    </w:p>
    <w:p w:rsidRPr="007F3E5F" w:rsidR="004D7C6A" w:rsidP="004D7C6A" w:rsidRDefault="004D7C6A" w14:paraId="72E404A3" w14:textId="77777777">
      <w:pPr>
        <w:keepNext/>
        <w:numPr>
          <w:ilvl w:val="0"/>
          <w:numId w:val="1"/>
        </w:numPr>
        <w:tabs>
          <w:tab w:val="left" w:pos="360"/>
        </w:tabs>
        <w:rPr>
          <w:rFonts w:cs="Times New Roman"/>
          <w:b/>
          <w:i/>
          <w:szCs w:val="24"/>
        </w:rPr>
      </w:pPr>
      <w:r w:rsidRPr="007F3E5F">
        <w:rPr>
          <w:rFonts w:cs="Times New Roman"/>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F3E5F" w:rsidR="004D7C6A" w:rsidP="004D7C6A" w:rsidRDefault="004D7C6A" w14:paraId="72E404A4" w14:textId="77777777">
      <w:pPr>
        <w:keepNext/>
        <w:numPr>
          <w:ilvl w:val="12"/>
          <w:numId w:val="0"/>
        </w:numPr>
        <w:ind w:left="360"/>
        <w:rPr>
          <w:rFonts w:cs="Times New Roman"/>
          <w:szCs w:val="24"/>
        </w:rPr>
      </w:pPr>
    </w:p>
    <w:p w:rsidRPr="007F3E5F" w:rsidR="004D7C6A" w:rsidP="004D7C6A" w:rsidRDefault="004D7C6A" w14:paraId="72E404A5" w14:textId="77777777">
      <w:pPr>
        <w:numPr>
          <w:ilvl w:val="12"/>
          <w:numId w:val="0"/>
        </w:numPr>
        <w:ind w:left="360"/>
        <w:rPr>
          <w:rFonts w:cs="Times New Roman"/>
          <w:szCs w:val="24"/>
        </w:rPr>
      </w:pPr>
      <w:r w:rsidRPr="007F3E5F">
        <w:rPr>
          <w:rFonts w:cs="Times New Roman"/>
          <w:szCs w:val="24"/>
        </w:rPr>
        <w:t>TSA will not publish results of this collection.</w:t>
      </w:r>
    </w:p>
    <w:p w:rsidRPr="007F3E5F" w:rsidR="004D7C6A" w:rsidP="004D7C6A" w:rsidRDefault="004D7C6A" w14:paraId="72E404A6" w14:textId="77777777">
      <w:pPr>
        <w:pStyle w:val="IndexHeading"/>
        <w:keepNext w:val="0"/>
        <w:numPr>
          <w:ilvl w:val="12"/>
          <w:numId w:val="0"/>
        </w:numPr>
        <w:spacing w:line="240" w:lineRule="auto"/>
        <w:rPr>
          <w:rFonts w:ascii="Times New Roman" w:hAnsi="Times New Roman"/>
          <w:spacing w:val="0"/>
          <w:szCs w:val="24"/>
        </w:rPr>
      </w:pPr>
    </w:p>
    <w:p w:rsidRPr="007F3E5F" w:rsidR="004D7C6A" w:rsidP="004D7C6A" w:rsidRDefault="004D7C6A" w14:paraId="72E404A7" w14:textId="77777777">
      <w:pPr>
        <w:keepNext/>
        <w:numPr>
          <w:ilvl w:val="0"/>
          <w:numId w:val="1"/>
        </w:numPr>
        <w:tabs>
          <w:tab w:val="left" w:pos="360"/>
        </w:tabs>
        <w:rPr>
          <w:rFonts w:cs="Times New Roman"/>
          <w:b/>
          <w:i/>
          <w:szCs w:val="24"/>
        </w:rPr>
      </w:pPr>
      <w:r w:rsidRPr="007F3E5F">
        <w:rPr>
          <w:rFonts w:cs="Times New Roman"/>
          <w:b/>
          <w:i/>
          <w:szCs w:val="24"/>
        </w:rPr>
        <w:t>If seeking approval to not display the expiration date for OMB approval of the information collection, explain the reasons that display would be inappropriate.</w:t>
      </w:r>
    </w:p>
    <w:p w:rsidRPr="007F3E5F" w:rsidR="004D7C6A" w:rsidP="004D7C6A" w:rsidRDefault="004D7C6A" w14:paraId="72E404A8" w14:textId="77777777">
      <w:pPr>
        <w:keepNext/>
        <w:numPr>
          <w:ilvl w:val="12"/>
          <w:numId w:val="0"/>
        </w:numPr>
        <w:ind w:left="360"/>
        <w:rPr>
          <w:rFonts w:cs="Times New Roman"/>
          <w:szCs w:val="24"/>
        </w:rPr>
      </w:pPr>
    </w:p>
    <w:p w:rsidRPr="007F3E5F" w:rsidR="004D7C6A" w:rsidP="004D7C6A" w:rsidRDefault="004D7C6A" w14:paraId="72E404A9" w14:textId="77777777">
      <w:pPr>
        <w:numPr>
          <w:ilvl w:val="12"/>
          <w:numId w:val="0"/>
        </w:numPr>
        <w:ind w:left="360"/>
        <w:rPr>
          <w:rFonts w:cs="Times New Roman"/>
          <w:szCs w:val="24"/>
        </w:rPr>
      </w:pPr>
      <w:r w:rsidRPr="007F3E5F">
        <w:rPr>
          <w:rFonts w:cs="Times New Roman"/>
          <w:szCs w:val="24"/>
        </w:rPr>
        <w:t>TSA is not seeking such approval.</w:t>
      </w:r>
    </w:p>
    <w:p w:rsidRPr="007F3E5F" w:rsidR="004D7C6A" w:rsidP="004D7C6A" w:rsidRDefault="004D7C6A" w14:paraId="72E404AA" w14:textId="77777777">
      <w:pPr>
        <w:numPr>
          <w:ilvl w:val="12"/>
          <w:numId w:val="0"/>
        </w:numPr>
        <w:tabs>
          <w:tab w:val="left" w:pos="360"/>
        </w:tabs>
        <w:rPr>
          <w:rFonts w:cs="Times New Roman"/>
          <w:szCs w:val="24"/>
        </w:rPr>
      </w:pPr>
    </w:p>
    <w:p w:rsidRPr="007F3E5F" w:rsidR="004D7C6A" w:rsidP="004D7C6A" w:rsidRDefault="004D7C6A" w14:paraId="72E404AB" w14:textId="77777777">
      <w:pPr>
        <w:keepNext/>
        <w:numPr>
          <w:ilvl w:val="0"/>
          <w:numId w:val="1"/>
        </w:numPr>
        <w:tabs>
          <w:tab w:val="left" w:pos="360"/>
        </w:tabs>
        <w:rPr>
          <w:rFonts w:cs="Times New Roman"/>
          <w:b/>
          <w:i/>
          <w:szCs w:val="24"/>
        </w:rPr>
      </w:pPr>
      <w:r w:rsidRPr="007F3E5F">
        <w:rPr>
          <w:rFonts w:cs="Times New Roman"/>
          <w:b/>
          <w:i/>
          <w:szCs w:val="24"/>
        </w:rPr>
        <w:t>Explain each exception to the certification statement identified in Item 19, “Certification for Paperwork Reduction Act Submissions,” of OMB Form 83-I.</w:t>
      </w:r>
    </w:p>
    <w:p w:rsidRPr="007F3E5F" w:rsidR="004D7C6A" w:rsidP="004D7C6A" w:rsidRDefault="004D7C6A" w14:paraId="72E404AC" w14:textId="77777777">
      <w:pPr>
        <w:keepNext/>
        <w:numPr>
          <w:ilvl w:val="12"/>
          <w:numId w:val="0"/>
        </w:numPr>
        <w:ind w:left="360"/>
        <w:rPr>
          <w:rFonts w:cs="Times New Roman"/>
          <w:szCs w:val="24"/>
        </w:rPr>
      </w:pPr>
    </w:p>
    <w:p w:rsidRPr="00451125" w:rsidR="00BF0BE1" w:rsidP="009F378F" w:rsidRDefault="004D7C6A" w14:paraId="72E404B1" w14:textId="5FC4C816">
      <w:pPr>
        <w:numPr>
          <w:ilvl w:val="12"/>
          <w:numId w:val="0"/>
        </w:numPr>
        <w:ind w:left="360"/>
      </w:pPr>
      <w:r w:rsidRPr="007F3E5F">
        <w:rPr>
          <w:rFonts w:cs="Times New Roman"/>
          <w:szCs w:val="24"/>
        </w:rPr>
        <w:t>TSA is not seeking any exceptions to the certification statement.</w:t>
      </w:r>
    </w:p>
    <w:sectPr w:rsidRPr="00451125" w:rsidR="00BF0BE1" w:rsidSect="00D32902">
      <w:headerReference w:type="default" r:id="rId12"/>
      <w:head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4F333" w14:textId="77777777" w:rsidR="00970A84" w:rsidRDefault="00970A84" w:rsidP="004D7C6A">
      <w:r>
        <w:separator/>
      </w:r>
    </w:p>
  </w:endnote>
  <w:endnote w:type="continuationSeparator" w:id="0">
    <w:p w14:paraId="76E2A234" w14:textId="77777777" w:rsidR="00970A84" w:rsidRDefault="00970A84" w:rsidP="004D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79C98" w14:textId="77777777" w:rsidR="00970A84" w:rsidRDefault="00970A84" w:rsidP="004D7C6A">
      <w:r>
        <w:separator/>
      </w:r>
    </w:p>
  </w:footnote>
  <w:footnote w:type="continuationSeparator" w:id="0">
    <w:p w14:paraId="5368B406" w14:textId="77777777" w:rsidR="00970A84" w:rsidRDefault="00970A84" w:rsidP="004D7C6A">
      <w:r>
        <w:continuationSeparator/>
      </w:r>
    </w:p>
  </w:footnote>
  <w:footnote w:id="1">
    <w:p w14:paraId="7CC75F1A" w14:textId="3D290B13" w:rsidR="00AB6D6E" w:rsidRDefault="00AB6D6E" w:rsidP="00B71897">
      <w:pPr>
        <w:pStyle w:val="FootnoteText"/>
      </w:pPr>
      <w:r>
        <w:rPr>
          <w:rStyle w:val="FootnoteReference"/>
        </w:rPr>
        <w:footnoteRef/>
      </w:r>
      <w:r>
        <w:t xml:space="preserve"> TSA uses the average hourly wage of $</w:t>
      </w:r>
      <w:r w:rsidR="00C05CFC">
        <w:t>33.66</w:t>
      </w:r>
      <w:r>
        <w:t xml:space="preserve"> for Police and Sheriff Officers.  </w:t>
      </w:r>
      <w:r w:rsidRPr="00566AD3">
        <w:t>BLS</w:t>
      </w:r>
      <w:r>
        <w:t>,</w:t>
      </w:r>
      <w:r w:rsidRPr="00566AD3">
        <w:t xml:space="preserve"> May </w:t>
      </w:r>
      <w:r w:rsidR="00042319">
        <w:t>2020</w:t>
      </w:r>
      <w:r w:rsidRPr="00566AD3">
        <w:t xml:space="preserve"> Occupational Employment and Wages. </w:t>
      </w:r>
      <w:r w:rsidR="00213E35">
        <w:t xml:space="preserve"> </w:t>
      </w:r>
      <w:r>
        <w:t>Police and Sheriff’s Patrol Officers (</w:t>
      </w:r>
      <w:r w:rsidRPr="00566AD3">
        <w:t>33-3051</w:t>
      </w:r>
      <w:r>
        <w:t>)</w:t>
      </w:r>
      <w:r w:rsidRPr="00566AD3">
        <w:t>.</w:t>
      </w:r>
      <w:r w:rsidR="00B71897">
        <w:t xml:space="preserve"> </w:t>
      </w:r>
      <w:r w:rsidRPr="00566AD3">
        <w:t xml:space="preserve"> Last Modified Data: </w:t>
      </w:r>
      <w:r>
        <w:t>March 31, 20</w:t>
      </w:r>
      <w:r w:rsidR="00042319">
        <w:t>21</w:t>
      </w:r>
      <w:r w:rsidRPr="00566AD3">
        <w:t xml:space="preserve">. </w:t>
      </w:r>
      <w:r w:rsidR="00B71897">
        <w:t xml:space="preserve"> </w:t>
      </w:r>
      <w:hyperlink r:id="rId1" w:history="1">
        <w:r w:rsidR="00042319" w:rsidRPr="007A1B1B">
          <w:rPr>
            <w:rStyle w:val="Hyperlink"/>
          </w:rPr>
          <w:t>https://www.bls.gov/oes/2020/may/oes333051.htm</w:t>
        </w:r>
      </w:hyperlink>
      <w:r>
        <w:t xml:space="preserve">.  </w:t>
      </w:r>
      <w:r w:rsidR="00D73807">
        <w:t>Retrieved October</w:t>
      </w:r>
      <w:r w:rsidR="0089593D">
        <w:t xml:space="preserve"> 28, 2021</w:t>
      </w:r>
      <w:r w:rsidRPr="00654603">
        <w:t>.</w:t>
      </w:r>
      <w:r>
        <w:t xml:space="preserve">  TSA uses the compensation factor for </w:t>
      </w:r>
      <w:r w:rsidR="00213E35">
        <w:t>S</w:t>
      </w:r>
      <w:r>
        <w:t xml:space="preserve">tate and local government workers.  For all </w:t>
      </w:r>
      <w:r w:rsidR="00213E35">
        <w:t>S</w:t>
      </w:r>
      <w:r>
        <w:t>tate and local government workers, hourly total compensation is $</w:t>
      </w:r>
      <w:r w:rsidR="0089593D">
        <w:t>53.59</w:t>
      </w:r>
      <w:r>
        <w:t xml:space="preserve"> and hourly wages and salaries are $</w:t>
      </w:r>
      <w:r w:rsidR="0089593D">
        <w:t>33.09</w:t>
      </w:r>
      <w:r>
        <w:t>.  TSA estimates the compensation factor as 1.</w:t>
      </w:r>
      <w:r w:rsidR="00A6527E">
        <w:t>61952</w:t>
      </w:r>
      <w:r>
        <w:t xml:space="preserve"> ($</w:t>
      </w:r>
      <w:r w:rsidR="00A6527E">
        <w:t>53.59</w:t>
      </w:r>
      <w:r>
        <w:t xml:space="preserve"> </w:t>
      </w:r>
      <w:r w:rsidRPr="00D20611">
        <w:rPr>
          <w:rFonts w:cs="Times New Roman"/>
        </w:rPr>
        <w:t>÷</w:t>
      </w:r>
      <w:r>
        <w:rPr>
          <w:rFonts w:cs="Times New Roman"/>
        </w:rPr>
        <w:t xml:space="preserve"> $</w:t>
      </w:r>
      <w:r w:rsidR="00A6527E">
        <w:rPr>
          <w:rFonts w:cs="Times New Roman"/>
        </w:rPr>
        <w:t>33.09</w:t>
      </w:r>
      <w:r>
        <w:rPr>
          <w:rFonts w:cs="Times New Roman"/>
        </w:rPr>
        <w:t>).  BLS, News Release, Employer Costs for Employee Compensation – June 20</w:t>
      </w:r>
      <w:r w:rsidR="00A6527E">
        <w:rPr>
          <w:rFonts w:cs="Times New Roman"/>
        </w:rPr>
        <w:t>21</w:t>
      </w:r>
      <w:r>
        <w:rPr>
          <w:rFonts w:cs="Times New Roman"/>
        </w:rPr>
        <w:t>.  Table 4.  Employer costs per hour worked for employee compensation and costs as a percent of total compensation: state and local government workers, by occupational and industry group, June 20</w:t>
      </w:r>
      <w:r w:rsidR="00A6527E">
        <w:rPr>
          <w:rFonts w:cs="Times New Roman"/>
        </w:rPr>
        <w:t>21</w:t>
      </w:r>
      <w:r>
        <w:rPr>
          <w:rFonts w:cs="Times New Roman"/>
        </w:rPr>
        <w:t xml:space="preserve">.  Release date September </w:t>
      </w:r>
      <w:r w:rsidR="00A6527E">
        <w:rPr>
          <w:rFonts w:cs="Times New Roman"/>
        </w:rPr>
        <w:t>16</w:t>
      </w:r>
      <w:r>
        <w:rPr>
          <w:rFonts w:cs="Times New Roman"/>
        </w:rPr>
        <w:t>, 20</w:t>
      </w:r>
      <w:r w:rsidR="00A6527E">
        <w:rPr>
          <w:rFonts w:cs="Times New Roman"/>
        </w:rPr>
        <w:t>21</w:t>
      </w:r>
      <w:r>
        <w:rPr>
          <w:rFonts w:cs="Times New Roman"/>
        </w:rPr>
        <w:t xml:space="preserve">.   </w:t>
      </w:r>
      <w:hyperlink r:id="rId2" w:history="1">
        <w:r w:rsidR="00A6527E" w:rsidRPr="007A1B1B">
          <w:rPr>
            <w:rStyle w:val="Hyperlink"/>
          </w:rPr>
          <w:t>https://www.bls.gov/news.release/archives/ecec_09162021.htm</w:t>
        </w:r>
      </w:hyperlink>
      <w:r w:rsidRPr="00B13887">
        <w:rPr>
          <w:rStyle w:val="Hyperlink"/>
          <w:color w:val="auto"/>
          <w:u w:val="none"/>
        </w:rPr>
        <w:t xml:space="preserve">.  Retrieved </w:t>
      </w:r>
      <w:r w:rsidR="00A6527E">
        <w:rPr>
          <w:rStyle w:val="Hyperlink"/>
          <w:color w:val="auto"/>
          <w:u w:val="none"/>
        </w:rPr>
        <w:t>October 28, 2021</w:t>
      </w:r>
      <w:r w:rsidRPr="00B13887">
        <w:rPr>
          <w:rStyle w:val="Hyperlink"/>
          <w:color w:val="auto"/>
          <w:u w:val="none"/>
        </w:rPr>
        <w:t>.  TSA estimates that the fully loaded average hourly wage rate is $</w:t>
      </w:r>
      <w:r w:rsidR="00C05CFC">
        <w:rPr>
          <w:rStyle w:val="Hyperlink"/>
          <w:color w:val="auto"/>
          <w:u w:val="none"/>
        </w:rPr>
        <w:t>54.51</w:t>
      </w:r>
      <w:r w:rsidRPr="00B13887">
        <w:rPr>
          <w:rStyle w:val="Hyperlink"/>
          <w:color w:val="auto"/>
          <w:u w:val="none"/>
        </w:rPr>
        <w:t xml:space="preserve"> ($</w:t>
      </w:r>
      <w:r w:rsidR="00C05CFC">
        <w:rPr>
          <w:rStyle w:val="Hyperlink"/>
          <w:color w:val="auto"/>
          <w:u w:val="none"/>
        </w:rPr>
        <w:t>33.66</w:t>
      </w:r>
      <w:r w:rsidRPr="00B13887">
        <w:rPr>
          <w:rStyle w:val="Hyperlink"/>
          <w:color w:val="auto"/>
          <w:u w:val="none"/>
        </w:rPr>
        <w:t xml:space="preserve"> x 1.</w:t>
      </w:r>
      <w:r w:rsidR="00C05CFC">
        <w:rPr>
          <w:rStyle w:val="Hyperlink"/>
          <w:color w:val="auto"/>
          <w:u w:val="none"/>
        </w:rPr>
        <w:t>61952</w:t>
      </w:r>
      <w:r w:rsidRPr="00B13887">
        <w:rPr>
          <w:rStyle w:val="Hyperlink"/>
          <w:color w:val="auto"/>
          <w:u w:val="none"/>
        </w:rPr>
        <w:t>).</w:t>
      </w:r>
    </w:p>
  </w:footnote>
  <w:footnote w:id="2">
    <w:p w14:paraId="40C799FC" w14:textId="50A184DE" w:rsidR="00AB6D6E" w:rsidRDefault="00AB6D6E" w:rsidP="00213E35">
      <w:pPr>
        <w:pStyle w:val="FootnoteText"/>
      </w:pPr>
      <w:r>
        <w:rPr>
          <w:rStyle w:val="FootnoteReference"/>
        </w:rPr>
        <w:footnoteRef/>
      </w:r>
      <w:r>
        <w:t xml:space="preserve"> The total compensation for I</w:t>
      </w:r>
      <w:r w:rsidRPr="007F6C2A">
        <w:t xml:space="preserve"> Band </w:t>
      </w:r>
      <w:r>
        <w:t xml:space="preserve">(equivalent to GS –13) </w:t>
      </w:r>
      <w:r w:rsidRPr="007F6C2A">
        <w:t xml:space="preserve">TSA personnel </w:t>
      </w:r>
      <w:r>
        <w:t>is</w:t>
      </w:r>
      <w:r w:rsidRPr="007F6C2A">
        <w:t xml:space="preserve"> $</w:t>
      </w:r>
      <w:r w:rsidR="00993C54">
        <w:t>151,780</w:t>
      </w:r>
      <w:r w:rsidRPr="007F6C2A">
        <w:t xml:space="preserve"> per year (includ</w:t>
      </w:r>
      <w:r>
        <w:t xml:space="preserve">ing </w:t>
      </w:r>
      <w:r w:rsidRPr="007F6C2A">
        <w:t xml:space="preserve">locality adjustment and </w:t>
      </w:r>
      <w:r>
        <w:t xml:space="preserve">other benefits). </w:t>
      </w:r>
      <w:r w:rsidR="00213E35">
        <w:t xml:space="preserve"> </w:t>
      </w:r>
      <w:r w:rsidRPr="007F6C2A">
        <w:t xml:space="preserve">Source: </w:t>
      </w:r>
      <w:r w:rsidRPr="002167CF">
        <w:t>M</w:t>
      </w:r>
      <w:r>
        <w:t xml:space="preserve">odular Cost Standards </w:t>
      </w:r>
      <w:r w:rsidRPr="002167CF">
        <w:t>FY</w:t>
      </w:r>
      <w:r w:rsidR="00993C54">
        <w:t>21</w:t>
      </w:r>
      <w:r>
        <w:t xml:space="preserve">, </w:t>
      </w:r>
      <w:r w:rsidRPr="007F6C2A">
        <w:t>TSA Financial Management Division</w:t>
      </w:r>
      <w:r w:rsidR="00B13887">
        <w:t xml:space="preserve"> (MCS)</w:t>
      </w:r>
      <w:r w:rsidRPr="007F6C2A">
        <w:t xml:space="preserve">.  </w:t>
      </w:r>
      <w:r>
        <w:t>$</w:t>
      </w:r>
      <w:r w:rsidR="00993C54">
        <w:t>72.73</w:t>
      </w:r>
      <w:r>
        <w:t xml:space="preserve"> = $</w:t>
      </w:r>
      <w:r w:rsidR="00993C54">
        <w:t>151,780</w:t>
      </w:r>
      <w:r>
        <w:t xml:space="preserve"> </w:t>
      </w:r>
      <w:r>
        <w:rPr>
          <w:rFonts w:cs="Times New Roman"/>
        </w:rPr>
        <w:t>÷</w:t>
      </w:r>
      <w:r>
        <w:t xml:space="preserve"> 2,087 annual work hours. </w:t>
      </w:r>
      <w:r w:rsidR="00213E35">
        <w:t xml:space="preserve"> </w:t>
      </w:r>
      <w:r>
        <w:t xml:space="preserve">TSA </w:t>
      </w:r>
      <w:r w:rsidRPr="00141C2B">
        <w:t xml:space="preserve">divided the annual salary by 2,087 to get the average hourly wage. </w:t>
      </w:r>
      <w:r w:rsidR="00213E35">
        <w:t xml:space="preserve"> </w:t>
      </w:r>
      <w:r w:rsidRPr="00141C2B">
        <w:t>Source</w:t>
      </w:r>
      <w:r>
        <w:t xml:space="preserve"> for 2,087 hours per year</w:t>
      </w:r>
      <w:r w:rsidRPr="00141C2B">
        <w:t>: Consolidated Omnibus Budget Reconciliation Act of 1985 (P</w:t>
      </w:r>
      <w:r>
        <w:t xml:space="preserve">ub. </w:t>
      </w:r>
      <w:r w:rsidR="00213E35">
        <w:t xml:space="preserve">L. </w:t>
      </w:r>
      <w:r>
        <w:t xml:space="preserve">99-272, </w:t>
      </w:r>
      <w:r w:rsidR="00B13887" w:rsidRPr="00163400">
        <w:t>100</w:t>
      </w:r>
      <w:r w:rsidR="00213E35" w:rsidRPr="00163400">
        <w:t xml:space="preserve"> Stat. </w:t>
      </w:r>
      <w:r w:rsidR="00B13887" w:rsidRPr="00163400">
        <w:t>82</w:t>
      </w:r>
      <w:r w:rsidR="00213E35" w:rsidRPr="00163400">
        <w:t>,</w:t>
      </w:r>
      <w:r w:rsidR="00213E35">
        <w:t xml:space="preserve"> </w:t>
      </w:r>
      <w:r>
        <w:t>April 7, 1986)</w:t>
      </w:r>
      <w:r w:rsidR="00B13887">
        <w:t xml:space="preserve"> (1985 Omnibus Budget)</w:t>
      </w:r>
      <w:r w:rsidR="00213E35">
        <w:t xml:space="preserve">. </w:t>
      </w:r>
      <w:r>
        <w:t xml:space="preserve"> </w:t>
      </w:r>
    </w:p>
  </w:footnote>
  <w:footnote w:id="3">
    <w:p w14:paraId="446B3D53" w14:textId="5D792096" w:rsidR="00AB6D6E" w:rsidRDefault="00AB6D6E" w:rsidP="00213E35">
      <w:pPr>
        <w:pStyle w:val="FootnoteText"/>
      </w:pPr>
      <w:r>
        <w:rPr>
          <w:rStyle w:val="FootnoteReference"/>
        </w:rPr>
        <w:footnoteRef/>
      </w:r>
      <w:r>
        <w:t xml:space="preserve"> The total compensation for J</w:t>
      </w:r>
      <w:r w:rsidRPr="007F6C2A">
        <w:t xml:space="preserve"> Band </w:t>
      </w:r>
      <w:r>
        <w:t xml:space="preserve">(equivalent to GS –14) </w:t>
      </w:r>
      <w:r w:rsidRPr="007F6C2A">
        <w:t xml:space="preserve">TSA personnel </w:t>
      </w:r>
      <w:r>
        <w:t>is</w:t>
      </w:r>
      <w:r w:rsidRPr="007F6C2A">
        <w:t xml:space="preserve"> $</w:t>
      </w:r>
      <w:r w:rsidR="00903629">
        <w:t>179,062</w:t>
      </w:r>
      <w:r w:rsidRPr="007F6C2A">
        <w:t xml:space="preserve"> per year (includ</w:t>
      </w:r>
      <w:r>
        <w:t xml:space="preserve">ing </w:t>
      </w:r>
      <w:r w:rsidRPr="007F6C2A">
        <w:t xml:space="preserve">locality adjustment and </w:t>
      </w:r>
      <w:r>
        <w:t xml:space="preserve">other benefits). </w:t>
      </w:r>
      <w:r w:rsidR="00213E35">
        <w:t xml:space="preserve"> </w:t>
      </w:r>
      <w:r w:rsidRPr="007F6C2A">
        <w:t xml:space="preserve">Source: </w:t>
      </w:r>
      <w:r w:rsidR="00B13887">
        <w:t>MCS.</w:t>
      </w:r>
      <w:r w:rsidRPr="007F6C2A">
        <w:t xml:space="preserve">  </w:t>
      </w:r>
      <w:r>
        <w:t>$</w:t>
      </w:r>
      <w:r w:rsidR="00993C54">
        <w:t>85.80</w:t>
      </w:r>
      <w:r>
        <w:t xml:space="preserve"> = $</w:t>
      </w:r>
      <w:r w:rsidR="00903629">
        <w:t>179,062</w:t>
      </w:r>
      <w:r>
        <w:t xml:space="preserve"> </w:t>
      </w:r>
      <w:r>
        <w:rPr>
          <w:rFonts w:cs="Times New Roman"/>
        </w:rPr>
        <w:t>÷</w:t>
      </w:r>
      <w:r>
        <w:t xml:space="preserve"> 2,087 annual work hours. </w:t>
      </w:r>
      <w:r w:rsidR="00213E35">
        <w:t xml:space="preserve"> </w:t>
      </w:r>
      <w:r>
        <w:t xml:space="preserve">TSA </w:t>
      </w:r>
      <w:r w:rsidRPr="00141C2B">
        <w:t xml:space="preserve">divided the annual salary by 2,087 to get the average hourly wage. </w:t>
      </w:r>
      <w:r w:rsidR="00213E35">
        <w:t xml:space="preserve"> </w:t>
      </w:r>
      <w:r w:rsidRPr="00141C2B">
        <w:t>Source</w:t>
      </w:r>
      <w:r>
        <w:t xml:space="preserve"> for 2,087 hours per year</w:t>
      </w:r>
      <w:r w:rsidRPr="00141C2B">
        <w:t xml:space="preserve">: </w:t>
      </w:r>
      <w:r w:rsidR="00B13887">
        <w:t>1985 Omnibus Budget</w:t>
      </w:r>
      <w:r>
        <w:t>)</w:t>
      </w:r>
      <w:r w:rsidR="00213E35">
        <w:t xml:space="preserve">. </w:t>
      </w:r>
    </w:p>
  </w:footnote>
  <w:footnote w:id="4">
    <w:p w14:paraId="611C7EC1" w14:textId="00444B96" w:rsidR="00AB6D6E" w:rsidRDefault="00AB6D6E" w:rsidP="00213E35">
      <w:pPr>
        <w:pStyle w:val="FootnoteText"/>
      </w:pPr>
      <w:r>
        <w:rPr>
          <w:rStyle w:val="FootnoteReference"/>
        </w:rPr>
        <w:footnoteRef/>
      </w:r>
      <w:r>
        <w:t xml:space="preserve"> The total compensation for K</w:t>
      </w:r>
      <w:r w:rsidRPr="007F6C2A">
        <w:t xml:space="preserve"> Band </w:t>
      </w:r>
      <w:r>
        <w:t xml:space="preserve">(equivalent to GS –15) </w:t>
      </w:r>
      <w:r w:rsidRPr="007F6C2A">
        <w:t xml:space="preserve">TSA personnel </w:t>
      </w:r>
      <w:r>
        <w:t>is</w:t>
      </w:r>
      <w:r w:rsidRPr="007F6C2A">
        <w:t xml:space="preserve"> $</w:t>
      </w:r>
      <w:r w:rsidR="00903629">
        <w:t>210,344</w:t>
      </w:r>
      <w:r w:rsidRPr="007F6C2A">
        <w:t xml:space="preserve"> per year (includ</w:t>
      </w:r>
      <w:r>
        <w:t xml:space="preserve">ing </w:t>
      </w:r>
      <w:r w:rsidRPr="007F6C2A">
        <w:t xml:space="preserve">locality adjustment and </w:t>
      </w:r>
      <w:r>
        <w:t xml:space="preserve">other benefits). </w:t>
      </w:r>
      <w:r w:rsidR="00213E35">
        <w:t xml:space="preserve"> </w:t>
      </w:r>
      <w:r w:rsidRPr="007F6C2A">
        <w:t>Source:</w:t>
      </w:r>
      <w:r w:rsidR="00B13887">
        <w:t xml:space="preserve"> MCS.</w:t>
      </w:r>
      <w:r w:rsidRPr="007F6C2A">
        <w:t xml:space="preserve">  </w:t>
      </w:r>
      <w:r>
        <w:t>$</w:t>
      </w:r>
      <w:r w:rsidR="00903629">
        <w:t>100.79</w:t>
      </w:r>
      <w:r>
        <w:t xml:space="preserve"> = $</w:t>
      </w:r>
      <w:r w:rsidR="00903629">
        <w:t>210,344</w:t>
      </w:r>
      <w:r>
        <w:t xml:space="preserve"> </w:t>
      </w:r>
      <w:r>
        <w:rPr>
          <w:rFonts w:cs="Times New Roman"/>
        </w:rPr>
        <w:t>÷</w:t>
      </w:r>
      <w:r>
        <w:t xml:space="preserve"> 2,087 annual work hours. </w:t>
      </w:r>
      <w:r w:rsidR="00213E35">
        <w:t xml:space="preserve"> </w:t>
      </w:r>
      <w:r>
        <w:t xml:space="preserve">TSA </w:t>
      </w:r>
      <w:r w:rsidRPr="00141C2B">
        <w:t>divided the annual salary by 2,087 to get the average hourly wage. Source</w:t>
      </w:r>
      <w:r>
        <w:t xml:space="preserve"> for 2,087 hours per year</w:t>
      </w:r>
      <w:r w:rsidRPr="00141C2B">
        <w:t xml:space="preserve">: </w:t>
      </w:r>
      <w:r w:rsidR="00B13887">
        <w:t>1985 Omnibus Budget.</w:t>
      </w:r>
      <w:r w:rsidR="00B13887" w:rsidRPr="00141C2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04B6" w14:textId="4E4D20B1" w:rsidR="00100656" w:rsidRDefault="00C43798">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855CA">
      <w:rPr>
        <w:rStyle w:val="PageNumber"/>
        <w:rFonts w:ascii="Times New Roman" w:hAnsi="Times New Roman"/>
        <w:noProof/>
        <w:sz w:val="24"/>
      </w:rPr>
      <w:t>4</w:t>
    </w:r>
    <w:r>
      <w:rPr>
        <w:rStyle w:val="PageNumber"/>
        <w:rFonts w:ascii="Times New Roman" w:hAnsi="Times New Roman"/>
        <w:sz w:val="24"/>
      </w:rPr>
      <w:fldChar w:fldCharType="end"/>
    </w:r>
  </w:p>
  <w:p w14:paraId="72E404B7" w14:textId="77777777" w:rsidR="00100656" w:rsidRPr="00320387" w:rsidRDefault="00970A84">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04BA" w14:textId="77777777" w:rsidR="004D7C6A" w:rsidRPr="004D7C6A" w:rsidRDefault="004D7C6A" w:rsidP="004D7C6A">
    <w:pPr>
      <w:pStyle w:val="Title"/>
      <w:keepNext w:val="0"/>
      <w:keepLines w:val="0"/>
      <w:pBdr>
        <w:top w:val="none" w:sz="0" w:space="0" w:color="auto"/>
      </w:pBdr>
      <w:spacing w:before="0" w:after="0" w:line="240" w:lineRule="auto"/>
      <w:jc w:val="center"/>
      <w:rPr>
        <w:rFonts w:ascii="Times New Roman" w:hAnsi="Times New Roman"/>
        <w:b/>
        <w:i/>
        <w:spacing w:val="0"/>
        <w:sz w:val="28"/>
      </w:rPr>
    </w:pPr>
    <w:r w:rsidRPr="004D7C6A">
      <w:rPr>
        <w:rFonts w:ascii="Times New Roman" w:hAnsi="Times New Roman"/>
        <w:b/>
        <w:i/>
        <w:spacing w:val="0"/>
        <w:sz w:val="28"/>
      </w:rPr>
      <w:t>INFORMATION COLLECTION SUPPORTING STATEMENT</w:t>
    </w:r>
  </w:p>
  <w:p w14:paraId="36412317" w14:textId="77777777" w:rsidR="00A06EE9" w:rsidRPr="004D7C6A" w:rsidRDefault="00A06EE9" w:rsidP="004D7C6A">
    <w:pPr>
      <w:jc w:val="center"/>
      <w:rPr>
        <w:rFonts w:cs="Times New Roman"/>
        <w:b/>
        <w:sz w:val="28"/>
      </w:rPr>
    </w:pPr>
  </w:p>
  <w:p w14:paraId="7BEBFC5F" w14:textId="31D7E587" w:rsidR="00A06EE9" w:rsidRDefault="00BE18C9" w:rsidP="005A3615">
    <w:pPr>
      <w:jc w:val="center"/>
      <w:rPr>
        <w:rFonts w:cs="Times New Roman"/>
        <w:b/>
        <w:caps/>
        <w:color w:val="auto"/>
        <w:spacing w:val="-5"/>
        <w:szCs w:val="24"/>
      </w:rPr>
    </w:pPr>
    <w:r>
      <w:rPr>
        <w:rFonts w:cs="Times New Roman"/>
        <w:b/>
        <w:caps/>
        <w:color w:val="auto"/>
        <w:spacing w:val="-5"/>
        <w:szCs w:val="24"/>
      </w:rPr>
      <w:t>TRansportation Security Administration</w:t>
    </w:r>
    <w:r w:rsidR="004D7C6A" w:rsidRPr="004D7C6A">
      <w:rPr>
        <w:rFonts w:cs="Times New Roman"/>
        <w:b/>
        <w:caps/>
        <w:color w:val="auto"/>
        <w:spacing w:val="-5"/>
        <w:szCs w:val="24"/>
      </w:rPr>
      <w:t>, end of course level 1 evaluation</w:t>
    </w:r>
    <w:r w:rsidR="00A06EE9">
      <w:rPr>
        <w:rFonts w:cs="Times New Roman"/>
        <w:b/>
        <w:caps/>
        <w:color w:val="auto"/>
        <w:spacing w:val="-5"/>
        <w:szCs w:val="24"/>
      </w:rPr>
      <w:t xml:space="preserve"> </w:t>
    </w:r>
    <w:r>
      <w:rPr>
        <w:rFonts w:cs="Times New Roman"/>
        <w:b/>
        <w:caps/>
        <w:color w:val="auto"/>
        <w:spacing w:val="-5"/>
        <w:szCs w:val="24"/>
      </w:rPr>
      <w:t>– Instructor-Led Classroom training</w:t>
    </w:r>
  </w:p>
  <w:p w14:paraId="72E404BD" w14:textId="01DC9555" w:rsidR="004D7C6A" w:rsidRDefault="008F7124" w:rsidP="005A3615">
    <w:pPr>
      <w:jc w:val="center"/>
      <w:rPr>
        <w:rFonts w:cs="Times New Roman"/>
        <w:b/>
        <w:caps/>
        <w:color w:val="auto"/>
        <w:spacing w:val="-5"/>
        <w:szCs w:val="24"/>
      </w:rPr>
    </w:pPr>
    <w:r>
      <w:rPr>
        <w:rFonts w:cs="Times New Roman"/>
        <w:b/>
        <w:caps/>
        <w:color w:val="auto"/>
        <w:spacing w:val="-5"/>
        <w:szCs w:val="24"/>
      </w:rPr>
      <w:t xml:space="preserve">OMB </w:t>
    </w:r>
    <w:r>
      <w:rPr>
        <w:rFonts w:cs="Times New Roman"/>
        <w:b/>
        <w:color w:val="auto"/>
        <w:spacing w:val="-5"/>
        <w:szCs w:val="24"/>
      </w:rPr>
      <w:t xml:space="preserve">control number </w:t>
    </w:r>
    <w:r w:rsidR="00A06EE9">
      <w:rPr>
        <w:rFonts w:cs="Times New Roman"/>
        <w:b/>
        <w:caps/>
        <w:color w:val="auto"/>
        <w:spacing w:val="-5"/>
        <w:szCs w:val="24"/>
      </w:rPr>
      <w:t>1652-0041</w:t>
    </w:r>
  </w:p>
  <w:p w14:paraId="1A53A759" w14:textId="4DD38842" w:rsidR="008F7124" w:rsidRPr="004D7C6A" w:rsidRDefault="008F7124" w:rsidP="005A3615">
    <w:pPr>
      <w:jc w:val="center"/>
      <w:rPr>
        <w:rFonts w:cs="Times New Roman"/>
        <w:caps/>
        <w:color w:val="auto"/>
        <w:spacing w:val="-5"/>
        <w:szCs w:val="24"/>
      </w:rPr>
    </w:pPr>
    <w:r>
      <w:rPr>
        <w:rFonts w:cs="Times New Roman"/>
        <w:b/>
        <w:caps/>
        <w:color w:val="auto"/>
        <w:spacing w:val="-5"/>
        <w:szCs w:val="24"/>
      </w:rPr>
      <w:t>Exp. 9/30/20</w:t>
    </w:r>
    <w:r w:rsidR="00050196">
      <w:rPr>
        <w:rFonts w:cs="Times New Roman"/>
        <w:b/>
        <w:caps/>
        <w:color w:val="auto"/>
        <w:spacing w:val="-5"/>
        <w:szCs w:val="24"/>
      </w:rPr>
      <w:t>22</w:t>
    </w:r>
  </w:p>
  <w:p w14:paraId="72E404BE" w14:textId="77777777" w:rsidR="004D7C6A" w:rsidRDefault="004D7C6A">
    <w:pPr>
      <w:pStyle w:val="Header"/>
    </w:pPr>
  </w:p>
  <w:p w14:paraId="72E404BF" w14:textId="77777777" w:rsidR="00100656" w:rsidRPr="00F93BC8" w:rsidRDefault="00970A84" w:rsidP="00D32902">
    <w:pPr>
      <w:pStyle w:val="Header"/>
      <w:keepLines w:val="0"/>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280A"/>
    <w:multiLevelType w:val="hybridMultilevel"/>
    <w:tmpl w:val="709A4416"/>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4"/>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6A"/>
    <w:rsid w:val="000060C0"/>
    <w:rsid w:val="00022019"/>
    <w:rsid w:val="00024CEC"/>
    <w:rsid w:val="00027D8E"/>
    <w:rsid w:val="000361CF"/>
    <w:rsid w:val="00041535"/>
    <w:rsid w:val="00042319"/>
    <w:rsid w:val="00044979"/>
    <w:rsid w:val="00050196"/>
    <w:rsid w:val="0006296B"/>
    <w:rsid w:val="00066E95"/>
    <w:rsid w:val="00071D27"/>
    <w:rsid w:val="00082902"/>
    <w:rsid w:val="000901FD"/>
    <w:rsid w:val="000B1F19"/>
    <w:rsid w:val="000B6501"/>
    <w:rsid w:val="000B6834"/>
    <w:rsid w:val="000C55D3"/>
    <w:rsid w:val="000D2047"/>
    <w:rsid w:val="000D7600"/>
    <w:rsid w:val="000E3C7D"/>
    <w:rsid w:val="000E7A4D"/>
    <w:rsid w:val="000F094C"/>
    <w:rsid w:val="00101B46"/>
    <w:rsid w:val="00103A39"/>
    <w:rsid w:val="00122954"/>
    <w:rsid w:val="00132865"/>
    <w:rsid w:val="00142A89"/>
    <w:rsid w:val="00160D33"/>
    <w:rsid w:val="00163400"/>
    <w:rsid w:val="00172445"/>
    <w:rsid w:val="001960AD"/>
    <w:rsid w:val="00196249"/>
    <w:rsid w:val="001B0F5A"/>
    <w:rsid w:val="001B217F"/>
    <w:rsid w:val="001B31D3"/>
    <w:rsid w:val="001B3B95"/>
    <w:rsid w:val="001B4D0F"/>
    <w:rsid w:val="001C21CF"/>
    <w:rsid w:val="001C5080"/>
    <w:rsid w:val="001D2A92"/>
    <w:rsid w:val="001D2F5E"/>
    <w:rsid w:val="001D40C7"/>
    <w:rsid w:val="001E0F94"/>
    <w:rsid w:val="002121F6"/>
    <w:rsid w:val="00213E35"/>
    <w:rsid w:val="002275CD"/>
    <w:rsid w:val="00227894"/>
    <w:rsid w:val="00227934"/>
    <w:rsid w:val="002434F2"/>
    <w:rsid w:val="0025572E"/>
    <w:rsid w:val="00265E5A"/>
    <w:rsid w:val="00281E8A"/>
    <w:rsid w:val="002832EA"/>
    <w:rsid w:val="00297FE4"/>
    <w:rsid w:val="002A184F"/>
    <w:rsid w:val="002B175E"/>
    <w:rsid w:val="002B3B3A"/>
    <w:rsid w:val="002B3DCB"/>
    <w:rsid w:val="002B43C2"/>
    <w:rsid w:val="002C47DE"/>
    <w:rsid w:val="002E6D7F"/>
    <w:rsid w:val="0030646F"/>
    <w:rsid w:val="003114D6"/>
    <w:rsid w:val="00324EF0"/>
    <w:rsid w:val="003308F6"/>
    <w:rsid w:val="00347792"/>
    <w:rsid w:val="0035687E"/>
    <w:rsid w:val="00363CBD"/>
    <w:rsid w:val="00386BD1"/>
    <w:rsid w:val="003A1521"/>
    <w:rsid w:val="003A1786"/>
    <w:rsid w:val="003A58D4"/>
    <w:rsid w:val="003A5A62"/>
    <w:rsid w:val="003B65B6"/>
    <w:rsid w:val="003E059F"/>
    <w:rsid w:val="003E77F8"/>
    <w:rsid w:val="004152DB"/>
    <w:rsid w:val="00451125"/>
    <w:rsid w:val="00451EBF"/>
    <w:rsid w:val="004542A3"/>
    <w:rsid w:val="00457664"/>
    <w:rsid w:val="0046078E"/>
    <w:rsid w:val="00460E6A"/>
    <w:rsid w:val="0046449F"/>
    <w:rsid w:val="00471CE0"/>
    <w:rsid w:val="004747F3"/>
    <w:rsid w:val="004777B4"/>
    <w:rsid w:val="0049355F"/>
    <w:rsid w:val="004B157F"/>
    <w:rsid w:val="004D48A8"/>
    <w:rsid w:val="004D7C6A"/>
    <w:rsid w:val="004E2A8C"/>
    <w:rsid w:val="004E5D05"/>
    <w:rsid w:val="004E5E55"/>
    <w:rsid w:val="004E6592"/>
    <w:rsid w:val="004F096C"/>
    <w:rsid w:val="004F1FCB"/>
    <w:rsid w:val="004F3DCF"/>
    <w:rsid w:val="00500E7E"/>
    <w:rsid w:val="00505AA9"/>
    <w:rsid w:val="005215E0"/>
    <w:rsid w:val="0052508A"/>
    <w:rsid w:val="0053019B"/>
    <w:rsid w:val="00540047"/>
    <w:rsid w:val="00543CF5"/>
    <w:rsid w:val="005479A5"/>
    <w:rsid w:val="005727DB"/>
    <w:rsid w:val="00581C0B"/>
    <w:rsid w:val="005828E4"/>
    <w:rsid w:val="0058374B"/>
    <w:rsid w:val="005856F5"/>
    <w:rsid w:val="00594F58"/>
    <w:rsid w:val="005A3615"/>
    <w:rsid w:val="005A63F4"/>
    <w:rsid w:val="005B51C8"/>
    <w:rsid w:val="005C0C4D"/>
    <w:rsid w:val="005C6B74"/>
    <w:rsid w:val="005E640E"/>
    <w:rsid w:val="005F61BD"/>
    <w:rsid w:val="006003E6"/>
    <w:rsid w:val="00605D1A"/>
    <w:rsid w:val="00611316"/>
    <w:rsid w:val="006226A1"/>
    <w:rsid w:val="00627617"/>
    <w:rsid w:val="00633C36"/>
    <w:rsid w:val="00645EEC"/>
    <w:rsid w:val="0065044A"/>
    <w:rsid w:val="00651901"/>
    <w:rsid w:val="00656BE5"/>
    <w:rsid w:val="00684D43"/>
    <w:rsid w:val="006B0B90"/>
    <w:rsid w:val="006C0DDA"/>
    <w:rsid w:val="006C3FBE"/>
    <w:rsid w:val="006D3C5A"/>
    <w:rsid w:val="006D509E"/>
    <w:rsid w:val="006D7711"/>
    <w:rsid w:val="006E1083"/>
    <w:rsid w:val="006E2B93"/>
    <w:rsid w:val="006E7958"/>
    <w:rsid w:val="00703C6F"/>
    <w:rsid w:val="007208D6"/>
    <w:rsid w:val="00736A64"/>
    <w:rsid w:val="007568D0"/>
    <w:rsid w:val="007711DB"/>
    <w:rsid w:val="007812AF"/>
    <w:rsid w:val="00792DCC"/>
    <w:rsid w:val="0079331D"/>
    <w:rsid w:val="007967C8"/>
    <w:rsid w:val="007A3480"/>
    <w:rsid w:val="007A5192"/>
    <w:rsid w:val="007A5E3E"/>
    <w:rsid w:val="007B1CE0"/>
    <w:rsid w:val="007D0770"/>
    <w:rsid w:val="007D51B2"/>
    <w:rsid w:val="007E3B31"/>
    <w:rsid w:val="007E3D59"/>
    <w:rsid w:val="007E70F0"/>
    <w:rsid w:val="007F3E5F"/>
    <w:rsid w:val="007F42B0"/>
    <w:rsid w:val="00800677"/>
    <w:rsid w:val="00802357"/>
    <w:rsid w:val="008165E7"/>
    <w:rsid w:val="00822A4C"/>
    <w:rsid w:val="008267D0"/>
    <w:rsid w:val="00850F48"/>
    <w:rsid w:val="008634DB"/>
    <w:rsid w:val="00864495"/>
    <w:rsid w:val="00871C8E"/>
    <w:rsid w:val="008761D0"/>
    <w:rsid w:val="00881BEA"/>
    <w:rsid w:val="008855CA"/>
    <w:rsid w:val="0088735D"/>
    <w:rsid w:val="0089420D"/>
    <w:rsid w:val="0089593D"/>
    <w:rsid w:val="00897DDA"/>
    <w:rsid w:val="008A6851"/>
    <w:rsid w:val="008B17E3"/>
    <w:rsid w:val="008B3279"/>
    <w:rsid w:val="008D5310"/>
    <w:rsid w:val="008D6F41"/>
    <w:rsid w:val="008E425A"/>
    <w:rsid w:val="008E453E"/>
    <w:rsid w:val="008E6770"/>
    <w:rsid w:val="008F47B9"/>
    <w:rsid w:val="008F7124"/>
    <w:rsid w:val="00901E3D"/>
    <w:rsid w:val="00903629"/>
    <w:rsid w:val="009062D9"/>
    <w:rsid w:val="00910446"/>
    <w:rsid w:val="00910C07"/>
    <w:rsid w:val="0091232C"/>
    <w:rsid w:val="00913278"/>
    <w:rsid w:val="009174F3"/>
    <w:rsid w:val="0092538F"/>
    <w:rsid w:val="0092725F"/>
    <w:rsid w:val="0094010A"/>
    <w:rsid w:val="00941052"/>
    <w:rsid w:val="009437AA"/>
    <w:rsid w:val="00963571"/>
    <w:rsid w:val="00967360"/>
    <w:rsid w:val="00970A84"/>
    <w:rsid w:val="00973B3C"/>
    <w:rsid w:val="00976903"/>
    <w:rsid w:val="0099016A"/>
    <w:rsid w:val="0099198F"/>
    <w:rsid w:val="00993C54"/>
    <w:rsid w:val="009A32D2"/>
    <w:rsid w:val="009B2FDE"/>
    <w:rsid w:val="009B4B7F"/>
    <w:rsid w:val="009C7A7D"/>
    <w:rsid w:val="009D1B6D"/>
    <w:rsid w:val="009D2436"/>
    <w:rsid w:val="009D46F5"/>
    <w:rsid w:val="009D7597"/>
    <w:rsid w:val="009E55EA"/>
    <w:rsid w:val="009F378F"/>
    <w:rsid w:val="009F7151"/>
    <w:rsid w:val="00A0506B"/>
    <w:rsid w:val="00A06EE9"/>
    <w:rsid w:val="00A103BE"/>
    <w:rsid w:val="00A13278"/>
    <w:rsid w:val="00A47833"/>
    <w:rsid w:val="00A6527E"/>
    <w:rsid w:val="00A81AF2"/>
    <w:rsid w:val="00A90EFD"/>
    <w:rsid w:val="00A93045"/>
    <w:rsid w:val="00AA25F3"/>
    <w:rsid w:val="00AB534D"/>
    <w:rsid w:val="00AB6D6E"/>
    <w:rsid w:val="00AE25D5"/>
    <w:rsid w:val="00AE6E6E"/>
    <w:rsid w:val="00AF1621"/>
    <w:rsid w:val="00AF3500"/>
    <w:rsid w:val="00AF6DAE"/>
    <w:rsid w:val="00B07D92"/>
    <w:rsid w:val="00B1068F"/>
    <w:rsid w:val="00B13887"/>
    <w:rsid w:val="00B14D3F"/>
    <w:rsid w:val="00B2321C"/>
    <w:rsid w:val="00B27F9B"/>
    <w:rsid w:val="00B3548F"/>
    <w:rsid w:val="00B50BCC"/>
    <w:rsid w:val="00B56B2F"/>
    <w:rsid w:val="00B66ED2"/>
    <w:rsid w:val="00B71897"/>
    <w:rsid w:val="00B72312"/>
    <w:rsid w:val="00B83802"/>
    <w:rsid w:val="00BA0F30"/>
    <w:rsid w:val="00BA1508"/>
    <w:rsid w:val="00BB52B3"/>
    <w:rsid w:val="00BB589C"/>
    <w:rsid w:val="00BB7EA0"/>
    <w:rsid w:val="00BE18C9"/>
    <w:rsid w:val="00BE490A"/>
    <w:rsid w:val="00BE5DEE"/>
    <w:rsid w:val="00BF085B"/>
    <w:rsid w:val="00BF0BE1"/>
    <w:rsid w:val="00BF4939"/>
    <w:rsid w:val="00C04BD1"/>
    <w:rsid w:val="00C05CFC"/>
    <w:rsid w:val="00C1188F"/>
    <w:rsid w:val="00C12DCF"/>
    <w:rsid w:val="00C152CA"/>
    <w:rsid w:val="00C1610C"/>
    <w:rsid w:val="00C40BB9"/>
    <w:rsid w:val="00C43798"/>
    <w:rsid w:val="00C4713A"/>
    <w:rsid w:val="00C50E55"/>
    <w:rsid w:val="00C50F3B"/>
    <w:rsid w:val="00C517E2"/>
    <w:rsid w:val="00C62796"/>
    <w:rsid w:val="00C71EC8"/>
    <w:rsid w:val="00C83C9A"/>
    <w:rsid w:val="00C92BF9"/>
    <w:rsid w:val="00C94AAA"/>
    <w:rsid w:val="00CA660A"/>
    <w:rsid w:val="00CB5725"/>
    <w:rsid w:val="00CC65D0"/>
    <w:rsid w:val="00CD11A1"/>
    <w:rsid w:val="00CE6E8E"/>
    <w:rsid w:val="00CF2FBD"/>
    <w:rsid w:val="00CF4058"/>
    <w:rsid w:val="00CF4570"/>
    <w:rsid w:val="00D03ABD"/>
    <w:rsid w:val="00D224EC"/>
    <w:rsid w:val="00D30FBD"/>
    <w:rsid w:val="00D33E5B"/>
    <w:rsid w:val="00D34FF0"/>
    <w:rsid w:val="00D40033"/>
    <w:rsid w:val="00D465AF"/>
    <w:rsid w:val="00D52A5E"/>
    <w:rsid w:val="00D5447D"/>
    <w:rsid w:val="00D56128"/>
    <w:rsid w:val="00D574B7"/>
    <w:rsid w:val="00D64CB1"/>
    <w:rsid w:val="00D73807"/>
    <w:rsid w:val="00D74F7B"/>
    <w:rsid w:val="00D83FE3"/>
    <w:rsid w:val="00D84C48"/>
    <w:rsid w:val="00D91268"/>
    <w:rsid w:val="00DA3C5B"/>
    <w:rsid w:val="00DC77EE"/>
    <w:rsid w:val="00DE4B6D"/>
    <w:rsid w:val="00E30EA0"/>
    <w:rsid w:val="00E3461B"/>
    <w:rsid w:val="00E34CB7"/>
    <w:rsid w:val="00E37807"/>
    <w:rsid w:val="00E427F0"/>
    <w:rsid w:val="00E66B26"/>
    <w:rsid w:val="00E723B8"/>
    <w:rsid w:val="00E7395E"/>
    <w:rsid w:val="00E7655F"/>
    <w:rsid w:val="00E77FCD"/>
    <w:rsid w:val="00E94B10"/>
    <w:rsid w:val="00E96002"/>
    <w:rsid w:val="00EB49A5"/>
    <w:rsid w:val="00EC2DD6"/>
    <w:rsid w:val="00EC508E"/>
    <w:rsid w:val="00ED0407"/>
    <w:rsid w:val="00ED5D9A"/>
    <w:rsid w:val="00EF5F2C"/>
    <w:rsid w:val="00F04505"/>
    <w:rsid w:val="00F14BC3"/>
    <w:rsid w:val="00F1611C"/>
    <w:rsid w:val="00F4241B"/>
    <w:rsid w:val="00F5108D"/>
    <w:rsid w:val="00F72CB5"/>
    <w:rsid w:val="00F77BB9"/>
    <w:rsid w:val="00FA1E0C"/>
    <w:rsid w:val="00FA7ADA"/>
    <w:rsid w:val="00FB352E"/>
    <w:rsid w:val="00FE1261"/>
    <w:rsid w:val="00FF0DF6"/>
    <w:rsid w:val="00FF511F"/>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043D"/>
  <w15:docId w15:val="{C804D020-919B-484B-9D06-EB66E6A6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C6A"/>
    <w:pPr>
      <w:spacing w:after="0" w:line="240" w:lineRule="auto"/>
    </w:pPr>
    <w:rPr>
      <w:rFonts w:ascii="Times New Roman" w:eastAsia="Times New Roman" w:hAnsi="Times New Roman"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4D7C6A"/>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rsid w:val="004D7C6A"/>
    <w:rPr>
      <w:rFonts w:ascii="Arial Black" w:eastAsia="Times New Roman" w:hAnsi="Arial Black" w:cs="Times New Roman"/>
      <w:spacing w:val="-30"/>
      <w:kern w:val="28"/>
      <w:sz w:val="40"/>
      <w:szCs w:val="20"/>
    </w:rPr>
  </w:style>
  <w:style w:type="paragraph" w:styleId="Index1">
    <w:name w:val="index 1"/>
    <w:basedOn w:val="Normal"/>
    <w:next w:val="Normal"/>
    <w:autoRedefine/>
    <w:semiHidden/>
    <w:rsid w:val="008855CA"/>
    <w:pPr>
      <w:keepNext/>
      <w:ind w:left="360"/>
    </w:pPr>
  </w:style>
  <w:style w:type="paragraph" w:styleId="IndexHeading">
    <w:name w:val="index heading"/>
    <w:basedOn w:val="Normal"/>
    <w:next w:val="Index1"/>
    <w:semiHidden/>
    <w:rsid w:val="004D7C6A"/>
    <w:pPr>
      <w:keepNext/>
      <w:spacing w:line="480" w:lineRule="atLeast"/>
    </w:pPr>
    <w:rPr>
      <w:rFonts w:ascii="Arial Black" w:hAnsi="Arial Black" w:cs="Times New Roman"/>
      <w:color w:val="auto"/>
      <w:spacing w:val="-5"/>
    </w:rPr>
  </w:style>
  <w:style w:type="character" w:styleId="PageNumber">
    <w:name w:val="page number"/>
    <w:rsid w:val="004D7C6A"/>
    <w:rPr>
      <w:rFonts w:ascii="Arial Black" w:hAnsi="Arial Black"/>
      <w:spacing w:val="-10"/>
      <w:sz w:val="18"/>
    </w:rPr>
  </w:style>
  <w:style w:type="paragraph" w:styleId="Header">
    <w:name w:val="header"/>
    <w:basedOn w:val="Normal"/>
    <w:link w:val="HeaderChar"/>
    <w:uiPriority w:val="99"/>
    <w:rsid w:val="004D7C6A"/>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rsid w:val="004D7C6A"/>
    <w:rPr>
      <w:rFonts w:ascii="Arial" w:eastAsia="Times New Roman" w:hAnsi="Arial" w:cs="Times New Roman"/>
      <w:caps/>
      <w:spacing w:val="-5"/>
      <w:sz w:val="15"/>
      <w:szCs w:val="20"/>
    </w:rPr>
  </w:style>
  <w:style w:type="character" w:styleId="CommentReference">
    <w:name w:val="annotation reference"/>
    <w:rsid w:val="004D7C6A"/>
    <w:rPr>
      <w:sz w:val="16"/>
      <w:szCs w:val="16"/>
    </w:rPr>
  </w:style>
  <w:style w:type="paragraph" w:styleId="Subtitle">
    <w:name w:val="Subtitle"/>
    <w:basedOn w:val="Normal"/>
    <w:next w:val="Normal"/>
    <w:link w:val="SubtitleChar"/>
    <w:uiPriority w:val="11"/>
    <w:qFormat/>
    <w:rsid w:val="004D7C6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D7C6A"/>
    <w:rPr>
      <w:rFonts w:asciiTheme="majorHAnsi" w:eastAsiaTheme="majorEastAsia" w:hAnsiTheme="majorHAnsi" w:cstheme="majorBidi"/>
      <w:i/>
      <w:iCs/>
      <w:color w:val="4F81BD" w:themeColor="accent1"/>
      <w:spacing w:val="15"/>
      <w:sz w:val="24"/>
      <w:szCs w:val="24"/>
    </w:rPr>
  </w:style>
  <w:style w:type="paragraph" w:styleId="Footer">
    <w:name w:val="footer"/>
    <w:basedOn w:val="Normal"/>
    <w:link w:val="FooterChar"/>
    <w:uiPriority w:val="99"/>
    <w:unhideWhenUsed/>
    <w:rsid w:val="004D7C6A"/>
    <w:pPr>
      <w:tabs>
        <w:tab w:val="center" w:pos="4680"/>
        <w:tab w:val="right" w:pos="9360"/>
      </w:tabs>
    </w:pPr>
  </w:style>
  <w:style w:type="character" w:customStyle="1" w:styleId="FooterChar">
    <w:name w:val="Footer Char"/>
    <w:basedOn w:val="DefaultParagraphFont"/>
    <w:link w:val="Footer"/>
    <w:uiPriority w:val="99"/>
    <w:rsid w:val="004D7C6A"/>
    <w:rPr>
      <w:rFonts w:ascii="Times New Roman" w:eastAsia="Times New Roman" w:hAnsi="Times New Roman" w:cs="Arial"/>
      <w:color w:val="000000"/>
      <w:sz w:val="24"/>
      <w:szCs w:val="20"/>
    </w:rPr>
  </w:style>
  <w:style w:type="paragraph" w:styleId="BalloonText">
    <w:name w:val="Balloon Text"/>
    <w:basedOn w:val="Normal"/>
    <w:link w:val="BalloonTextChar"/>
    <w:uiPriority w:val="99"/>
    <w:semiHidden/>
    <w:unhideWhenUsed/>
    <w:rsid w:val="004D7C6A"/>
    <w:rPr>
      <w:rFonts w:ascii="Tahoma" w:hAnsi="Tahoma" w:cs="Tahoma"/>
      <w:sz w:val="16"/>
      <w:szCs w:val="16"/>
    </w:rPr>
  </w:style>
  <w:style w:type="character" w:customStyle="1" w:styleId="BalloonTextChar">
    <w:name w:val="Balloon Text Char"/>
    <w:basedOn w:val="DefaultParagraphFont"/>
    <w:link w:val="BalloonText"/>
    <w:uiPriority w:val="99"/>
    <w:semiHidden/>
    <w:rsid w:val="004D7C6A"/>
    <w:rPr>
      <w:rFonts w:ascii="Tahoma" w:eastAsia="Times New Roman" w:hAnsi="Tahoma" w:cs="Tahoma"/>
      <w:color w:val="000000"/>
      <w:sz w:val="16"/>
      <w:szCs w:val="16"/>
    </w:rPr>
  </w:style>
  <w:style w:type="paragraph" w:styleId="CommentText">
    <w:name w:val="annotation text"/>
    <w:basedOn w:val="Normal"/>
    <w:link w:val="CommentTextChar"/>
    <w:unhideWhenUsed/>
    <w:rsid w:val="002C47DE"/>
    <w:rPr>
      <w:sz w:val="20"/>
    </w:rPr>
  </w:style>
  <w:style w:type="character" w:customStyle="1" w:styleId="CommentTextChar">
    <w:name w:val="Comment Text Char"/>
    <w:basedOn w:val="DefaultParagraphFont"/>
    <w:link w:val="CommentText"/>
    <w:rsid w:val="002C47DE"/>
    <w:rPr>
      <w:rFonts w:ascii="Times New Roman" w:eastAsia="Times New Roman" w:hAnsi="Times New Roman" w:cs="Arial"/>
      <w:color w:val="000000"/>
      <w:sz w:val="20"/>
      <w:szCs w:val="20"/>
    </w:rPr>
  </w:style>
  <w:style w:type="paragraph" w:styleId="CommentSubject">
    <w:name w:val="annotation subject"/>
    <w:basedOn w:val="CommentText"/>
    <w:next w:val="CommentText"/>
    <w:link w:val="CommentSubjectChar"/>
    <w:uiPriority w:val="99"/>
    <w:semiHidden/>
    <w:unhideWhenUsed/>
    <w:rsid w:val="002C47DE"/>
    <w:rPr>
      <w:b/>
      <w:bCs/>
    </w:rPr>
  </w:style>
  <w:style w:type="character" w:customStyle="1" w:styleId="CommentSubjectChar">
    <w:name w:val="Comment Subject Char"/>
    <w:basedOn w:val="CommentTextChar"/>
    <w:link w:val="CommentSubject"/>
    <w:uiPriority w:val="99"/>
    <w:semiHidden/>
    <w:rsid w:val="002C47DE"/>
    <w:rPr>
      <w:rFonts w:ascii="Times New Roman" w:eastAsia="Times New Roman" w:hAnsi="Times New Roman" w:cs="Arial"/>
      <w:b/>
      <w:bCs/>
      <w:color w:val="000000"/>
      <w:sz w:val="20"/>
      <w:szCs w:val="20"/>
    </w:rPr>
  </w:style>
  <w:style w:type="paragraph" w:styleId="FootnoteText">
    <w:name w:val="footnote text"/>
    <w:basedOn w:val="Normal"/>
    <w:link w:val="FootnoteTextChar"/>
    <w:rsid w:val="003A5A62"/>
    <w:rPr>
      <w:sz w:val="20"/>
    </w:rPr>
  </w:style>
  <w:style w:type="character" w:customStyle="1" w:styleId="FootnoteTextChar">
    <w:name w:val="Footnote Text Char"/>
    <w:basedOn w:val="DefaultParagraphFont"/>
    <w:link w:val="FootnoteText"/>
    <w:rsid w:val="003A5A62"/>
    <w:rPr>
      <w:rFonts w:ascii="Times New Roman" w:eastAsia="Times New Roman" w:hAnsi="Times New Roman" w:cs="Arial"/>
      <w:color w:val="000000"/>
      <w:sz w:val="20"/>
      <w:szCs w:val="20"/>
    </w:rPr>
  </w:style>
  <w:style w:type="character" w:styleId="FootnoteReference">
    <w:name w:val="footnote reference"/>
    <w:basedOn w:val="DefaultParagraphFont"/>
    <w:rsid w:val="003A5A62"/>
    <w:rPr>
      <w:vertAlign w:val="superscript"/>
    </w:rPr>
  </w:style>
  <w:style w:type="character" w:styleId="Hyperlink">
    <w:name w:val="Hyperlink"/>
    <w:basedOn w:val="DefaultParagraphFont"/>
    <w:uiPriority w:val="99"/>
    <w:unhideWhenUsed/>
    <w:rsid w:val="00645EEC"/>
    <w:rPr>
      <w:color w:val="0000FF" w:themeColor="hyperlink"/>
      <w:u w:val="single"/>
    </w:rPr>
  </w:style>
  <w:style w:type="paragraph" w:styleId="ListParagraph">
    <w:name w:val="List Paragraph"/>
    <w:basedOn w:val="Normal"/>
    <w:uiPriority w:val="34"/>
    <w:qFormat/>
    <w:rsid w:val="007F3E5F"/>
    <w:pPr>
      <w:ind w:left="720"/>
      <w:contextualSpacing/>
    </w:pPr>
  </w:style>
  <w:style w:type="paragraph" w:styleId="Revision">
    <w:name w:val="Revision"/>
    <w:hidden/>
    <w:uiPriority w:val="99"/>
    <w:semiHidden/>
    <w:rsid w:val="006003E6"/>
    <w:pPr>
      <w:spacing w:after="0" w:line="240" w:lineRule="auto"/>
    </w:pPr>
    <w:rPr>
      <w:rFonts w:ascii="Times New Roman" w:eastAsia="Times New Roman" w:hAnsi="Times New Roman" w:cs="Arial"/>
      <w:color w:val="000000"/>
      <w:sz w:val="24"/>
      <w:szCs w:val="20"/>
    </w:rPr>
  </w:style>
  <w:style w:type="paragraph" w:styleId="BodyTextIndent2">
    <w:name w:val="Body Text Indent 2"/>
    <w:basedOn w:val="Normal"/>
    <w:link w:val="BodyTextIndent2Char"/>
    <w:rsid w:val="00AB6D6E"/>
    <w:pPr>
      <w:spacing w:after="120" w:line="480" w:lineRule="auto"/>
      <w:ind w:left="360"/>
    </w:pPr>
  </w:style>
  <w:style w:type="character" w:customStyle="1" w:styleId="BodyTextIndent2Char">
    <w:name w:val="Body Text Indent 2 Char"/>
    <w:basedOn w:val="DefaultParagraphFont"/>
    <w:link w:val="BodyTextIndent2"/>
    <w:rsid w:val="00AB6D6E"/>
    <w:rPr>
      <w:rFonts w:ascii="Times New Roman" w:eastAsia="Times New Roman" w:hAnsi="Times New Roman" w:cs="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8668">
      <w:bodyDiv w:val="1"/>
      <w:marLeft w:val="0"/>
      <w:marRight w:val="0"/>
      <w:marTop w:val="0"/>
      <w:marBottom w:val="0"/>
      <w:divBdr>
        <w:top w:val="none" w:sz="0" w:space="0" w:color="auto"/>
        <w:left w:val="none" w:sz="0" w:space="0" w:color="auto"/>
        <w:bottom w:val="none" w:sz="0" w:space="0" w:color="auto"/>
        <w:right w:val="none" w:sz="0" w:space="0" w:color="auto"/>
      </w:divBdr>
    </w:div>
    <w:div w:id="1243101985">
      <w:bodyDiv w:val="1"/>
      <w:marLeft w:val="0"/>
      <w:marRight w:val="0"/>
      <w:marTop w:val="0"/>
      <w:marBottom w:val="0"/>
      <w:divBdr>
        <w:top w:val="none" w:sz="0" w:space="0" w:color="auto"/>
        <w:left w:val="none" w:sz="0" w:space="0" w:color="auto"/>
        <w:bottom w:val="none" w:sz="0" w:space="0" w:color="auto"/>
        <w:right w:val="none" w:sz="0" w:space="0" w:color="auto"/>
      </w:divBdr>
    </w:div>
    <w:div w:id="1706366546">
      <w:bodyDiv w:val="1"/>
      <w:marLeft w:val="0"/>
      <w:marRight w:val="0"/>
      <w:marTop w:val="0"/>
      <w:marBottom w:val="0"/>
      <w:divBdr>
        <w:top w:val="none" w:sz="0" w:space="0" w:color="auto"/>
        <w:left w:val="none" w:sz="0" w:space="0" w:color="auto"/>
        <w:bottom w:val="none" w:sz="0" w:space="0" w:color="auto"/>
        <w:right w:val="none" w:sz="0" w:space="0" w:color="auto"/>
      </w:divBdr>
    </w:div>
    <w:div w:id="19022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9162021.htm" TargetMode="External"/><Relationship Id="rId1" Type="http://schemas.openxmlformats.org/officeDocument/2006/relationships/hyperlink" Target="https://www.bls.gov/oes/2020/may/oes3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TSADT-783092807-63202</_dlc_DocId>
    <_dlc_DocIdUrl xmlns="dfa24db8-b43c-4576-b9f3-d527095e9577">
      <Url>https://apps2013.ishare.tsa.dhs.gov/sites/gel/OIT/_layouts/15/DocIdRedir.aspx?ID=TSADT-783092807-63202</Url>
      <Description>TSADT-783092807-63202</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18EBE-F46F-4939-9F96-E0D6DC843B56}">
  <ds:schemaRefs>
    <ds:schemaRef ds:uri="http://schemas.microsoft.com/sharepoint/events"/>
  </ds:schemaRefs>
</ds:datastoreItem>
</file>

<file path=customXml/itemProps2.xml><?xml version="1.0" encoding="utf-8"?>
<ds:datastoreItem xmlns:ds="http://schemas.openxmlformats.org/officeDocument/2006/customXml" ds:itemID="{BC23483F-66CA-4F69-84EA-A95892C504DD}">
  <ds:schemaRefs>
    <ds:schemaRef ds:uri="http://schemas.microsoft.com/sharepoint/v3/contenttype/forms"/>
  </ds:schemaRefs>
</ds:datastoreItem>
</file>

<file path=customXml/itemProps3.xml><?xml version="1.0" encoding="utf-8"?>
<ds:datastoreItem xmlns:ds="http://schemas.openxmlformats.org/officeDocument/2006/customXml" ds:itemID="{C6836CBA-1D17-4241-8A51-7AE88FB663AA}">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C2767444-48D8-459D-8613-47CBF0DDB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A61C6E-C4A0-457E-9A55-146C5453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Walsh, Christina A.</dc:creator>
  <cp:keywords>5000.22</cp:keywords>
  <cp:lastModifiedBy>Walsh, Christina</cp:lastModifiedBy>
  <cp:revision>5</cp:revision>
  <dcterms:created xsi:type="dcterms:W3CDTF">2022-04-20T14:21:00Z</dcterms:created>
  <dcterms:modified xsi:type="dcterms:W3CDTF">2022-04-20T17:43:00Z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3df41014-93ec-4250-9c3f-691ff9fa8431</vt:lpwstr>
  </property>
  <property fmtid="{D5CDD505-2E9C-101B-9397-08002B2CF9AE}" pid="4" name="Office">
    <vt:lpwstr>OTD</vt:lpwstr>
  </property>
  <property fmtid="{D5CDD505-2E9C-101B-9397-08002B2CF9AE}" pid="5" name="DocumentType">
    <vt:lpwstr>Supporting Statement</vt:lpwstr>
  </property>
  <property fmtid="{D5CDD505-2E9C-101B-9397-08002B2CF9AE}" pid="6" name="RequestType">
    <vt:lpwstr>Revision</vt:lpwstr>
  </property>
  <property fmtid="{D5CDD505-2E9C-101B-9397-08002B2CF9AE}" pid="7" name="OtherAction">
    <vt:lpwstr>ROCIS</vt:lpwstr>
  </property>
  <property fmtid="{D5CDD505-2E9C-101B-9397-08002B2CF9AE}" pid="8" name="CollectionYear">
    <vt:lpwstr>FY18</vt:lpwstr>
  </property>
  <property fmtid="{D5CDD505-2E9C-101B-9397-08002B2CF9AE}" pid="9" name="DayNotice">
    <vt:lpwstr>N/A</vt:lpwstr>
  </property>
</Properties>
</file>