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45655AAB" w14:textId="371B676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743F91">
        <w:rPr>
          <w:rFonts w:ascii="Times New Roman" w:hAnsi="Times New Roman"/>
          <w:szCs w:val="24"/>
        </w:rPr>
        <w:t>1830-0579</w:t>
      </w:r>
    </w:p>
    <w:p w:rsidRPr="00AD381B" w:rsidR="00EA1767" w:rsidP="006B4172" w:rsidRDefault="00EA1767" w14:paraId="45655AAC" w14:textId="4DB347E0">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9A0DF0">
        <w:rPr>
          <w:rFonts w:ascii="Times New Roman" w:hAnsi="Times New Roman"/>
          <w:szCs w:val="24"/>
        </w:rPr>
        <w:t>6/28/2022</w:t>
      </w:r>
    </w:p>
    <w:p w:rsidRPr="00AD381B" w:rsidR="00043C32" w:rsidP="00AD381B" w:rsidRDefault="00043C32" w14:paraId="45655AAD" w14:textId="77777777">
      <w:pPr>
        <w:pStyle w:val="Heading1"/>
        <w:rPr>
          <w:sz w:val="24"/>
          <w:szCs w:val="24"/>
        </w:rPr>
      </w:pPr>
      <w:r w:rsidRPr="00AD381B">
        <w:rPr>
          <w:sz w:val="24"/>
          <w:szCs w:val="24"/>
        </w:rPr>
        <w:t>SUPPORTING STATEMENT</w:t>
      </w:r>
    </w:p>
    <w:p w:rsidRPr="00AD381B" w:rsidR="00043C32" w:rsidP="00AD381B" w:rsidRDefault="00043C32" w14:paraId="45655AAE" w14:textId="77777777">
      <w:pPr>
        <w:pStyle w:val="Heading1"/>
        <w:rPr>
          <w:sz w:val="24"/>
          <w:szCs w:val="24"/>
        </w:rPr>
      </w:pPr>
      <w:r w:rsidRPr="00AD381B">
        <w:rPr>
          <w:sz w:val="24"/>
          <w:szCs w:val="24"/>
        </w:rPr>
        <w:t>FOR PAPERWORK REDUCTION ACT SUBMISSION</w:t>
      </w:r>
    </w:p>
    <w:p w:rsidRPr="00AD381B" w:rsidR="00043C32" w:rsidP="00AD381B" w:rsidRDefault="00043C32" w14:paraId="45655AAF" w14:textId="77777777">
      <w:pPr>
        <w:tabs>
          <w:tab w:val="left" w:pos="0"/>
        </w:tabs>
        <w:suppressAutoHyphens/>
        <w:rPr>
          <w:rFonts w:ascii="Times New Roman" w:hAnsi="Times New Roman"/>
          <w:szCs w:val="24"/>
        </w:rPr>
      </w:pPr>
    </w:p>
    <w:p w:rsidRPr="00AD381B" w:rsidR="00EA1767" w:rsidP="00AD381B" w:rsidRDefault="00043C32" w14:paraId="45655AB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45655AB1" w14:textId="3B9E8088">
      <w:pPr>
        <w:pStyle w:val="ListParagraph"/>
        <w:suppressAutoHyphens/>
        <w:spacing w:line="240" w:lineRule="exact"/>
        <w:rPr>
          <w:rFonts w:ascii="Times New Roman" w:hAnsi="Times New Roman"/>
          <w:szCs w:val="24"/>
        </w:rPr>
      </w:pPr>
    </w:p>
    <w:p w:rsidRPr="00743F91" w:rsidR="00743F91" w:rsidP="00743F91" w:rsidRDefault="00743F91" w14:paraId="37285A0F" w14:textId="7C9A0E95">
      <w:pPr>
        <w:pStyle w:val="ListParagraph"/>
        <w:suppressAutoHyphens/>
        <w:spacing w:line="240" w:lineRule="exact"/>
        <w:rPr>
          <w:rFonts w:ascii="Times New Roman" w:hAnsi="Times New Roman"/>
          <w:szCs w:val="24"/>
        </w:rPr>
      </w:pPr>
      <w:r w:rsidRPr="00743F91">
        <w:rPr>
          <w:rFonts w:ascii="Times New Roman" w:hAnsi="Times New Roman"/>
          <w:szCs w:val="24"/>
        </w:rPr>
        <w:t xml:space="preserve">The purpose of this </w:t>
      </w:r>
      <w:r>
        <w:rPr>
          <w:rFonts w:ascii="Times New Roman" w:hAnsi="Times New Roman"/>
          <w:szCs w:val="24"/>
        </w:rPr>
        <w:t>extension request is to renew the</w:t>
      </w:r>
      <w:r w:rsidRPr="00743F91">
        <w:rPr>
          <w:rFonts w:ascii="Times New Roman" w:hAnsi="Times New Roman"/>
          <w:szCs w:val="24"/>
        </w:rPr>
        <w:t xml:space="preserve"> collection is to obtain information about innovative practices in adult education and literacy that are associated with positive outcomes for adult learners.  </w:t>
      </w:r>
    </w:p>
    <w:p w:rsidRPr="00743F91" w:rsidR="00743F91" w:rsidP="00743F91" w:rsidRDefault="00743F91" w14:paraId="2213C718" w14:textId="77777777">
      <w:pPr>
        <w:pStyle w:val="ListParagraph"/>
        <w:suppressAutoHyphens/>
        <w:spacing w:line="240" w:lineRule="exact"/>
        <w:rPr>
          <w:rFonts w:ascii="Times New Roman" w:hAnsi="Times New Roman"/>
          <w:szCs w:val="24"/>
        </w:rPr>
      </w:pPr>
    </w:p>
    <w:p w:rsidRPr="00743F91" w:rsidR="00743F91" w:rsidP="00743F91" w:rsidRDefault="00743F91" w14:paraId="6BC9AECB" w14:textId="77777777">
      <w:pPr>
        <w:pStyle w:val="ListParagraph"/>
        <w:suppressAutoHyphens/>
        <w:spacing w:line="240" w:lineRule="exact"/>
        <w:rPr>
          <w:rFonts w:ascii="Times New Roman" w:hAnsi="Times New Roman"/>
          <w:szCs w:val="24"/>
        </w:rPr>
      </w:pPr>
      <w:r w:rsidRPr="00743F91">
        <w:rPr>
          <w:rFonts w:ascii="Times New Roman" w:hAnsi="Times New Roman"/>
          <w:szCs w:val="24"/>
        </w:rPr>
        <w:t>The Adult Education and Family Literacy Act (AEFLA) program, authorized by Title II of the Workforce Innovation and Opportunity Act (WIOA; P. L. 113-128) awards formula grants to states to support educational programs and services for adults who lack a high school credential or proficiency in English. Section 242 of WIOA authorizes the U.S. Department of Education (ED) to carry out national leadership activities to enhance the quality and outcomes of adult education and literacy activities and programs nationwide, including by providing technical assistance to states and AEFLA subrecipients and by developing, improving, and identifying successful methods and techniques for addressing the education needs of adults.  While states are making great strides toward implementing their approved WIOA Title II plans, they continue to seek examples of practices for the delivery of services that will result in improved learning gains, postsecondary attainment, and employment outcomes for adult learners.</w:t>
      </w:r>
    </w:p>
    <w:p w:rsidRPr="00743F91" w:rsidR="00743F91" w:rsidP="00743F91" w:rsidRDefault="00743F91" w14:paraId="3343A219" w14:textId="77777777">
      <w:pPr>
        <w:pStyle w:val="ListParagraph"/>
        <w:suppressAutoHyphens/>
        <w:spacing w:line="240" w:lineRule="exact"/>
        <w:rPr>
          <w:rFonts w:ascii="Times New Roman" w:hAnsi="Times New Roman"/>
          <w:szCs w:val="24"/>
        </w:rPr>
      </w:pPr>
    </w:p>
    <w:p w:rsidR="00743F91" w:rsidP="00743F91" w:rsidRDefault="00743F91" w14:paraId="4AB5B39A" w14:textId="44AE78C4">
      <w:pPr>
        <w:pStyle w:val="ListParagraph"/>
        <w:suppressAutoHyphens/>
        <w:spacing w:line="240" w:lineRule="exact"/>
        <w:rPr>
          <w:rFonts w:ascii="Times New Roman" w:hAnsi="Times New Roman"/>
          <w:szCs w:val="24"/>
        </w:rPr>
      </w:pPr>
      <w:r w:rsidRPr="00743F91">
        <w:rPr>
          <w:rFonts w:ascii="Times New Roman" w:hAnsi="Times New Roman"/>
          <w:szCs w:val="24"/>
        </w:rPr>
        <w:t xml:space="preserve">Funded by appropriations for section 242 of WIOA, the Supporting Excellence in Adult Education project seeks </w:t>
      </w:r>
      <w:proofErr w:type="gramStart"/>
      <w:r w:rsidRPr="00743F91">
        <w:rPr>
          <w:rFonts w:ascii="Times New Roman" w:hAnsi="Times New Roman"/>
          <w:szCs w:val="24"/>
        </w:rPr>
        <w:t>to  identify</w:t>
      </w:r>
      <w:proofErr w:type="gramEnd"/>
      <w:r w:rsidRPr="00743F91">
        <w:rPr>
          <w:rFonts w:ascii="Times New Roman" w:hAnsi="Times New Roman"/>
          <w:szCs w:val="24"/>
        </w:rPr>
        <w:t xml:space="preserve">, document, and disseminate some of the innovative practices that local adult education programs are carrying out. The information from this project will greatly assist AEFLA providers in becoming more knowledgeable about innovations and in improving the quality of their services. The adult education field, including state adult education agencies and local AEFLA programs, will be encouraged to identify and, through a voluntary application process, share information </w:t>
      </w:r>
      <w:proofErr w:type="gramStart"/>
      <w:r w:rsidRPr="00743F91">
        <w:rPr>
          <w:rFonts w:ascii="Times New Roman" w:hAnsi="Times New Roman"/>
          <w:szCs w:val="24"/>
        </w:rPr>
        <w:t>about  innovative</w:t>
      </w:r>
      <w:proofErr w:type="gramEnd"/>
      <w:r w:rsidRPr="00743F91">
        <w:rPr>
          <w:rFonts w:ascii="Times New Roman" w:hAnsi="Times New Roman"/>
          <w:szCs w:val="24"/>
        </w:rPr>
        <w:t xml:space="preserve"> practices that result in meaningful outcomes for participants</w:t>
      </w:r>
    </w:p>
    <w:p w:rsidRPr="00AD381B" w:rsidR="00AD381B" w:rsidP="00AD381B" w:rsidRDefault="00AD381B" w14:paraId="45655AB2" w14:textId="77777777">
      <w:pPr>
        <w:pStyle w:val="ListParagraph"/>
        <w:suppressAutoHyphens/>
        <w:spacing w:line="240" w:lineRule="exact"/>
        <w:contextualSpacing w:val="0"/>
        <w:rPr>
          <w:rFonts w:ascii="Times New Roman" w:hAnsi="Times New Roman"/>
          <w:szCs w:val="24"/>
        </w:rPr>
      </w:pPr>
    </w:p>
    <w:p w:rsidR="00AD381B" w:rsidP="00AD381B" w:rsidRDefault="00043C32" w14:paraId="45655AB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45655AB4" w14:textId="58F35B36">
      <w:pPr>
        <w:suppressAutoHyphens/>
        <w:spacing w:line="240" w:lineRule="exact"/>
        <w:rPr>
          <w:rFonts w:ascii="Times New Roman" w:hAnsi="Times New Roman"/>
          <w:szCs w:val="24"/>
        </w:rPr>
      </w:pPr>
    </w:p>
    <w:p w:rsidR="00743F91" w:rsidP="00743F91" w:rsidRDefault="00743F91" w14:paraId="0AFF0B53" w14:textId="23EAD462">
      <w:pPr>
        <w:suppressAutoHyphens/>
        <w:spacing w:line="240" w:lineRule="exact"/>
        <w:ind w:left="720"/>
        <w:rPr>
          <w:rFonts w:ascii="Times New Roman" w:hAnsi="Times New Roman"/>
          <w:szCs w:val="24"/>
        </w:rPr>
      </w:pPr>
      <w:r>
        <w:rPr>
          <w:rFonts w:ascii="Times New Roman" w:hAnsi="Times New Roman"/>
          <w:szCs w:val="24"/>
        </w:rPr>
        <w:t xml:space="preserve">When OCTAE first requested approval for this collection, ED staff worked with a contractor and encouraged state and local programs to share </w:t>
      </w:r>
      <w:r w:rsidR="002D08FC">
        <w:rPr>
          <w:rFonts w:ascii="Times New Roman" w:hAnsi="Times New Roman"/>
          <w:szCs w:val="24"/>
        </w:rPr>
        <w:t xml:space="preserve">successful and innovative </w:t>
      </w:r>
      <w:proofErr w:type="spellStart"/>
      <w:r w:rsidR="002D08FC">
        <w:rPr>
          <w:rFonts w:ascii="Times New Roman" w:hAnsi="Times New Roman"/>
          <w:szCs w:val="24"/>
        </w:rPr>
        <w:t>strategites</w:t>
      </w:r>
      <w:proofErr w:type="spellEnd"/>
      <w:r w:rsidR="002D08FC">
        <w:rPr>
          <w:rFonts w:ascii="Times New Roman" w:hAnsi="Times New Roman"/>
          <w:szCs w:val="24"/>
        </w:rPr>
        <w:t xml:space="preserve"> in supporting their program participants. For a future collection</w:t>
      </w:r>
      <w:r>
        <w:rPr>
          <w:rFonts w:ascii="Times New Roman" w:hAnsi="Times New Roman"/>
          <w:szCs w:val="24"/>
        </w:rPr>
        <w:t>, OCTAE will use this</w:t>
      </w:r>
      <w:r w:rsidRPr="00743F91">
        <w:rPr>
          <w:rFonts w:ascii="Times New Roman" w:hAnsi="Times New Roman"/>
          <w:szCs w:val="24"/>
        </w:rPr>
        <w:t xml:space="preserve"> application </w:t>
      </w:r>
      <w:r>
        <w:rPr>
          <w:rFonts w:ascii="Times New Roman" w:hAnsi="Times New Roman"/>
          <w:szCs w:val="24"/>
        </w:rPr>
        <w:t xml:space="preserve">again to collect from </w:t>
      </w:r>
      <w:r w:rsidRPr="00743F91">
        <w:rPr>
          <w:rFonts w:ascii="Times New Roman" w:hAnsi="Times New Roman"/>
          <w:szCs w:val="24"/>
        </w:rPr>
        <w:t xml:space="preserve">state adult education agencies and adult education programs </w:t>
      </w:r>
      <w:r>
        <w:rPr>
          <w:rFonts w:ascii="Times New Roman" w:hAnsi="Times New Roman"/>
          <w:szCs w:val="24"/>
        </w:rPr>
        <w:t xml:space="preserve">any </w:t>
      </w:r>
      <w:r w:rsidRPr="00743F91">
        <w:rPr>
          <w:rFonts w:ascii="Times New Roman" w:hAnsi="Times New Roman"/>
          <w:szCs w:val="24"/>
        </w:rPr>
        <w:t>innovative approaches that have resulted in meaningful outcomes for their program participants. ED staff in the Office of Career and Technical Education (OCTAE) will review the information</w:t>
      </w:r>
      <w:r>
        <w:rPr>
          <w:rFonts w:ascii="Times New Roman" w:hAnsi="Times New Roman"/>
          <w:szCs w:val="24"/>
        </w:rPr>
        <w:t xml:space="preserve"> </w:t>
      </w:r>
      <w:r w:rsidRPr="00743F91">
        <w:rPr>
          <w:rFonts w:ascii="Times New Roman" w:hAnsi="Times New Roman"/>
          <w:szCs w:val="24"/>
        </w:rPr>
        <w:t>provided in each application and the associated learner outcome data to determine whether an innovation merits dissemination.</w:t>
      </w:r>
    </w:p>
    <w:p w:rsidRPr="00AD381B" w:rsidR="00043C32" w:rsidP="00AD381B" w:rsidRDefault="00043C32" w14:paraId="45655AB5" w14:textId="77777777">
      <w:pPr>
        <w:suppressAutoHyphens/>
        <w:spacing w:line="240" w:lineRule="exact"/>
        <w:rPr>
          <w:rFonts w:ascii="Times New Roman" w:hAnsi="Times New Roman"/>
          <w:szCs w:val="24"/>
        </w:rPr>
      </w:pPr>
    </w:p>
    <w:p w:rsidRPr="00AD381B" w:rsidR="00043C32" w:rsidP="00AD381B" w:rsidRDefault="00043C32" w14:paraId="45655AB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45655AB7" w14:textId="77777777">
      <w:pPr>
        <w:pStyle w:val="ListParagraph"/>
        <w:tabs>
          <w:tab w:val="left" w:pos="-720"/>
        </w:tabs>
        <w:suppressAutoHyphens/>
        <w:contextualSpacing w:val="0"/>
        <w:rPr>
          <w:rFonts w:ascii="Times New Roman" w:hAnsi="Times New Roman"/>
          <w:szCs w:val="24"/>
        </w:rPr>
      </w:pPr>
    </w:p>
    <w:p w:rsidR="00AD381B" w:rsidP="00AD381B" w:rsidRDefault="00743F91" w14:paraId="45655AB8" w14:textId="25A17C21">
      <w:pPr>
        <w:pStyle w:val="ListParagraph"/>
        <w:tabs>
          <w:tab w:val="left" w:pos="-720"/>
        </w:tabs>
        <w:suppressAutoHyphens/>
        <w:contextualSpacing w:val="0"/>
        <w:rPr>
          <w:rFonts w:ascii="Times New Roman" w:hAnsi="Times New Roman"/>
          <w:szCs w:val="24"/>
        </w:rPr>
      </w:pPr>
      <w:r w:rsidRPr="00743F91">
        <w:rPr>
          <w:rFonts w:ascii="Times New Roman" w:hAnsi="Times New Roman"/>
          <w:szCs w:val="24"/>
        </w:rPr>
        <w:t>The application form will be available online, and project staff will be available by telephone and email to assist prospective respondents in completing the application. The application is a downloadable Word document, which allows users to save their work and return to complete the application at a later time. Applicants will be asked to email the final document to the project’s email address.</w:t>
      </w:r>
    </w:p>
    <w:p w:rsidR="00743F91" w:rsidP="00AD381B" w:rsidRDefault="00743F91" w14:paraId="3F23C70B" w14:textId="77777777">
      <w:pPr>
        <w:pStyle w:val="ListParagraph"/>
        <w:tabs>
          <w:tab w:val="left" w:pos="-720"/>
        </w:tabs>
        <w:suppressAutoHyphens/>
        <w:contextualSpacing w:val="0"/>
        <w:rPr>
          <w:rFonts w:ascii="Times New Roman" w:hAnsi="Times New Roman"/>
          <w:szCs w:val="24"/>
        </w:rPr>
      </w:pPr>
    </w:p>
    <w:p w:rsidR="00AD381B" w:rsidP="00AD381B" w:rsidRDefault="00043C32" w14:paraId="45655AB9"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2D08FC" w:rsidR="00246FE9" w:rsidP="00246FE9" w:rsidRDefault="00246FE9" w14:paraId="45655ABA" w14:textId="5C0F75F0">
      <w:pPr>
        <w:pStyle w:val="ListParagraph"/>
        <w:tabs>
          <w:tab w:val="left" w:pos="-720"/>
        </w:tabs>
        <w:suppressAutoHyphens/>
        <w:contextualSpacing w:val="0"/>
        <w:rPr>
          <w:rFonts w:ascii="Times New Roman" w:hAnsi="Times New Roman"/>
          <w:bCs/>
          <w:szCs w:val="24"/>
        </w:rPr>
      </w:pPr>
    </w:p>
    <w:p w:rsidRPr="002D08FC" w:rsidR="002D08FC" w:rsidP="00246FE9" w:rsidRDefault="002D08FC" w14:paraId="582C5B77" w14:textId="731968F3">
      <w:pPr>
        <w:pStyle w:val="ListParagraph"/>
        <w:tabs>
          <w:tab w:val="left" w:pos="-720"/>
        </w:tabs>
        <w:suppressAutoHyphens/>
        <w:contextualSpacing w:val="0"/>
        <w:rPr>
          <w:rFonts w:ascii="Times New Roman" w:hAnsi="Times New Roman"/>
          <w:bCs/>
          <w:szCs w:val="24"/>
        </w:rPr>
      </w:pPr>
      <w:r w:rsidRPr="002D08FC">
        <w:rPr>
          <w:rFonts w:ascii="Times New Roman" w:hAnsi="Times New Roman"/>
          <w:bCs/>
          <w:szCs w:val="24"/>
        </w:rPr>
        <w:t xml:space="preserve">The information to be collected focuses on the innovative practices and outcomes from these practices that are used in local adult education programs.  The descriptive information about individual innovative practices that is requested in the application is not collected by any other ED or OCTAE initiatives.  The adult learner outcome data requested by </w:t>
      </w:r>
      <w:proofErr w:type="gramStart"/>
      <w:r w:rsidRPr="002D08FC">
        <w:rPr>
          <w:rFonts w:ascii="Times New Roman" w:hAnsi="Times New Roman"/>
          <w:bCs/>
          <w:szCs w:val="24"/>
        </w:rPr>
        <w:t>the  application</w:t>
      </w:r>
      <w:proofErr w:type="gramEnd"/>
      <w:r w:rsidRPr="002D08FC">
        <w:rPr>
          <w:rFonts w:ascii="Times New Roman" w:hAnsi="Times New Roman"/>
          <w:bCs/>
          <w:szCs w:val="24"/>
        </w:rPr>
        <w:t xml:space="preserve">  is  collected under OMB Control Number 1830-0027 (Measures and Methods for the National Reporting System for Adult Education) and reported to State agencies that administer AEFLA</w:t>
      </w:r>
      <w:r>
        <w:rPr>
          <w:rStyle w:val="FootnoteReference"/>
          <w:bCs/>
          <w:szCs w:val="24"/>
        </w:rPr>
        <w:footnoteReference w:id="1"/>
      </w:r>
      <w:r w:rsidRPr="002D08FC">
        <w:rPr>
          <w:rFonts w:ascii="Times New Roman" w:hAnsi="Times New Roman"/>
          <w:bCs/>
          <w:szCs w:val="24"/>
        </w:rPr>
        <w:t>,  enabling respondents to provide the data from readily available records.</w:t>
      </w:r>
    </w:p>
    <w:p w:rsidR="00043C32" w:rsidP="00AD381B" w:rsidRDefault="00043C32" w14:paraId="45655ABB"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45655ABC" w14:textId="43D8CCE9">
      <w:pPr>
        <w:pStyle w:val="ListParagraph"/>
        <w:contextualSpacing w:val="0"/>
        <w:rPr>
          <w:rFonts w:ascii="Times New Roman" w:hAnsi="Times New Roman"/>
          <w:szCs w:val="24"/>
        </w:rPr>
      </w:pPr>
    </w:p>
    <w:p w:rsidR="002D08FC" w:rsidP="00AD381B" w:rsidRDefault="002D08FC" w14:paraId="6F39EC8B" w14:textId="427C96BA">
      <w:pPr>
        <w:pStyle w:val="ListParagraph"/>
        <w:contextualSpacing w:val="0"/>
        <w:rPr>
          <w:rFonts w:ascii="Times New Roman" w:hAnsi="Times New Roman"/>
          <w:szCs w:val="24"/>
        </w:rPr>
      </w:pPr>
      <w:r w:rsidRPr="002D08FC">
        <w:rPr>
          <w:rFonts w:ascii="Times New Roman" w:hAnsi="Times New Roman"/>
          <w:szCs w:val="24"/>
        </w:rPr>
        <w:t xml:space="preserve">The respondents are administrators of adult education programs funded by AEFLA.  Adult education programs are diverse and may include organizations such as local educational agencies, community- and faith-based organizations, volunteer literacy organizations, institutions of higher education, public or private non-profit agencies, libraries, and public housing authorities. Some of these entities may be small </w:t>
      </w:r>
      <w:r w:rsidRPr="002D08FC">
        <w:rPr>
          <w:rFonts w:ascii="Times New Roman" w:hAnsi="Times New Roman"/>
          <w:szCs w:val="24"/>
        </w:rPr>
        <w:lastRenderedPageBreak/>
        <w:t>organizations. The collection minimizes burden on small entities by soliciting the</w:t>
      </w:r>
      <w:r>
        <w:rPr>
          <w:rFonts w:ascii="Times New Roman" w:hAnsi="Times New Roman"/>
          <w:szCs w:val="24"/>
        </w:rPr>
        <w:t xml:space="preserve"> </w:t>
      </w:r>
      <w:r w:rsidRPr="002D08FC">
        <w:rPr>
          <w:rFonts w:ascii="Times New Roman" w:hAnsi="Times New Roman"/>
          <w:szCs w:val="24"/>
        </w:rPr>
        <w:t>information through electronic means and by providing technical assistance by telephone or email to prospective respondents.  Additionally, the application process is voluntary for all entities</w:t>
      </w:r>
      <w:r>
        <w:rPr>
          <w:rFonts w:ascii="Times New Roman" w:hAnsi="Times New Roman"/>
          <w:szCs w:val="24"/>
        </w:rPr>
        <w:t>.</w:t>
      </w:r>
    </w:p>
    <w:p w:rsidR="00AD381B" w:rsidP="00AD381B" w:rsidRDefault="00AD381B" w14:paraId="45655ABD" w14:textId="77777777">
      <w:pPr>
        <w:pStyle w:val="ListParagraph"/>
        <w:contextualSpacing w:val="0"/>
        <w:rPr>
          <w:rFonts w:ascii="Times New Roman" w:hAnsi="Times New Roman"/>
          <w:szCs w:val="24"/>
        </w:rPr>
      </w:pPr>
    </w:p>
    <w:p w:rsidR="00043C32" w:rsidP="00AD381B" w:rsidRDefault="00043C32" w14:paraId="45655ABE" w14:textId="7DA12B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D08FC" w:rsidP="002D08FC" w:rsidRDefault="002D08FC" w14:paraId="2B10FFBE" w14:textId="462FD9FD">
      <w:pPr>
        <w:pStyle w:val="ListParagraph"/>
        <w:tabs>
          <w:tab w:val="left" w:pos="-720"/>
        </w:tabs>
        <w:suppressAutoHyphens/>
        <w:contextualSpacing w:val="0"/>
        <w:rPr>
          <w:rFonts w:ascii="Times New Roman" w:hAnsi="Times New Roman"/>
          <w:b/>
          <w:szCs w:val="24"/>
        </w:rPr>
      </w:pPr>
    </w:p>
    <w:p w:rsidR="002D08FC" w:rsidP="002D08FC" w:rsidRDefault="002D08FC" w14:paraId="6876B07E" w14:textId="027C6CCC">
      <w:pPr>
        <w:tabs>
          <w:tab w:val="left" w:pos="-720"/>
        </w:tabs>
        <w:suppressAutoHyphens/>
        <w:ind w:left="720"/>
        <w:rPr>
          <w:rFonts w:ascii="Times New Roman" w:hAnsi="Times New Roman"/>
          <w:szCs w:val="24"/>
        </w:rPr>
      </w:pPr>
      <w:r w:rsidRPr="00AD381B">
        <w:rPr>
          <w:rFonts w:ascii="Times New Roman" w:hAnsi="Times New Roman"/>
          <w:szCs w:val="24"/>
        </w:rPr>
        <w:t xml:space="preserve">The call for applications will be administered once </w:t>
      </w:r>
      <w:r>
        <w:rPr>
          <w:rFonts w:ascii="Times New Roman" w:hAnsi="Times New Roman"/>
          <w:szCs w:val="24"/>
        </w:rPr>
        <w:t>annually</w:t>
      </w:r>
      <w:r w:rsidRPr="00AD381B">
        <w:rPr>
          <w:rFonts w:ascii="Times New Roman" w:hAnsi="Times New Roman"/>
          <w:szCs w:val="24"/>
        </w:rPr>
        <w:t xml:space="preserve">, giving AEFLA programs multiple opportunities to submit their innovative practices for review. </w:t>
      </w:r>
      <w:r>
        <w:rPr>
          <w:rFonts w:ascii="Times New Roman" w:hAnsi="Times New Roman"/>
          <w:szCs w:val="24"/>
        </w:rPr>
        <w:t xml:space="preserve"> </w:t>
      </w:r>
      <w:r w:rsidRPr="00AD381B">
        <w:rPr>
          <w:rFonts w:ascii="Times New Roman" w:hAnsi="Times New Roman"/>
          <w:szCs w:val="24"/>
        </w:rPr>
        <w:t xml:space="preserve">Section 242 </w:t>
      </w:r>
      <w:proofErr w:type="gramStart"/>
      <w:r w:rsidRPr="00AD381B">
        <w:rPr>
          <w:rFonts w:ascii="Times New Roman" w:hAnsi="Times New Roman"/>
          <w:szCs w:val="24"/>
        </w:rPr>
        <w:t>of  WIOA</w:t>
      </w:r>
      <w:proofErr w:type="gramEnd"/>
      <w:r w:rsidRPr="00AD381B">
        <w:rPr>
          <w:rFonts w:ascii="Times New Roman" w:hAnsi="Times New Roman"/>
          <w:szCs w:val="24"/>
        </w:rPr>
        <w:t xml:space="preserve"> authorizes the ED to establish and carry out a program of national leadership activities to enhance the quality and outcomes of adult education and literacy programs nationwide. If this project is not implemented, the </w:t>
      </w:r>
      <w:proofErr w:type="gramStart"/>
      <w:r w:rsidRPr="00AD381B">
        <w:rPr>
          <w:rFonts w:ascii="Times New Roman" w:hAnsi="Times New Roman"/>
          <w:szCs w:val="24"/>
        </w:rPr>
        <w:t>Department’s  ability</w:t>
      </w:r>
      <w:proofErr w:type="gramEnd"/>
      <w:r w:rsidRPr="00AD381B">
        <w:rPr>
          <w:rFonts w:ascii="Times New Roman" w:hAnsi="Times New Roman"/>
          <w:szCs w:val="24"/>
        </w:rPr>
        <w:t xml:space="preserve"> to fulfill the mandates of section 242 will be diminished.</w:t>
      </w:r>
    </w:p>
    <w:p w:rsidRPr="002D08FC" w:rsidR="002D08FC" w:rsidP="002D08FC" w:rsidRDefault="002D08FC" w14:paraId="13A009B5" w14:textId="77777777">
      <w:pPr>
        <w:tabs>
          <w:tab w:val="left" w:pos="-720"/>
        </w:tabs>
        <w:suppressAutoHyphens/>
        <w:rPr>
          <w:rFonts w:ascii="Times New Roman" w:hAnsi="Times New Roman"/>
          <w:b/>
          <w:szCs w:val="24"/>
        </w:rPr>
      </w:pPr>
    </w:p>
    <w:p w:rsidRPr="002D08FC" w:rsidR="00043C32" w:rsidP="00AD381B" w:rsidRDefault="00043C32" w14:paraId="45655AC0" w14:textId="677033D2">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2D08FC" w:rsidR="00043C32" w:rsidP="002D08FC" w:rsidRDefault="00043C32" w14:paraId="45655AC2" w14:textId="78233D1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2D08FC" w:rsidR="00043C32" w:rsidP="002D08FC" w:rsidRDefault="00043C32" w14:paraId="45655AC4" w14:textId="6081418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2D08FC" w:rsidR="00043C32" w:rsidP="002D08FC" w:rsidRDefault="00043C32" w14:paraId="45655AC6" w14:textId="6C5363E6">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2D08FC" w:rsidR="00043C32" w:rsidP="002D08FC" w:rsidRDefault="00043C32" w14:paraId="45655AC8" w14:textId="2E0F7A5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2D08FC" w:rsidR="00043C32" w:rsidP="002D08FC" w:rsidRDefault="00043C32" w14:paraId="45655ACA" w14:textId="5DA5AFC0">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2D08FC" w:rsidR="00043C32" w:rsidP="002D08FC" w:rsidRDefault="00043C32" w14:paraId="45655ACC" w14:textId="6693F28F">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2D08FC" w:rsidR="00043C32" w:rsidP="002D08FC" w:rsidRDefault="00043C32" w14:paraId="45655ACE" w14:textId="00BA486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D08FC" w:rsidRDefault="00043C32" w14:paraId="45655AC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5655AD0" w14:textId="099AE10C">
      <w:pPr>
        <w:pStyle w:val="ListParagraph"/>
        <w:rPr>
          <w:rFonts w:ascii="Times New Roman" w:hAnsi="Times New Roman"/>
          <w:b/>
          <w:szCs w:val="24"/>
        </w:rPr>
      </w:pPr>
    </w:p>
    <w:p w:rsidR="002D08FC" w:rsidP="002D08FC" w:rsidRDefault="002D08FC" w14:paraId="371F82E0" w14:textId="77777777">
      <w:pPr>
        <w:pStyle w:val="ListParagraph"/>
        <w:rPr>
          <w:rFonts w:ascii="Times New Roman" w:hAnsi="Times New Roman"/>
          <w:b/>
          <w:szCs w:val="24"/>
        </w:rPr>
      </w:pPr>
    </w:p>
    <w:p w:rsidRPr="00AD381B" w:rsidR="002D08FC" w:rsidP="002D08FC" w:rsidRDefault="002D08FC" w14:paraId="4EECA969" w14:textId="5ED2221C">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Pr="00AD381B">
        <w:rPr>
          <w:rFonts w:ascii="Times New Roman" w:hAnsi="Times New Roman"/>
          <w:szCs w:val="24"/>
        </w:rPr>
        <w:t>There are no special circumstances.</w:t>
      </w:r>
    </w:p>
    <w:p w:rsidR="002D08FC" w:rsidP="00AD381B" w:rsidRDefault="002D08FC" w14:paraId="15B84023" w14:textId="77777777">
      <w:pPr>
        <w:pStyle w:val="ListParagraph"/>
        <w:rPr>
          <w:rFonts w:ascii="Times New Roman" w:hAnsi="Times New Roman"/>
          <w:b/>
          <w:szCs w:val="24"/>
        </w:rPr>
      </w:pPr>
    </w:p>
    <w:p w:rsidRPr="00AD381B" w:rsidR="00AD381B" w:rsidP="00AD381B" w:rsidRDefault="00AD381B" w14:paraId="45655AD1" w14:textId="77777777">
      <w:pPr>
        <w:tabs>
          <w:tab w:val="left" w:pos="-720"/>
        </w:tabs>
        <w:suppressAutoHyphens/>
        <w:rPr>
          <w:rFonts w:ascii="Times New Roman" w:hAnsi="Times New Roman"/>
          <w:szCs w:val="24"/>
        </w:rPr>
      </w:pPr>
    </w:p>
    <w:p w:rsidR="00D75313" w:rsidP="00AD381B" w:rsidRDefault="00043C32" w14:paraId="45655AD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00D75313" w:rsidP="00D75313" w:rsidRDefault="00D75313" w14:paraId="45655AD3"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5655AD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5655AD5"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5655AD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5655AD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5655AD8" w14:textId="77777777">
      <w:pPr>
        <w:tabs>
          <w:tab w:val="left" w:pos="-720"/>
        </w:tabs>
        <w:suppressAutoHyphens/>
        <w:rPr>
          <w:rStyle w:val="a"/>
          <w:rFonts w:ascii="Times New Roman" w:hAnsi="Times New Roman"/>
          <w:b/>
          <w:szCs w:val="24"/>
        </w:rPr>
      </w:pPr>
    </w:p>
    <w:p w:rsidR="00043C32" w:rsidP="00AD381B" w:rsidRDefault="00043C32" w14:paraId="45655AD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45655ADA" w14:textId="6B118758">
      <w:pPr>
        <w:tabs>
          <w:tab w:val="left" w:pos="-720"/>
        </w:tabs>
        <w:suppressAutoHyphens/>
        <w:ind w:left="720"/>
        <w:rPr>
          <w:rFonts w:ascii="Times New Roman" w:hAnsi="Times New Roman"/>
          <w:b/>
          <w:szCs w:val="24"/>
        </w:rPr>
      </w:pPr>
    </w:p>
    <w:p w:rsidRPr="007744FB" w:rsidR="007744FB" w:rsidP="007744FB" w:rsidRDefault="007744FB" w14:paraId="5A380CF4" w14:textId="1F437977">
      <w:pPr>
        <w:tabs>
          <w:tab w:val="left" w:pos="-720"/>
          <w:tab w:val="left" w:pos="180"/>
        </w:tabs>
        <w:suppressAutoHyphens/>
        <w:ind w:left="720"/>
        <w:rPr>
          <w:rFonts w:ascii="Times New Roman" w:hAnsi="Times New Roman"/>
          <w:szCs w:val="24"/>
        </w:rPr>
      </w:pPr>
      <w:r>
        <w:rPr>
          <w:rFonts w:ascii="Times New Roman" w:hAnsi="Times New Roman"/>
          <w:szCs w:val="24"/>
        </w:rPr>
        <w:t xml:space="preserve">On April 15, 2022, </w:t>
      </w:r>
      <w:r w:rsidRPr="007744FB">
        <w:rPr>
          <w:rFonts w:ascii="Times New Roman" w:hAnsi="Times New Roman"/>
          <w:szCs w:val="24"/>
        </w:rPr>
        <w:t>ED published a 60-day notice to solicit public comments in the Federal Register</w:t>
      </w:r>
      <w:r>
        <w:rPr>
          <w:rFonts w:ascii="Times New Roman" w:hAnsi="Times New Roman"/>
          <w:szCs w:val="24"/>
        </w:rPr>
        <w:t xml:space="preserve"> (</w:t>
      </w:r>
      <w:r w:rsidRPr="007744FB">
        <w:rPr>
          <w:rFonts w:ascii="Times New Roman" w:hAnsi="Times New Roman"/>
          <w:szCs w:val="24"/>
        </w:rPr>
        <w:t>87 FR 22523</w:t>
      </w:r>
      <w:r>
        <w:rPr>
          <w:rFonts w:ascii="Times New Roman" w:hAnsi="Times New Roman"/>
          <w:szCs w:val="24"/>
        </w:rPr>
        <w:t xml:space="preserve">). </w:t>
      </w:r>
      <w:r w:rsidRPr="007744FB">
        <w:rPr>
          <w:rFonts w:ascii="Times New Roman" w:hAnsi="Times New Roman"/>
          <w:szCs w:val="24"/>
        </w:rPr>
        <w:t xml:space="preserve">Three parties submitted comments and the responses to these comments are addressed in a separate document. No changes have been made to this information collection request. </w:t>
      </w:r>
    </w:p>
    <w:p w:rsidRPr="007744FB" w:rsidR="007744FB" w:rsidP="007744FB" w:rsidRDefault="007744FB" w14:paraId="3355DCF6" w14:textId="77777777">
      <w:pPr>
        <w:tabs>
          <w:tab w:val="left" w:pos="-720"/>
          <w:tab w:val="left" w:pos="180"/>
        </w:tabs>
        <w:suppressAutoHyphens/>
        <w:ind w:left="720"/>
        <w:rPr>
          <w:rFonts w:ascii="Times New Roman" w:hAnsi="Times New Roman"/>
          <w:szCs w:val="24"/>
        </w:rPr>
      </w:pPr>
    </w:p>
    <w:p w:rsidR="00CC0001" w:rsidP="007744FB" w:rsidRDefault="007744FB" w14:paraId="76563786" w14:textId="7A97839F">
      <w:pPr>
        <w:tabs>
          <w:tab w:val="left" w:pos="-720"/>
          <w:tab w:val="left" w:pos="180"/>
        </w:tabs>
        <w:suppressAutoHyphens/>
        <w:ind w:left="720"/>
        <w:rPr>
          <w:rFonts w:ascii="Times New Roman" w:hAnsi="Times New Roman"/>
          <w:szCs w:val="24"/>
        </w:rPr>
      </w:pPr>
      <w:r w:rsidRPr="007744FB">
        <w:rPr>
          <w:rFonts w:ascii="Times New Roman" w:hAnsi="Times New Roman"/>
          <w:szCs w:val="24"/>
        </w:rPr>
        <w:t xml:space="preserve">We are submitting the collection request to the Federal Register for a 30-day public comment period.  </w:t>
      </w:r>
    </w:p>
    <w:p w:rsidR="007744FB" w:rsidP="007744FB" w:rsidRDefault="007744FB" w14:paraId="21A17036" w14:textId="77777777">
      <w:pPr>
        <w:tabs>
          <w:tab w:val="left" w:pos="-720"/>
          <w:tab w:val="left" w:pos="180"/>
        </w:tabs>
        <w:suppressAutoHyphens/>
        <w:ind w:left="720"/>
        <w:rPr>
          <w:rFonts w:ascii="Times New Roman" w:hAnsi="Times New Roman"/>
          <w:szCs w:val="24"/>
        </w:rPr>
      </w:pPr>
    </w:p>
    <w:p w:rsidR="00043C32" w:rsidP="00AD381B" w:rsidRDefault="00043C32" w14:paraId="45655AD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45655ADD" w14:textId="77777777">
      <w:pPr>
        <w:pStyle w:val="ListParagraph"/>
        <w:tabs>
          <w:tab w:val="left" w:pos="-720"/>
        </w:tabs>
        <w:suppressAutoHyphens/>
        <w:contextualSpacing w:val="0"/>
        <w:rPr>
          <w:rFonts w:ascii="Times New Roman" w:hAnsi="Times New Roman"/>
          <w:b/>
          <w:szCs w:val="24"/>
        </w:rPr>
      </w:pPr>
    </w:p>
    <w:p w:rsidRPr="00920F63" w:rsidR="000922C6" w:rsidP="000922C6" w:rsidRDefault="000922C6" w14:paraId="1F36A9AC" w14:textId="77777777">
      <w:pPr>
        <w:pStyle w:val="ListParagraph"/>
        <w:tabs>
          <w:tab w:val="left" w:pos="-720"/>
        </w:tabs>
        <w:suppressAutoHyphens/>
        <w:contextualSpacing w:val="0"/>
        <w:rPr>
          <w:rFonts w:ascii="Times New Roman" w:hAnsi="Times New Roman"/>
          <w:szCs w:val="24"/>
        </w:rPr>
      </w:pPr>
      <w:proofErr w:type="gramStart"/>
      <w:r w:rsidRPr="00920F63">
        <w:rPr>
          <w:rFonts w:ascii="Times New Roman" w:hAnsi="Times New Roman"/>
          <w:szCs w:val="24"/>
        </w:rPr>
        <w:t>Respondents  will</w:t>
      </w:r>
      <w:proofErr w:type="gramEnd"/>
      <w:r w:rsidRPr="00920F63">
        <w:rPr>
          <w:rFonts w:ascii="Times New Roman" w:hAnsi="Times New Roman"/>
          <w:szCs w:val="24"/>
        </w:rPr>
        <w:t xml:space="preserve"> not receive any payments, awards or gifts.</w:t>
      </w:r>
    </w:p>
    <w:p w:rsidRPr="000922C6" w:rsidR="000922C6" w:rsidP="000922C6" w:rsidRDefault="000922C6" w14:paraId="0DFAAC9C" w14:textId="77777777">
      <w:pPr>
        <w:tabs>
          <w:tab w:val="left" w:pos="-720"/>
        </w:tabs>
        <w:suppressAutoHyphens/>
        <w:rPr>
          <w:rFonts w:ascii="Times New Roman" w:hAnsi="Times New Roman"/>
          <w:b/>
          <w:szCs w:val="24"/>
        </w:rPr>
      </w:pPr>
    </w:p>
    <w:p w:rsidRPr="00D75313" w:rsidR="00043C32" w:rsidP="00AD381B" w:rsidRDefault="00043C32" w14:paraId="45655AD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45655AE0" w14:textId="64BC9AC9">
      <w:pPr>
        <w:tabs>
          <w:tab w:val="left" w:pos="-720"/>
        </w:tabs>
        <w:suppressAutoHyphens/>
        <w:rPr>
          <w:rFonts w:ascii="Times New Roman" w:hAnsi="Times New Roman"/>
          <w:b/>
          <w:szCs w:val="24"/>
        </w:rPr>
      </w:pPr>
    </w:p>
    <w:p w:rsidRPr="000922C6" w:rsidR="000922C6" w:rsidP="000922C6" w:rsidRDefault="000922C6" w14:paraId="328B011D" w14:textId="1C1ECB65">
      <w:pPr>
        <w:tabs>
          <w:tab w:val="left" w:pos="-720"/>
        </w:tabs>
        <w:suppressAutoHyphens/>
        <w:ind w:left="720"/>
        <w:rPr>
          <w:rFonts w:ascii="Times New Roman" w:hAnsi="Times New Roman"/>
          <w:szCs w:val="24"/>
        </w:rPr>
      </w:pPr>
      <w:r w:rsidRPr="00920F63">
        <w:rPr>
          <w:rFonts w:ascii="Times New Roman" w:hAnsi="Times New Roman"/>
          <w:szCs w:val="24"/>
        </w:rPr>
        <w:t>The collection does not solicit personally identifiable information; only aggregate program-level learner outcome data are requested.</w:t>
      </w:r>
    </w:p>
    <w:p w:rsidRPr="00920F63" w:rsidR="00920F63" w:rsidP="00E25EBC" w:rsidRDefault="00920F63" w14:paraId="45655AE1" w14:textId="77777777">
      <w:pPr>
        <w:tabs>
          <w:tab w:val="left" w:pos="-720"/>
        </w:tabs>
        <w:suppressAutoHyphens/>
        <w:rPr>
          <w:rFonts w:ascii="Times New Roman" w:hAnsi="Times New Roman"/>
          <w:szCs w:val="24"/>
        </w:rPr>
      </w:pPr>
    </w:p>
    <w:p w:rsidRPr="000922C6" w:rsidR="000922C6" w:rsidP="000922C6" w:rsidRDefault="00043C32" w14:paraId="2142017F" w14:textId="3F31112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0922C6" w:rsidRDefault="00920F63" w14:paraId="45655AE3" w14:textId="522921FE">
      <w:pPr>
        <w:tabs>
          <w:tab w:val="left" w:pos="-720"/>
        </w:tabs>
        <w:suppressAutoHyphens/>
        <w:ind w:left="720"/>
        <w:rPr>
          <w:rFonts w:ascii="Times New Roman" w:hAnsi="Times New Roman"/>
          <w:b/>
          <w:szCs w:val="24"/>
        </w:rPr>
      </w:pPr>
    </w:p>
    <w:p w:rsidRPr="00E24F28" w:rsidR="000922C6" w:rsidP="00E24F28" w:rsidRDefault="000922C6" w14:paraId="0F09E47E" w14:textId="67D551C5">
      <w:pPr>
        <w:ind w:left="810"/>
        <w:rPr>
          <w:rFonts w:ascii="Times New Roman" w:hAnsi="Times New Roman"/>
          <w:bCs/>
          <w:szCs w:val="24"/>
        </w:rPr>
      </w:pPr>
      <w:r w:rsidRPr="000922C6">
        <w:rPr>
          <w:rFonts w:ascii="Times New Roman" w:hAnsi="Times New Roman"/>
          <w:bCs/>
          <w:szCs w:val="24"/>
        </w:rPr>
        <w:t>There are no questions of a sensitive nature.</w:t>
      </w:r>
    </w:p>
    <w:p w:rsidRPr="00920F63" w:rsidR="00920F63" w:rsidP="000922C6" w:rsidRDefault="00920F63" w14:paraId="45655AE4" w14:textId="77777777">
      <w:pPr>
        <w:tabs>
          <w:tab w:val="left" w:pos="-720"/>
        </w:tabs>
        <w:suppressAutoHyphens/>
        <w:rPr>
          <w:rFonts w:ascii="Times New Roman" w:hAnsi="Times New Roman"/>
          <w:szCs w:val="24"/>
        </w:rPr>
      </w:pPr>
    </w:p>
    <w:p w:rsidRPr="00920F63" w:rsidR="00043C32" w:rsidP="00AD381B" w:rsidRDefault="00043C32" w14:paraId="45655AE5"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5655AE6" w14:textId="77777777">
      <w:pPr>
        <w:tabs>
          <w:tab w:val="left" w:pos="-720"/>
        </w:tabs>
        <w:suppressAutoHyphens/>
        <w:rPr>
          <w:rStyle w:val="a"/>
          <w:rFonts w:ascii="Times New Roman" w:hAnsi="Times New Roman"/>
          <w:b/>
          <w:szCs w:val="24"/>
        </w:rPr>
      </w:pPr>
    </w:p>
    <w:p w:rsidR="00C224FD" w:rsidP="00C224FD" w:rsidRDefault="00C224FD" w14:paraId="45655AE7"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5655AE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5655AE9"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5655AE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5655AE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5655AEC"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45655AE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45655AEE" w14:textId="120BF7AD">
      <w:pPr>
        <w:pStyle w:val="ListParagraph"/>
        <w:tabs>
          <w:tab w:val="left" w:pos="-720"/>
        </w:tabs>
        <w:suppressAutoHyphens/>
        <w:rPr>
          <w:rStyle w:val="a"/>
          <w:rFonts w:ascii="Times New Roman" w:hAnsi="Times New Roman"/>
          <w:szCs w:val="24"/>
        </w:rPr>
      </w:pPr>
    </w:p>
    <w:p w:rsidRPr="000922C6" w:rsidR="000922C6" w:rsidP="000922C6" w:rsidRDefault="00E24F28" w14:paraId="540547A2" w14:textId="3BE98AB5">
      <w:pPr>
        <w:pStyle w:val="ListParagraph"/>
        <w:rPr>
          <w:rFonts w:ascii="Times New Roman" w:hAnsi="Times New Roman"/>
          <w:szCs w:val="24"/>
        </w:rPr>
      </w:pPr>
      <w:r>
        <w:rPr>
          <w:rFonts w:ascii="Times New Roman" w:hAnsi="Times New Roman"/>
          <w:szCs w:val="24"/>
        </w:rPr>
        <w:t xml:space="preserve">We expect approximately </w:t>
      </w:r>
      <w:r w:rsidRPr="000922C6" w:rsidR="000922C6">
        <w:rPr>
          <w:rFonts w:ascii="Times New Roman" w:hAnsi="Times New Roman"/>
          <w:szCs w:val="24"/>
        </w:rPr>
        <w:t xml:space="preserve">20 applications each year, or a total of </w:t>
      </w:r>
      <w:r>
        <w:rPr>
          <w:rFonts w:ascii="Times New Roman" w:hAnsi="Times New Roman"/>
          <w:szCs w:val="24"/>
        </w:rPr>
        <w:t>60</w:t>
      </w:r>
      <w:r w:rsidRPr="000922C6" w:rsidR="000922C6">
        <w:rPr>
          <w:rFonts w:ascii="Times New Roman" w:hAnsi="Times New Roman"/>
          <w:szCs w:val="24"/>
        </w:rPr>
        <w:t xml:space="preserve"> applications from local AEFLA providers over the next three years.  </w:t>
      </w:r>
    </w:p>
    <w:p w:rsidRPr="000922C6" w:rsidR="000922C6" w:rsidP="000922C6" w:rsidRDefault="000922C6" w14:paraId="6999EF96" w14:textId="77777777">
      <w:pPr>
        <w:pStyle w:val="ListParagraph"/>
        <w:rPr>
          <w:rFonts w:ascii="Times New Roman" w:hAnsi="Times New Roman"/>
          <w:szCs w:val="24"/>
        </w:rPr>
      </w:pPr>
    </w:p>
    <w:p w:rsidRPr="000922C6" w:rsidR="000922C6" w:rsidP="000922C6" w:rsidRDefault="000922C6" w14:paraId="5189303F" w14:textId="1196D9E7">
      <w:pPr>
        <w:pStyle w:val="ListParagraph"/>
        <w:rPr>
          <w:rFonts w:ascii="Times New Roman" w:hAnsi="Times New Roman"/>
          <w:szCs w:val="24"/>
        </w:rPr>
      </w:pPr>
      <w:r w:rsidRPr="000922C6">
        <w:rPr>
          <w:rFonts w:ascii="Times New Roman" w:hAnsi="Times New Roman"/>
          <w:szCs w:val="24"/>
        </w:rPr>
        <w:t>Our estimates for the completion of the application are based on</w:t>
      </w:r>
      <w:r w:rsidR="00E24F28">
        <w:rPr>
          <w:rFonts w:ascii="Times New Roman" w:hAnsi="Times New Roman"/>
          <w:szCs w:val="24"/>
        </w:rPr>
        <w:t xml:space="preserve"> the expiring collection and on</w:t>
      </w:r>
      <w:r w:rsidRPr="000922C6">
        <w:rPr>
          <w:rFonts w:ascii="Times New Roman" w:hAnsi="Times New Roman"/>
          <w:szCs w:val="24"/>
        </w:rPr>
        <w:t xml:space="preserve"> similar application forms that the project staff developed for adult education local providers and state staff in previous OCTAE projects</w:t>
      </w:r>
      <w:r w:rsidR="00E24F28">
        <w:rPr>
          <w:rFonts w:ascii="Times New Roman" w:hAnsi="Times New Roman"/>
          <w:szCs w:val="24"/>
        </w:rPr>
        <w:t xml:space="preserve">. </w:t>
      </w:r>
      <w:r w:rsidRPr="000922C6">
        <w:rPr>
          <w:rFonts w:ascii="Times New Roman" w:hAnsi="Times New Roman"/>
          <w:szCs w:val="24"/>
        </w:rPr>
        <w:t>We estimate that it will take a local adult education program staff member 4 hours to complete the application, which involves: (1) organizing information about an innovative practice; (2) preparing a one-page description about the operation of the practice; (3) providing contact information about the program; and (4) corresponding with the state adult education staff to obtain support for the application. Because the information collection request also asks that the state adult education director review and approve the</w:t>
      </w:r>
      <w:r w:rsidR="000B35DE">
        <w:rPr>
          <w:rFonts w:ascii="Times New Roman" w:hAnsi="Times New Roman"/>
          <w:szCs w:val="24"/>
        </w:rPr>
        <w:t xml:space="preserve"> local</w:t>
      </w:r>
      <w:r w:rsidRPr="000922C6">
        <w:rPr>
          <w:rFonts w:ascii="Times New Roman" w:hAnsi="Times New Roman"/>
          <w:szCs w:val="24"/>
        </w:rPr>
        <w:t xml:space="preserve"> application, the burden estimate includes the time associated with this activity. We estimate that a state adult education staff member will spend up to 2 hours reviewing the description of the innovative practice and preparing a letter of support for the practice to be considered for the project.  The total number of burden hours is estimated to be </w:t>
      </w:r>
      <w:r w:rsidR="00E24F28">
        <w:rPr>
          <w:rFonts w:ascii="Times New Roman" w:hAnsi="Times New Roman"/>
          <w:szCs w:val="24"/>
        </w:rPr>
        <w:t>120</w:t>
      </w:r>
      <w:r w:rsidRPr="000922C6">
        <w:rPr>
          <w:rFonts w:ascii="Times New Roman" w:hAnsi="Times New Roman"/>
          <w:szCs w:val="24"/>
        </w:rPr>
        <w:t xml:space="preserve"> hours </w:t>
      </w:r>
      <w:r w:rsidR="00E24F28">
        <w:rPr>
          <w:rFonts w:ascii="Times New Roman" w:hAnsi="Times New Roman"/>
          <w:szCs w:val="24"/>
        </w:rPr>
        <w:t>annually.</w:t>
      </w:r>
      <w:r w:rsidR="00CC6CF9">
        <w:rPr>
          <w:rFonts w:ascii="Times New Roman" w:hAnsi="Times New Roman"/>
          <w:szCs w:val="24"/>
        </w:rPr>
        <w:t xml:space="preserve"> </w:t>
      </w:r>
      <w:r w:rsidRPr="00CC6CF9" w:rsidR="00CC6CF9">
        <w:rPr>
          <w:rFonts w:ascii="Times New Roman" w:hAnsi="Times New Roman"/>
          <w:szCs w:val="24"/>
        </w:rPr>
        <w:t>The mean hourly wage for Education Administrators, All Others was $</w:t>
      </w:r>
      <w:r w:rsidR="00CC6CF9">
        <w:rPr>
          <w:rFonts w:ascii="Times New Roman" w:hAnsi="Times New Roman"/>
          <w:szCs w:val="24"/>
        </w:rPr>
        <w:t>45.54</w:t>
      </w:r>
      <w:r w:rsidRPr="00CC6CF9" w:rsidR="00CC6CF9">
        <w:rPr>
          <w:rFonts w:ascii="Times New Roman" w:hAnsi="Times New Roman"/>
          <w:szCs w:val="24"/>
        </w:rPr>
        <w:t xml:space="preserve"> as reported in May 20</w:t>
      </w:r>
      <w:r w:rsidR="00CC6CF9">
        <w:rPr>
          <w:rFonts w:ascii="Times New Roman" w:hAnsi="Times New Roman"/>
          <w:szCs w:val="24"/>
        </w:rPr>
        <w:t>21</w:t>
      </w:r>
      <w:r w:rsidRPr="00CC6CF9" w:rsidR="00CC6CF9">
        <w:rPr>
          <w:rFonts w:ascii="Times New Roman" w:hAnsi="Times New Roman"/>
          <w:szCs w:val="24"/>
        </w:rPr>
        <w:t xml:space="preserve"> by the U.S. Department of Labor, Bureau of </w:t>
      </w:r>
      <w:proofErr w:type="gramStart"/>
      <w:r w:rsidRPr="00CC6CF9" w:rsidR="00CC6CF9">
        <w:rPr>
          <w:rFonts w:ascii="Times New Roman" w:hAnsi="Times New Roman"/>
          <w:szCs w:val="24"/>
        </w:rPr>
        <w:t>Labor</w:t>
      </w:r>
      <w:proofErr w:type="gramEnd"/>
      <w:r w:rsidRPr="00CC6CF9" w:rsidR="00CC6CF9">
        <w:rPr>
          <w:rFonts w:ascii="Times New Roman" w:hAnsi="Times New Roman"/>
          <w:szCs w:val="24"/>
        </w:rPr>
        <w:t xml:space="preserve"> and Statistics</w:t>
      </w:r>
      <w:r w:rsidR="00CC6CF9">
        <w:rPr>
          <w:rFonts w:ascii="Times New Roman" w:hAnsi="Times New Roman"/>
          <w:szCs w:val="24"/>
        </w:rPr>
        <w:t xml:space="preserve">, at the link provided. </w:t>
      </w:r>
      <w:r w:rsidRPr="00CC6CF9" w:rsidR="00CC6CF9">
        <w:rPr>
          <w:rFonts w:ascii="Times New Roman" w:hAnsi="Times New Roman"/>
          <w:szCs w:val="24"/>
        </w:rPr>
        <w:t>This is the most appropriate labor category for both program directors and state staff.</w:t>
      </w:r>
    </w:p>
    <w:p w:rsidRPr="000103F0" w:rsidR="000922C6" w:rsidP="000103F0" w:rsidRDefault="000922C6" w14:paraId="3A455CF5" w14:textId="77777777">
      <w:pPr>
        <w:tabs>
          <w:tab w:val="left" w:pos="-720"/>
        </w:tabs>
        <w:suppressAutoHyphens/>
        <w:rPr>
          <w:rStyle w:val="a"/>
          <w:rFonts w:ascii="Times New Roman" w:hAnsi="Times New Roman"/>
          <w:szCs w:val="24"/>
        </w:rPr>
      </w:pPr>
    </w:p>
    <w:p w:rsidRPr="00920F63" w:rsidR="00ED7195" w:rsidP="00756FD3" w:rsidRDefault="00ED7195" w14:paraId="45655AEF"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885" w:type="dxa"/>
        <w:tblLayout w:type="fixed"/>
        <w:tblLook w:val="0020" w:firstRow="1" w:lastRow="0" w:firstColumn="0" w:lastColumn="0" w:noHBand="0" w:noVBand="0"/>
      </w:tblPr>
      <w:tblGrid>
        <w:gridCol w:w="2245"/>
        <w:gridCol w:w="720"/>
        <w:gridCol w:w="900"/>
        <w:gridCol w:w="990"/>
        <w:gridCol w:w="900"/>
        <w:gridCol w:w="1800"/>
        <w:gridCol w:w="900"/>
        <w:gridCol w:w="1080"/>
        <w:gridCol w:w="1350"/>
      </w:tblGrid>
      <w:tr w:rsidRPr="00442E07" w:rsidR="00C86713" w:rsidTr="00DE1A97" w14:paraId="45655B07" w14:textId="77777777">
        <w:trPr>
          <w:tblHeader/>
        </w:trPr>
        <w:tc>
          <w:tcPr>
            <w:tcW w:w="2245" w:type="dxa"/>
            <w:vAlign w:val="bottom"/>
          </w:tcPr>
          <w:p w:rsidRPr="000103F0" w:rsidR="00C86713" w:rsidP="00FE1BAE" w:rsidRDefault="00C86713" w14:paraId="45655AF0" w14:textId="77777777">
            <w:pPr>
              <w:jc w:val="center"/>
              <w:rPr>
                <w:rFonts w:ascii="Times New Roman" w:hAnsi="Times New Roman"/>
                <w:sz w:val="16"/>
                <w:szCs w:val="16"/>
              </w:rPr>
            </w:pPr>
          </w:p>
          <w:p w:rsidRPr="000103F0" w:rsidR="00C86713" w:rsidP="00FE1BAE" w:rsidRDefault="00C86713" w14:paraId="45655AF1" w14:textId="77777777">
            <w:pPr>
              <w:jc w:val="center"/>
              <w:rPr>
                <w:rFonts w:ascii="Times New Roman" w:hAnsi="Times New Roman"/>
                <w:sz w:val="16"/>
                <w:szCs w:val="16"/>
              </w:rPr>
            </w:pPr>
          </w:p>
          <w:p w:rsidRPr="000103F0" w:rsidR="00C86713" w:rsidP="00FE1BAE" w:rsidRDefault="00C86713" w14:paraId="45655AF2" w14:textId="77777777">
            <w:pPr>
              <w:jc w:val="center"/>
              <w:rPr>
                <w:rFonts w:ascii="Times New Roman" w:hAnsi="Times New Roman"/>
                <w:sz w:val="16"/>
                <w:szCs w:val="16"/>
              </w:rPr>
            </w:pPr>
            <w:r w:rsidRPr="000103F0">
              <w:rPr>
                <w:rFonts w:ascii="Times New Roman" w:hAnsi="Times New Roman"/>
                <w:sz w:val="16"/>
                <w:szCs w:val="16"/>
              </w:rPr>
              <w:t>Information Activity or IC (with type of respondent)</w:t>
            </w:r>
          </w:p>
        </w:tc>
        <w:tc>
          <w:tcPr>
            <w:tcW w:w="720" w:type="dxa"/>
            <w:vAlign w:val="bottom"/>
          </w:tcPr>
          <w:p w:rsidRPr="00DE1A97" w:rsidR="00C86713" w:rsidP="00FE1BAE" w:rsidRDefault="00C86713" w14:paraId="45655AF3" w14:textId="77777777">
            <w:pPr>
              <w:jc w:val="center"/>
              <w:rPr>
                <w:rFonts w:ascii="Times New Roman" w:hAnsi="Times New Roman"/>
                <w:sz w:val="14"/>
                <w:szCs w:val="14"/>
              </w:rPr>
            </w:pPr>
          </w:p>
          <w:p w:rsidRPr="00DE1A97" w:rsidR="00C86713" w:rsidP="00FE1BAE" w:rsidRDefault="00C86713" w14:paraId="45655AF4" w14:textId="77777777">
            <w:pPr>
              <w:jc w:val="center"/>
              <w:rPr>
                <w:rFonts w:ascii="Times New Roman" w:hAnsi="Times New Roman"/>
                <w:sz w:val="14"/>
                <w:szCs w:val="14"/>
              </w:rPr>
            </w:pPr>
          </w:p>
          <w:p w:rsidRPr="00DE1A97" w:rsidR="00C86713" w:rsidP="00FE1BAE" w:rsidRDefault="00C86713" w14:paraId="45655AF5" w14:textId="1F1F141A">
            <w:pPr>
              <w:jc w:val="center"/>
              <w:rPr>
                <w:rFonts w:ascii="Times New Roman" w:hAnsi="Times New Roman"/>
                <w:sz w:val="14"/>
                <w:szCs w:val="14"/>
              </w:rPr>
            </w:pPr>
            <w:r w:rsidRPr="00DE1A97">
              <w:rPr>
                <w:rFonts w:ascii="Times New Roman" w:hAnsi="Times New Roman"/>
                <w:sz w:val="14"/>
                <w:szCs w:val="14"/>
              </w:rPr>
              <w:t xml:space="preserve">Sample Size </w:t>
            </w:r>
          </w:p>
        </w:tc>
        <w:tc>
          <w:tcPr>
            <w:tcW w:w="900" w:type="dxa"/>
            <w:vAlign w:val="bottom"/>
          </w:tcPr>
          <w:p w:rsidRPr="00DE1A97" w:rsidR="00C86713" w:rsidP="00FE1BAE" w:rsidRDefault="00C86713" w14:paraId="45655AF6" w14:textId="77777777">
            <w:pPr>
              <w:jc w:val="center"/>
              <w:rPr>
                <w:rFonts w:ascii="Times New Roman" w:hAnsi="Times New Roman"/>
                <w:sz w:val="14"/>
                <w:szCs w:val="14"/>
              </w:rPr>
            </w:pPr>
          </w:p>
          <w:p w:rsidRPr="00DE1A97" w:rsidR="00C86713" w:rsidP="00581C11" w:rsidRDefault="00C86713" w14:paraId="45655AF7" w14:textId="77777777">
            <w:pPr>
              <w:shd w:val="clear" w:color="auto" w:fill="F2F2F2" w:themeFill="background1" w:themeFillShade="F2"/>
              <w:jc w:val="center"/>
              <w:rPr>
                <w:rFonts w:ascii="Times New Roman" w:hAnsi="Times New Roman"/>
                <w:sz w:val="14"/>
                <w:szCs w:val="14"/>
              </w:rPr>
            </w:pPr>
          </w:p>
          <w:p w:rsidRPr="00DE1A97" w:rsidR="00C86713" w:rsidP="00581C11" w:rsidRDefault="00C86713" w14:paraId="45655AF8" w14:textId="0652E1CC">
            <w:pPr>
              <w:shd w:val="clear" w:color="auto" w:fill="F2F2F2" w:themeFill="background1" w:themeFillShade="F2"/>
              <w:jc w:val="center"/>
              <w:rPr>
                <w:rFonts w:ascii="Times New Roman" w:hAnsi="Times New Roman"/>
                <w:sz w:val="14"/>
                <w:szCs w:val="14"/>
              </w:rPr>
            </w:pPr>
            <w:r w:rsidRPr="00DE1A97">
              <w:rPr>
                <w:rFonts w:ascii="Times New Roman" w:hAnsi="Times New Roman"/>
                <w:sz w:val="14"/>
                <w:szCs w:val="14"/>
                <w:shd w:val="clear" w:color="auto" w:fill="F2F2F2" w:themeFill="background1" w:themeFillShade="F2"/>
              </w:rPr>
              <w:t xml:space="preserve">Respondent Response Rate </w:t>
            </w:r>
          </w:p>
        </w:tc>
        <w:tc>
          <w:tcPr>
            <w:tcW w:w="990" w:type="dxa"/>
            <w:vAlign w:val="bottom"/>
          </w:tcPr>
          <w:p w:rsidRPr="00DE1A97" w:rsidR="00C86713" w:rsidP="00FE1BAE" w:rsidRDefault="00C86713" w14:paraId="45655AF9" w14:textId="77777777">
            <w:pPr>
              <w:jc w:val="center"/>
              <w:rPr>
                <w:rFonts w:ascii="Times New Roman" w:hAnsi="Times New Roman"/>
                <w:sz w:val="14"/>
                <w:szCs w:val="14"/>
              </w:rPr>
            </w:pPr>
            <w:r w:rsidRPr="00DE1A97">
              <w:rPr>
                <w:rFonts w:ascii="Times New Roman" w:hAnsi="Times New Roman"/>
                <w:sz w:val="14"/>
                <w:szCs w:val="14"/>
              </w:rPr>
              <w:t>Number of Respondents</w:t>
            </w:r>
          </w:p>
        </w:tc>
        <w:tc>
          <w:tcPr>
            <w:tcW w:w="900" w:type="dxa"/>
            <w:vAlign w:val="bottom"/>
          </w:tcPr>
          <w:p w:rsidRPr="00DE1A97" w:rsidR="00C86713" w:rsidP="00FE1BAE" w:rsidRDefault="00C86713" w14:paraId="45655AFA" w14:textId="77777777">
            <w:pPr>
              <w:jc w:val="center"/>
              <w:rPr>
                <w:rFonts w:ascii="Times New Roman" w:hAnsi="Times New Roman"/>
                <w:sz w:val="14"/>
                <w:szCs w:val="14"/>
              </w:rPr>
            </w:pPr>
          </w:p>
          <w:p w:rsidRPr="00DE1A97" w:rsidR="00C86713" w:rsidP="00FE1BAE" w:rsidRDefault="00C86713" w14:paraId="45655AFB" w14:textId="77777777">
            <w:pPr>
              <w:jc w:val="center"/>
              <w:rPr>
                <w:rFonts w:ascii="Times New Roman" w:hAnsi="Times New Roman"/>
                <w:sz w:val="14"/>
                <w:szCs w:val="14"/>
              </w:rPr>
            </w:pPr>
          </w:p>
          <w:p w:rsidRPr="00DE1A97" w:rsidR="00C86713" w:rsidP="00FE1BAE" w:rsidRDefault="00C86713" w14:paraId="45655AFC" w14:textId="77777777">
            <w:pPr>
              <w:jc w:val="center"/>
              <w:rPr>
                <w:rFonts w:ascii="Times New Roman" w:hAnsi="Times New Roman"/>
                <w:sz w:val="14"/>
                <w:szCs w:val="14"/>
              </w:rPr>
            </w:pPr>
            <w:r w:rsidRPr="00DE1A97">
              <w:rPr>
                <w:rFonts w:ascii="Times New Roman" w:hAnsi="Times New Roman"/>
                <w:sz w:val="14"/>
                <w:szCs w:val="14"/>
              </w:rPr>
              <w:t>Number of Responses</w:t>
            </w:r>
          </w:p>
        </w:tc>
        <w:tc>
          <w:tcPr>
            <w:tcW w:w="1800" w:type="dxa"/>
            <w:vAlign w:val="bottom"/>
          </w:tcPr>
          <w:p w:rsidRPr="00DE1A97" w:rsidR="00C86713" w:rsidP="00FE1BAE" w:rsidRDefault="00C86713" w14:paraId="45655AFD" w14:textId="77777777">
            <w:pPr>
              <w:jc w:val="center"/>
              <w:rPr>
                <w:rFonts w:ascii="Times New Roman" w:hAnsi="Times New Roman"/>
                <w:sz w:val="14"/>
                <w:szCs w:val="14"/>
              </w:rPr>
            </w:pPr>
          </w:p>
          <w:p w:rsidRPr="00DE1A97" w:rsidR="00C86713" w:rsidP="00FE1BAE" w:rsidRDefault="00C86713" w14:paraId="45655AFE" w14:textId="77777777">
            <w:pPr>
              <w:jc w:val="center"/>
              <w:rPr>
                <w:rFonts w:ascii="Times New Roman" w:hAnsi="Times New Roman"/>
                <w:sz w:val="14"/>
                <w:szCs w:val="14"/>
              </w:rPr>
            </w:pPr>
            <w:r w:rsidRPr="00DE1A97">
              <w:rPr>
                <w:rFonts w:ascii="Times New Roman" w:hAnsi="Times New Roman"/>
                <w:sz w:val="14"/>
                <w:szCs w:val="14"/>
              </w:rPr>
              <w:t>Average Burden Hours per Response</w:t>
            </w:r>
          </w:p>
        </w:tc>
        <w:tc>
          <w:tcPr>
            <w:tcW w:w="900" w:type="dxa"/>
            <w:vAlign w:val="bottom"/>
          </w:tcPr>
          <w:p w:rsidRPr="00DE1A97" w:rsidR="00F31BEC" w:rsidP="00FE1BAE" w:rsidRDefault="00F31BEC" w14:paraId="45655AFF" w14:textId="77777777">
            <w:pPr>
              <w:jc w:val="center"/>
              <w:rPr>
                <w:rFonts w:ascii="Times New Roman" w:hAnsi="Times New Roman"/>
                <w:sz w:val="14"/>
                <w:szCs w:val="14"/>
              </w:rPr>
            </w:pPr>
          </w:p>
          <w:p w:rsidRPr="00DE1A97" w:rsidR="00C86713" w:rsidP="00F31BEC" w:rsidRDefault="00C86713" w14:paraId="45655B00" w14:textId="77777777">
            <w:pPr>
              <w:rPr>
                <w:rFonts w:ascii="Times New Roman" w:hAnsi="Times New Roman"/>
                <w:sz w:val="14"/>
                <w:szCs w:val="14"/>
              </w:rPr>
            </w:pPr>
            <w:r w:rsidRPr="00DE1A97">
              <w:rPr>
                <w:rFonts w:ascii="Times New Roman" w:hAnsi="Times New Roman"/>
                <w:sz w:val="14"/>
                <w:szCs w:val="14"/>
              </w:rPr>
              <w:t xml:space="preserve">Total </w:t>
            </w:r>
            <w:r w:rsidRPr="00DE1A97" w:rsidR="00F31BEC">
              <w:rPr>
                <w:rFonts w:ascii="Times New Roman" w:hAnsi="Times New Roman"/>
                <w:sz w:val="14"/>
                <w:szCs w:val="14"/>
              </w:rPr>
              <w:t xml:space="preserve">Annual </w:t>
            </w:r>
            <w:r w:rsidRPr="00DE1A97">
              <w:rPr>
                <w:rFonts w:ascii="Times New Roman" w:hAnsi="Times New Roman"/>
                <w:sz w:val="14"/>
                <w:szCs w:val="14"/>
              </w:rPr>
              <w:t>Burden Hours</w:t>
            </w:r>
          </w:p>
        </w:tc>
        <w:tc>
          <w:tcPr>
            <w:tcW w:w="1080" w:type="dxa"/>
            <w:vAlign w:val="bottom"/>
          </w:tcPr>
          <w:p w:rsidRPr="00DE1A97" w:rsidR="00C86713" w:rsidP="00FE1BAE" w:rsidRDefault="00C86713" w14:paraId="45655B01" w14:textId="77777777">
            <w:pPr>
              <w:jc w:val="center"/>
              <w:rPr>
                <w:rFonts w:ascii="Times New Roman" w:hAnsi="Times New Roman"/>
                <w:sz w:val="14"/>
                <w:szCs w:val="14"/>
              </w:rPr>
            </w:pPr>
          </w:p>
          <w:p w:rsidRPr="00DE1A97" w:rsidR="00C86713" w:rsidP="00FE1BAE" w:rsidRDefault="00C86713" w14:paraId="45655B02" w14:textId="77777777">
            <w:pPr>
              <w:jc w:val="center"/>
              <w:rPr>
                <w:rFonts w:ascii="Times New Roman" w:hAnsi="Times New Roman"/>
                <w:sz w:val="14"/>
                <w:szCs w:val="14"/>
              </w:rPr>
            </w:pPr>
          </w:p>
          <w:p w:rsidRPr="00DE1A97" w:rsidR="00C86713" w:rsidP="00FE1BAE" w:rsidRDefault="00C86713" w14:paraId="45655B03" w14:textId="77777777">
            <w:pPr>
              <w:jc w:val="center"/>
              <w:rPr>
                <w:rFonts w:ascii="Times New Roman" w:hAnsi="Times New Roman"/>
                <w:sz w:val="14"/>
                <w:szCs w:val="14"/>
              </w:rPr>
            </w:pPr>
            <w:r w:rsidRPr="00DE1A97">
              <w:rPr>
                <w:rFonts w:ascii="Times New Roman" w:hAnsi="Times New Roman"/>
                <w:sz w:val="14"/>
                <w:szCs w:val="14"/>
              </w:rPr>
              <w:t>Estimated Respondent Average Hourly Wage</w:t>
            </w:r>
          </w:p>
        </w:tc>
        <w:tc>
          <w:tcPr>
            <w:tcW w:w="1350" w:type="dxa"/>
            <w:vAlign w:val="bottom"/>
          </w:tcPr>
          <w:p w:rsidRPr="00DE1A97" w:rsidR="00C86713" w:rsidP="00FE1BAE" w:rsidRDefault="00C86713" w14:paraId="45655B04" w14:textId="77777777">
            <w:pPr>
              <w:jc w:val="center"/>
              <w:rPr>
                <w:rFonts w:ascii="Times New Roman" w:hAnsi="Times New Roman"/>
                <w:sz w:val="14"/>
                <w:szCs w:val="14"/>
              </w:rPr>
            </w:pPr>
          </w:p>
          <w:p w:rsidRPr="00DE1A97" w:rsidR="00C86713" w:rsidP="00FE1BAE" w:rsidRDefault="00C86713" w14:paraId="45655B05" w14:textId="77777777">
            <w:pPr>
              <w:jc w:val="center"/>
              <w:rPr>
                <w:rFonts w:ascii="Times New Roman" w:hAnsi="Times New Roman"/>
                <w:sz w:val="14"/>
                <w:szCs w:val="14"/>
              </w:rPr>
            </w:pPr>
          </w:p>
          <w:p w:rsidRPr="00DE1A97" w:rsidR="00C86713" w:rsidP="00FE1BAE" w:rsidRDefault="00C86713" w14:paraId="45655B06" w14:textId="31C24158">
            <w:pPr>
              <w:jc w:val="center"/>
              <w:rPr>
                <w:rFonts w:ascii="Times New Roman" w:hAnsi="Times New Roman"/>
                <w:sz w:val="14"/>
                <w:szCs w:val="14"/>
              </w:rPr>
            </w:pPr>
            <w:r w:rsidRPr="00DE1A97">
              <w:rPr>
                <w:rFonts w:ascii="Times New Roman" w:hAnsi="Times New Roman"/>
                <w:sz w:val="14"/>
                <w:szCs w:val="14"/>
              </w:rPr>
              <w:t>Total Annual Costs (hourly wage x total burden hours)</w:t>
            </w:r>
            <w:r w:rsidR="0054322D">
              <w:rPr>
                <w:rFonts w:ascii="Times New Roman" w:hAnsi="Times New Roman"/>
                <w:sz w:val="14"/>
                <w:szCs w:val="14"/>
              </w:rPr>
              <w:t xml:space="preserve"> rounded to dollar</w:t>
            </w:r>
          </w:p>
        </w:tc>
      </w:tr>
      <w:tr w:rsidRPr="00442E07" w:rsidR="00C86713" w:rsidTr="00DE1A97" w14:paraId="45655B11" w14:textId="77777777">
        <w:tc>
          <w:tcPr>
            <w:tcW w:w="2245" w:type="dxa"/>
          </w:tcPr>
          <w:p w:rsidRPr="00E24F28" w:rsidR="00C86713" w:rsidP="00FE1BAE" w:rsidRDefault="00E24F28" w14:paraId="45655B08" w14:textId="67D80050">
            <w:pPr>
              <w:rPr>
                <w:rFonts w:ascii="Times New Roman" w:hAnsi="Times New Roman"/>
                <w:sz w:val="18"/>
                <w:szCs w:val="18"/>
              </w:rPr>
            </w:pPr>
            <w:r w:rsidRPr="00E24F28">
              <w:rPr>
                <w:rFonts w:ascii="Times New Roman" w:hAnsi="Times New Roman"/>
                <w:sz w:val="18"/>
                <w:szCs w:val="18"/>
              </w:rPr>
              <w:t>Local Adult Education Program Administrator</w:t>
            </w:r>
            <w:r w:rsidR="00DE1A97">
              <w:rPr>
                <w:rFonts w:ascii="Times New Roman" w:hAnsi="Times New Roman"/>
                <w:sz w:val="18"/>
                <w:szCs w:val="18"/>
              </w:rPr>
              <w:t xml:space="preserve"> reporting </w:t>
            </w:r>
          </w:p>
        </w:tc>
        <w:tc>
          <w:tcPr>
            <w:tcW w:w="720" w:type="dxa"/>
          </w:tcPr>
          <w:p w:rsidRPr="00DE1A97" w:rsidR="00C86713" w:rsidP="00DE1A97" w:rsidRDefault="00E24F28" w14:paraId="45655B09" w14:textId="53462A79">
            <w:pPr>
              <w:jc w:val="center"/>
              <w:rPr>
                <w:rFonts w:ascii="Times New Roman" w:hAnsi="Times New Roman"/>
                <w:sz w:val="22"/>
                <w:szCs w:val="22"/>
              </w:rPr>
            </w:pPr>
            <w:r w:rsidRPr="00DE1A97">
              <w:rPr>
                <w:rFonts w:ascii="Times New Roman" w:hAnsi="Times New Roman"/>
                <w:sz w:val="22"/>
                <w:szCs w:val="22"/>
              </w:rPr>
              <w:t>n/a</w:t>
            </w:r>
          </w:p>
        </w:tc>
        <w:tc>
          <w:tcPr>
            <w:tcW w:w="900" w:type="dxa"/>
          </w:tcPr>
          <w:p w:rsidRPr="00DE1A97" w:rsidR="00C86713" w:rsidP="00DE1A97" w:rsidRDefault="00E24F28" w14:paraId="45655B0A" w14:textId="7EB9D211">
            <w:pPr>
              <w:jc w:val="center"/>
              <w:rPr>
                <w:rFonts w:ascii="Times New Roman" w:hAnsi="Times New Roman"/>
                <w:sz w:val="22"/>
                <w:szCs w:val="22"/>
              </w:rPr>
            </w:pPr>
            <w:r w:rsidRPr="00DE1A97">
              <w:rPr>
                <w:rFonts w:ascii="Times New Roman" w:hAnsi="Times New Roman"/>
                <w:sz w:val="22"/>
                <w:szCs w:val="22"/>
              </w:rPr>
              <w:t>n/a</w:t>
            </w:r>
          </w:p>
        </w:tc>
        <w:tc>
          <w:tcPr>
            <w:tcW w:w="990" w:type="dxa"/>
          </w:tcPr>
          <w:p w:rsidRPr="00DE1A97" w:rsidR="00C86713" w:rsidP="00DE1A97" w:rsidRDefault="00E24F28" w14:paraId="45655B0B" w14:textId="1A84EF7E">
            <w:pPr>
              <w:jc w:val="center"/>
              <w:rPr>
                <w:rFonts w:ascii="Times New Roman" w:hAnsi="Times New Roman"/>
                <w:sz w:val="22"/>
                <w:szCs w:val="22"/>
              </w:rPr>
            </w:pPr>
            <w:r w:rsidRPr="00DE1A97">
              <w:rPr>
                <w:rFonts w:ascii="Times New Roman" w:hAnsi="Times New Roman"/>
                <w:sz w:val="22"/>
                <w:szCs w:val="22"/>
              </w:rPr>
              <w:t>20</w:t>
            </w:r>
          </w:p>
        </w:tc>
        <w:tc>
          <w:tcPr>
            <w:tcW w:w="900" w:type="dxa"/>
          </w:tcPr>
          <w:p w:rsidRPr="00DE1A97" w:rsidR="00C86713" w:rsidP="00DE1A97" w:rsidRDefault="00E24F28" w14:paraId="45655B0C" w14:textId="1DDC97E5">
            <w:pPr>
              <w:jc w:val="center"/>
              <w:rPr>
                <w:rFonts w:ascii="Times New Roman" w:hAnsi="Times New Roman"/>
                <w:sz w:val="22"/>
                <w:szCs w:val="22"/>
              </w:rPr>
            </w:pPr>
            <w:r w:rsidRPr="00DE1A97">
              <w:rPr>
                <w:rFonts w:ascii="Times New Roman" w:hAnsi="Times New Roman"/>
                <w:sz w:val="22"/>
                <w:szCs w:val="22"/>
              </w:rPr>
              <w:t>1</w:t>
            </w:r>
          </w:p>
        </w:tc>
        <w:tc>
          <w:tcPr>
            <w:tcW w:w="1800" w:type="dxa"/>
          </w:tcPr>
          <w:p w:rsidRPr="00DE1A97" w:rsidR="00C86713" w:rsidP="00DE1A97" w:rsidRDefault="00E24F28" w14:paraId="45655B0D" w14:textId="32BBF792">
            <w:pPr>
              <w:jc w:val="center"/>
              <w:rPr>
                <w:rFonts w:ascii="Times New Roman" w:hAnsi="Times New Roman"/>
                <w:sz w:val="22"/>
                <w:szCs w:val="22"/>
              </w:rPr>
            </w:pPr>
            <w:r w:rsidRPr="00DE1A97">
              <w:rPr>
                <w:rFonts w:ascii="Times New Roman" w:hAnsi="Times New Roman"/>
                <w:sz w:val="22"/>
                <w:szCs w:val="22"/>
              </w:rPr>
              <w:t>4</w:t>
            </w:r>
          </w:p>
        </w:tc>
        <w:tc>
          <w:tcPr>
            <w:tcW w:w="900" w:type="dxa"/>
          </w:tcPr>
          <w:p w:rsidRPr="00DE1A97" w:rsidR="00C86713" w:rsidP="00DE1A97" w:rsidRDefault="000103F0" w14:paraId="45655B0E" w14:textId="2982A8F0">
            <w:pPr>
              <w:jc w:val="center"/>
              <w:rPr>
                <w:rFonts w:ascii="Times New Roman" w:hAnsi="Times New Roman"/>
                <w:sz w:val="22"/>
                <w:szCs w:val="22"/>
              </w:rPr>
            </w:pPr>
            <w:r w:rsidRPr="00DE1A97">
              <w:rPr>
                <w:rFonts w:ascii="Times New Roman" w:hAnsi="Times New Roman"/>
                <w:sz w:val="22"/>
                <w:szCs w:val="22"/>
              </w:rPr>
              <w:t>80</w:t>
            </w:r>
          </w:p>
        </w:tc>
        <w:tc>
          <w:tcPr>
            <w:tcW w:w="1080" w:type="dxa"/>
          </w:tcPr>
          <w:p w:rsidRPr="00DE1A97" w:rsidR="00C86713" w:rsidP="00DE1A97" w:rsidRDefault="00CC6CF9" w14:paraId="2C6EF96F" w14:textId="77777777">
            <w:pPr>
              <w:jc w:val="center"/>
              <w:rPr>
                <w:rFonts w:ascii="Times New Roman" w:hAnsi="Times New Roman"/>
                <w:sz w:val="22"/>
                <w:szCs w:val="22"/>
              </w:rPr>
            </w:pPr>
            <w:r w:rsidRPr="00DE1A97">
              <w:rPr>
                <w:rFonts w:ascii="Times New Roman" w:hAnsi="Times New Roman"/>
                <w:sz w:val="22"/>
                <w:szCs w:val="22"/>
              </w:rPr>
              <w:t>$45.54</w:t>
            </w:r>
          </w:p>
          <w:p w:rsidRPr="00DE1A97" w:rsidR="00CC6CF9" w:rsidP="00DE1A97" w:rsidRDefault="00CC6CF9" w14:paraId="45655B0F" w14:textId="0A1D9C2D">
            <w:pPr>
              <w:jc w:val="center"/>
              <w:rPr>
                <w:rFonts w:ascii="Times New Roman" w:hAnsi="Times New Roman"/>
                <w:sz w:val="22"/>
                <w:szCs w:val="22"/>
              </w:rPr>
            </w:pPr>
          </w:p>
        </w:tc>
        <w:tc>
          <w:tcPr>
            <w:tcW w:w="1350" w:type="dxa"/>
          </w:tcPr>
          <w:p w:rsidRPr="00DE1A97" w:rsidR="00C86713" w:rsidP="00DE1A97" w:rsidRDefault="00CC6CF9" w14:paraId="45655B10" w14:textId="5F1CE015">
            <w:pPr>
              <w:jc w:val="center"/>
              <w:rPr>
                <w:rFonts w:ascii="Times New Roman" w:hAnsi="Times New Roman"/>
                <w:sz w:val="22"/>
                <w:szCs w:val="22"/>
              </w:rPr>
            </w:pPr>
            <w:r w:rsidRPr="00DE1A97">
              <w:rPr>
                <w:rFonts w:ascii="Times New Roman" w:hAnsi="Times New Roman"/>
                <w:sz w:val="22"/>
                <w:szCs w:val="22"/>
              </w:rPr>
              <w:t>$3,643</w:t>
            </w:r>
          </w:p>
        </w:tc>
      </w:tr>
      <w:tr w:rsidRPr="00442E07" w:rsidR="00C86713" w:rsidTr="00DE1A97" w14:paraId="45655B1B" w14:textId="77777777">
        <w:tc>
          <w:tcPr>
            <w:tcW w:w="2245" w:type="dxa"/>
          </w:tcPr>
          <w:p w:rsidRPr="00E24F28" w:rsidR="00C86713" w:rsidP="00FE1BAE" w:rsidRDefault="00E24F28" w14:paraId="45655B12" w14:textId="5BF1E23A">
            <w:pPr>
              <w:rPr>
                <w:rFonts w:ascii="Times New Roman" w:hAnsi="Times New Roman"/>
                <w:sz w:val="18"/>
                <w:szCs w:val="18"/>
              </w:rPr>
            </w:pPr>
            <w:r w:rsidRPr="00E24F28">
              <w:rPr>
                <w:rFonts w:ascii="Times New Roman" w:hAnsi="Times New Roman"/>
                <w:sz w:val="18"/>
                <w:szCs w:val="18"/>
              </w:rPr>
              <w:t>State Adult Education Director administrator</w:t>
            </w:r>
            <w:r w:rsidR="00DE1A97">
              <w:rPr>
                <w:rFonts w:ascii="Times New Roman" w:hAnsi="Times New Roman"/>
                <w:sz w:val="18"/>
                <w:szCs w:val="18"/>
              </w:rPr>
              <w:t xml:space="preserve"> reporting </w:t>
            </w:r>
          </w:p>
        </w:tc>
        <w:tc>
          <w:tcPr>
            <w:tcW w:w="720" w:type="dxa"/>
          </w:tcPr>
          <w:p w:rsidRPr="00DE1A97" w:rsidR="00C86713" w:rsidP="00DE1A97" w:rsidRDefault="000103F0" w14:paraId="45655B13" w14:textId="11585E08">
            <w:pPr>
              <w:jc w:val="center"/>
              <w:rPr>
                <w:rFonts w:ascii="Times New Roman" w:hAnsi="Times New Roman"/>
                <w:sz w:val="22"/>
                <w:szCs w:val="22"/>
              </w:rPr>
            </w:pPr>
            <w:r w:rsidRPr="00DE1A97">
              <w:rPr>
                <w:rFonts w:ascii="Times New Roman" w:hAnsi="Times New Roman"/>
                <w:sz w:val="22"/>
                <w:szCs w:val="22"/>
              </w:rPr>
              <w:t>n/a</w:t>
            </w:r>
          </w:p>
        </w:tc>
        <w:tc>
          <w:tcPr>
            <w:tcW w:w="900" w:type="dxa"/>
          </w:tcPr>
          <w:p w:rsidRPr="00DE1A97" w:rsidR="00C86713" w:rsidP="00DE1A97" w:rsidRDefault="000103F0" w14:paraId="45655B14" w14:textId="039311CD">
            <w:pPr>
              <w:jc w:val="center"/>
              <w:rPr>
                <w:rFonts w:ascii="Times New Roman" w:hAnsi="Times New Roman"/>
                <w:sz w:val="22"/>
                <w:szCs w:val="22"/>
              </w:rPr>
            </w:pPr>
            <w:r w:rsidRPr="00DE1A97">
              <w:rPr>
                <w:rFonts w:ascii="Times New Roman" w:hAnsi="Times New Roman"/>
                <w:sz w:val="22"/>
                <w:szCs w:val="22"/>
              </w:rPr>
              <w:t>n/a</w:t>
            </w:r>
          </w:p>
        </w:tc>
        <w:tc>
          <w:tcPr>
            <w:tcW w:w="990" w:type="dxa"/>
          </w:tcPr>
          <w:p w:rsidRPr="00DE1A97" w:rsidR="00C86713" w:rsidP="00DE1A97" w:rsidRDefault="000103F0" w14:paraId="45655B15" w14:textId="0620D2DC">
            <w:pPr>
              <w:jc w:val="center"/>
              <w:rPr>
                <w:rFonts w:ascii="Times New Roman" w:hAnsi="Times New Roman"/>
                <w:sz w:val="22"/>
                <w:szCs w:val="22"/>
              </w:rPr>
            </w:pPr>
            <w:r w:rsidRPr="00DE1A97">
              <w:rPr>
                <w:rFonts w:ascii="Times New Roman" w:hAnsi="Times New Roman"/>
                <w:sz w:val="22"/>
                <w:szCs w:val="22"/>
              </w:rPr>
              <w:t>20</w:t>
            </w:r>
          </w:p>
        </w:tc>
        <w:tc>
          <w:tcPr>
            <w:tcW w:w="900" w:type="dxa"/>
          </w:tcPr>
          <w:p w:rsidRPr="00DE1A97" w:rsidR="00C86713" w:rsidP="00DE1A97" w:rsidRDefault="000103F0" w14:paraId="45655B16" w14:textId="3445EA62">
            <w:pPr>
              <w:jc w:val="center"/>
              <w:rPr>
                <w:rFonts w:ascii="Times New Roman" w:hAnsi="Times New Roman"/>
                <w:sz w:val="22"/>
                <w:szCs w:val="22"/>
              </w:rPr>
            </w:pPr>
            <w:r w:rsidRPr="00DE1A97">
              <w:rPr>
                <w:rFonts w:ascii="Times New Roman" w:hAnsi="Times New Roman"/>
                <w:sz w:val="22"/>
                <w:szCs w:val="22"/>
              </w:rPr>
              <w:t>1</w:t>
            </w:r>
          </w:p>
        </w:tc>
        <w:tc>
          <w:tcPr>
            <w:tcW w:w="1800" w:type="dxa"/>
          </w:tcPr>
          <w:p w:rsidRPr="00DE1A97" w:rsidR="00C86713" w:rsidP="00DE1A97" w:rsidRDefault="000103F0" w14:paraId="45655B17" w14:textId="793D8EBC">
            <w:pPr>
              <w:jc w:val="center"/>
              <w:rPr>
                <w:rFonts w:ascii="Times New Roman" w:hAnsi="Times New Roman"/>
                <w:sz w:val="22"/>
                <w:szCs w:val="22"/>
              </w:rPr>
            </w:pPr>
            <w:r w:rsidRPr="00DE1A97">
              <w:rPr>
                <w:rFonts w:ascii="Times New Roman" w:hAnsi="Times New Roman"/>
                <w:sz w:val="22"/>
                <w:szCs w:val="22"/>
              </w:rPr>
              <w:t>2</w:t>
            </w:r>
          </w:p>
        </w:tc>
        <w:tc>
          <w:tcPr>
            <w:tcW w:w="900" w:type="dxa"/>
          </w:tcPr>
          <w:p w:rsidRPr="00DE1A97" w:rsidR="00C86713" w:rsidP="00DE1A97" w:rsidRDefault="000103F0" w14:paraId="45655B18" w14:textId="1D7F74F9">
            <w:pPr>
              <w:pStyle w:val="EndnoteText"/>
              <w:tabs>
                <w:tab w:val="clear" w:pos="-720"/>
              </w:tabs>
              <w:suppressAutoHyphens w:val="0"/>
              <w:jc w:val="center"/>
              <w:rPr>
                <w:rFonts w:ascii="Times New Roman" w:hAnsi="Times New Roman"/>
                <w:sz w:val="22"/>
                <w:szCs w:val="22"/>
              </w:rPr>
            </w:pPr>
            <w:r w:rsidRPr="00DE1A97">
              <w:rPr>
                <w:rFonts w:ascii="Times New Roman" w:hAnsi="Times New Roman"/>
                <w:sz w:val="22"/>
                <w:szCs w:val="22"/>
              </w:rPr>
              <w:t>40</w:t>
            </w:r>
          </w:p>
        </w:tc>
        <w:tc>
          <w:tcPr>
            <w:tcW w:w="1080" w:type="dxa"/>
          </w:tcPr>
          <w:p w:rsidRPr="00DE1A97" w:rsidR="00C86713" w:rsidP="00DE1A97" w:rsidRDefault="00CC6CF9" w14:paraId="45655B19" w14:textId="098B2AC0">
            <w:pPr>
              <w:jc w:val="center"/>
              <w:rPr>
                <w:rFonts w:ascii="Times New Roman" w:hAnsi="Times New Roman"/>
                <w:sz w:val="22"/>
                <w:szCs w:val="22"/>
              </w:rPr>
            </w:pPr>
            <w:r w:rsidRPr="00DE1A97">
              <w:rPr>
                <w:rFonts w:ascii="Times New Roman" w:hAnsi="Times New Roman"/>
                <w:sz w:val="22"/>
                <w:szCs w:val="22"/>
              </w:rPr>
              <w:t>$45.54</w:t>
            </w:r>
          </w:p>
        </w:tc>
        <w:tc>
          <w:tcPr>
            <w:tcW w:w="1350" w:type="dxa"/>
          </w:tcPr>
          <w:p w:rsidRPr="00DE1A97" w:rsidR="00C86713" w:rsidP="00DE1A97" w:rsidRDefault="00CC6CF9" w14:paraId="45655B1A" w14:textId="49F88BED">
            <w:pPr>
              <w:jc w:val="center"/>
              <w:rPr>
                <w:rFonts w:ascii="Times New Roman" w:hAnsi="Times New Roman"/>
                <w:sz w:val="22"/>
                <w:szCs w:val="22"/>
              </w:rPr>
            </w:pPr>
            <w:r w:rsidRPr="00DE1A97">
              <w:rPr>
                <w:rFonts w:ascii="Times New Roman" w:hAnsi="Times New Roman"/>
                <w:sz w:val="22"/>
                <w:szCs w:val="22"/>
              </w:rPr>
              <w:t>$1,82</w:t>
            </w:r>
            <w:r w:rsidR="0054322D">
              <w:rPr>
                <w:rFonts w:ascii="Times New Roman" w:hAnsi="Times New Roman"/>
                <w:sz w:val="22"/>
                <w:szCs w:val="22"/>
              </w:rPr>
              <w:t>2</w:t>
            </w:r>
          </w:p>
        </w:tc>
      </w:tr>
      <w:tr w:rsidRPr="00442E07" w:rsidR="00DE1A97" w:rsidTr="00DE1A97" w14:paraId="45655B39" w14:textId="77777777">
        <w:tc>
          <w:tcPr>
            <w:tcW w:w="2245" w:type="dxa"/>
          </w:tcPr>
          <w:p w:rsidRPr="00DE1A97" w:rsidR="00DE1A97" w:rsidP="00DE1A97" w:rsidRDefault="00DE1A97" w14:paraId="45655B30" w14:textId="77777777">
            <w:pPr>
              <w:rPr>
                <w:rFonts w:ascii="Times New Roman" w:hAnsi="Times New Roman"/>
                <w:b/>
                <w:bCs/>
                <w:szCs w:val="24"/>
              </w:rPr>
            </w:pPr>
            <w:r w:rsidRPr="00DE1A97">
              <w:rPr>
                <w:rFonts w:ascii="Times New Roman" w:hAnsi="Times New Roman"/>
                <w:b/>
                <w:bCs/>
                <w:sz w:val="20"/>
              </w:rPr>
              <w:t xml:space="preserve">Annualized </w:t>
            </w:r>
            <w:r w:rsidRPr="00DE1A97">
              <w:rPr>
                <w:rFonts w:ascii="Times New Roman" w:hAnsi="Times New Roman"/>
                <w:b/>
                <w:bCs/>
                <w:sz w:val="18"/>
                <w:szCs w:val="18"/>
              </w:rPr>
              <w:t>Totals</w:t>
            </w:r>
          </w:p>
        </w:tc>
        <w:tc>
          <w:tcPr>
            <w:tcW w:w="720" w:type="dxa"/>
          </w:tcPr>
          <w:p w:rsidRPr="00DE1A97" w:rsidR="00DE1A97" w:rsidP="00DE1A97" w:rsidRDefault="00DE1A97" w14:paraId="45655B31" w14:textId="77777777">
            <w:pPr>
              <w:jc w:val="center"/>
              <w:rPr>
                <w:rFonts w:ascii="Times New Roman" w:hAnsi="Times New Roman"/>
                <w:b/>
                <w:bCs/>
                <w:sz w:val="22"/>
                <w:szCs w:val="22"/>
              </w:rPr>
            </w:pPr>
          </w:p>
        </w:tc>
        <w:tc>
          <w:tcPr>
            <w:tcW w:w="900" w:type="dxa"/>
          </w:tcPr>
          <w:p w:rsidRPr="00DE1A97" w:rsidR="00DE1A97" w:rsidP="00DE1A97" w:rsidRDefault="00DE1A97" w14:paraId="45655B32" w14:textId="77777777">
            <w:pPr>
              <w:jc w:val="center"/>
              <w:rPr>
                <w:rFonts w:ascii="Times New Roman" w:hAnsi="Times New Roman"/>
                <w:b/>
                <w:bCs/>
                <w:sz w:val="22"/>
                <w:szCs w:val="22"/>
              </w:rPr>
            </w:pPr>
          </w:p>
        </w:tc>
        <w:tc>
          <w:tcPr>
            <w:tcW w:w="990" w:type="dxa"/>
          </w:tcPr>
          <w:p w:rsidRPr="00DE1A97" w:rsidR="00DE1A97" w:rsidP="00DE1A97" w:rsidRDefault="000B35DE" w14:paraId="45655B33" w14:textId="5813DA2F">
            <w:pPr>
              <w:jc w:val="center"/>
              <w:rPr>
                <w:rFonts w:ascii="Times New Roman" w:hAnsi="Times New Roman"/>
                <w:b/>
                <w:bCs/>
                <w:sz w:val="22"/>
                <w:szCs w:val="22"/>
              </w:rPr>
            </w:pPr>
            <w:r>
              <w:rPr>
                <w:rFonts w:ascii="Times New Roman" w:hAnsi="Times New Roman"/>
                <w:b/>
                <w:bCs/>
                <w:sz w:val="22"/>
                <w:szCs w:val="22"/>
              </w:rPr>
              <w:t>20</w:t>
            </w:r>
          </w:p>
        </w:tc>
        <w:tc>
          <w:tcPr>
            <w:tcW w:w="900" w:type="dxa"/>
          </w:tcPr>
          <w:p w:rsidRPr="00DE1A97" w:rsidR="00DE1A97" w:rsidP="00DE1A97" w:rsidRDefault="00DE1A97" w14:paraId="45655B34" w14:textId="3B168E34">
            <w:pPr>
              <w:jc w:val="center"/>
              <w:rPr>
                <w:rFonts w:ascii="Times New Roman" w:hAnsi="Times New Roman"/>
                <w:b/>
                <w:bCs/>
                <w:sz w:val="22"/>
                <w:szCs w:val="22"/>
              </w:rPr>
            </w:pPr>
            <w:r w:rsidRPr="00DE1A97">
              <w:rPr>
                <w:rFonts w:ascii="Times New Roman" w:hAnsi="Times New Roman"/>
                <w:b/>
                <w:bCs/>
                <w:sz w:val="22"/>
                <w:szCs w:val="22"/>
              </w:rPr>
              <w:t>1</w:t>
            </w:r>
          </w:p>
        </w:tc>
        <w:tc>
          <w:tcPr>
            <w:tcW w:w="1800" w:type="dxa"/>
          </w:tcPr>
          <w:p w:rsidRPr="00DE1A97" w:rsidR="00DE1A97" w:rsidP="00DE1A97" w:rsidRDefault="00DE1A97" w14:paraId="45655B35" w14:textId="77777777">
            <w:pPr>
              <w:jc w:val="center"/>
              <w:rPr>
                <w:rFonts w:ascii="Times New Roman" w:hAnsi="Times New Roman"/>
                <w:b/>
                <w:bCs/>
                <w:sz w:val="22"/>
                <w:szCs w:val="22"/>
              </w:rPr>
            </w:pPr>
          </w:p>
        </w:tc>
        <w:tc>
          <w:tcPr>
            <w:tcW w:w="900" w:type="dxa"/>
          </w:tcPr>
          <w:p w:rsidRPr="00DE1A97" w:rsidR="00DE1A97" w:rsidP="00DE1A97" w:rsidRDefault="00DE1A97" w14:paraId="45655B36" w14:textId="1C998A59">
            <w:pPr>
              <w:jc w:val="center"/>
              <w:rPr>
                <w:rFonts w:ascii="Times New Roman" w:hAnsi="Times New Roman"/>
                <w:b/>
                <w:bCs/>
                <w:sz w:val="22"/>
                <w:szCs w:val="22"/>
              </w:rPr>
            </w:pPr>
            <w:r w:rsidRPr="00DE1A97">
              <w:rPr>
                <w:rFonts w:ascii="Times New Roman" w:hAnsi="Times New Roman"/>
                <w:b/>
                <w:bCs/>
                <w:sz w:val="22"/>
                <w:szCs w:val="22"/>
              </w:rPr>
              <w:t>120</w:t>
            </w:r>
          </w:p>
        </w:tc>
        <w:tc>
          <w:tcPr>
            <w:tcW w:w="1080" w:type="dxa"/>
          </w:tcPr>
          <w:p w:rsidRPr="00DE1A97" w:rsidR="00DE1A97" w:rsidP="00DE1A97" w:rsidRDefault="00DE1A97" w14:paraId="45655B37" w14:textId="77777777">
            <w:pPr>
              <w:jc w:val="center"/>
              <w:rPr>
                <w:rFonts w:ascii="Times New Roman" w:hAnsi="Times New Roman"/>
                <w:b/>
                <w:bCs/>
                <w:sz w:val="22"/>
                <w:szCs w:val="22"/>
              </w:rPr>
            </w:pPr>
          </w:p>
        </w:tc>
        <w:tc>
          <w:tcPr>
            <w:tcW w:w="1350" w:type="dxa"/>
          </w:tcPr>
          <w:p w:rsidRPr="00DE1A97" w:rsidR="00DE1A97" w:rsidP="00DE1A97" w:rsidRDefault="00DE1A97" w14:paraId="45655B38" w14:textId="713894B7">
            <w:pPr>
              <w:jc w:val="center"/>
              <w:rPr>
                <w:rFonts w:ascii="Times New Roman" w:hAnsi="Times New Roman"/>
                <w:b/>
                <w:bCs/>
                <w:sz w:val="22"/>
                <w:szCs w:val="22"/>
              </w:rPr>
            </w:pPr>
            <w:r w:rsidRPr="00DE1A97">
              <w:rPr>
                <w:rFonts w:ascii="Times New Roman" w:hAnsi="Times New Roman"/>
                <w:b/>
                <w:bCs/>
                <w:sz w:val="22"/>
                <w:szCs w:val="22"/>
              </w:rPr>
              <w:t>$5,46</w:t>
            </w:r>
            <w:r w:rsidR="0054322D">
              <w:rPr>
                <w:rFonts w:ascii="Times New Roman" w:hAnsi="Times New Roman"/>
                <w:b/>
                <w:bCs/>
                <w:sz w:val="22"/>
                <w:szCs w:val="22"/>
              </w:rPr>
              <w:t>5</w:t>
            </w:r>
          </w:p>
        </w:tc>
      </w:tr>
    </w:tbl>
    <w:p w:rsidR="001A6AE0" w:rsidP="000446F5" w:rsidRDefault="001A6AE0" w14:paraId="45655B3A"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5655B3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5655B3C"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5655B3D"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5655B3E" w14:textId="77777777">
      <w:pPr>
        <w:tabs>
          <w:tab w:val="left" w:pos="-720"/>
        </w:tabs>
        <w:suppressAutoHyphens/>
        <w:rPr>
          <w:rFonts w:ascii="Times New Roman" w:hAnsi="Times New Roman"/>
          <w:b/>
          <w:szCs w:val="24"/>
        </w:rPr>
      </w:pPr>
    </w:p>
    <w:p w:rsidRPr="00ED7195" w:rsidR="00043C32" w:rsidP="00AD381B" w:rsidRDefault="00043C32" w14:paraId="45655B3F"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45655B40"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5655B4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45655B4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5655B4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5655B44" w14:textId="77777777">
      <w:pPr>
        <w:tabs>
          <w:tab w:val="left" w:pos="-720"/>
        </w:tabs>
        <w:suppressAutoHyphens/>
        <w:rPr>
          <w:rFonts w:ascii="Times New Roman" w:hAnsi="Times New Roman"/>
          <w:b/>
          <w:szCs w:val="24"/>
        </w:rPr>
      </w:pPr>
    </w:p>
    <w:p w:rsidRPr="00ED7195" w:rsidR="00043C32" w:rsidP="00AD381B" w:rsidRDefault="00043C32" w14:paraId="45655B4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5655B46"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45655B4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4A1BD2" w14:paraId="45655B48" w14:textId="276EC2A4">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p>
    <w:p w:rsidRPr="004A1BD2" w:rsidR="004A1BD2" w:rsidP="004A1BD2" w:rsidRDefault="004A1BD2" w14:paraId="47B629DC" w14:textId="77777777">
      <w:pPr>
        <w:tabs>
          <w:tab w:val="left" w:pos="-720"/>
        </w:tabs>
        <w:suppressAutoHyphens/>
        <w:rPr>
          <w:rFonts w:ascii="Times New Roman" w:hAnsi="Times New Roman"/>
          <w:szCs w:val="24"/>
        </w:rPr>
      </w:pPr>
      <w:r>
        <w:rPr>
          <w:rFonts w:ascii="Times New Roman" w:hAnsi="Times New Roman"/>
          <w:szCs w:val="24"/>
        </w:rPr>
        <w:tab/>
      </w:r>
    </w:p>
    <w:p w:rsidRPr="004A1BD2" w:rsidR="004A1BD2" w:rsidP="004A1BD2" w:rsidRDefault="004A1BD2" w14:paraId="3270BFAE" w14:textId="77777777">
      <w:pPr>
        <w:tabs>
          <w:tab w:val="left" w:pos="-720"/>
        </w:tabs>
        <w:suppressAutoHyphens/>
        <w:ind w:left="630"/>
        <w:rPr>
          <w:rFonts w:ascii="Times New Roman" w:hAnsi="Times New Roman"/>
          <w:szCs w:val="24"/>
        </w:rPr>
      </w:pPr>
      <w:r w:rsidRPr="004A1BD2">
        <w:rPr>
          <w:rFonts w:ascii="Times New Roman" w:hAnsi="Times New Roman"/>
          <w:szCs w:val="24"/>
        </w:rPr>
        <w:t>There are no direct costs to respondents beyond their time to complete the application as documented in question 12 above.</w:t>
      </w:r>
    </w:p>
    <w:p w:rsidR="004A1BD2" w:rsidP="00AD381B" w:rsidRDefault="004A1BD2" w14:paraId="5F2DC64C" w14:textId="2A763920">
      <w:pPr>
        <w:tabs>
          <w:tab w:val="left" w:pos="-720"/>
        </w:tabs>
        <w:suppressAutoHyphens/>
        <w:rPr>
          <w:rFonts w:ascii="Times New Roman" w:hAnsi="Times New Roman"/>
          <w:szCs w:val="24"/>
        </w:rPr>
      </w:pPr>
    </w:p>
    <w:p w:rsidR="004A1BD2" w:rsidP="00AD381B" w:rsidRDefault="004A1BD2" w14:paraId="2C222A60" w14:textId="77777777">
      <w:pPr>
        <w:tabs>
          <w:tab w:val="left" w:pos="-720"/>
        </w:tabs>
        <w:suppressAutoHyphens/>
        <w:rPr>
          <w:rFonts w:ascii="Times New Roman" w:hAnsi="Times New Roman"/>
          <w:szCs w:val="24"/>
        </w:rPr>
      </w:pPr>
    </w:p>
    <w:p w:rsidRPr="00534B4A" w:rsidR="00043C32" w:rsidP="00AD381B" w:rsidRDefault="00043C32" w14:paraId="45655B4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45655B4A" w14:textId="28973017">
      <w:pPr>
        <w:tabs>
          <w:tab w:val="left" w:pos="-720"/>
        </w:tabs>
        <w:suppressAutoHyphens/>
        <w:rPr>
          <w:rFonts w:ascii="Times New Roman" w:hAnsi="Times New Roman"/>
          <w:szCs w:val="24"/>
        </w:rPr>
      </w:pPr>
    </w:p>
    <w:p w:rsidRPr="00380761" w:rsidR="00380761" w:rsidP="00380761" w:rsidRDefault="00380761" w14:paraId="123CE536" w14:textId="42F21438">
      <w:pPr>
        <w:tabs>
          <w:tab w:val="left" w:pos="-720"/>
        </w:tabs>
        <w:suppressAutoHyphens/>
        <w:ind w:left="900"/>
        <w:rPr>
          <w:rFonts w:ascii="Times New Roman" w:hAnsi="Times New Roman"/>
          <w:szCs w:val="24"/>
        </w:rPr>
      </w:pPr>
      <w:r w:rsidRPr="00380761">
        <w:rPr>
          <w:rFonts w:ascii="Times New Roman" w:hAnsi="Times New Roman"/>
          <w:szCs w:val="24"/>
        </w:rPr>
        <w:t>The Federal costs will involve</w:t>
      </w:r>
      <w:r>
        <w:rPr>
          <w:rFonts w:ascii="Times New Roman" w:hAnsi="Times New Roman"/>
          <w:szCs w:val="24"/>
        </w:rPr>
        <w:t xml:space="preserve"> </w:t>
      </w:r>
      <w:r w:rsidRPr="00380761">
        <w:rPr>
          <w:rFonts w:ascii="Times New Roman" w:hAnsi="Times New Roman"/>
          <w:szCs w:val="24"/>
        </w:rPr>
        <w:t xml:space="preserve">planning and scheduling; development, dissemination of materials promoting the </w:t>
      </w:r>
      <w:r>
        <w:rPr>
          <w:rFonts w:ascii="Times New Roman" w:hAnsi="Times New Roman"/>
          <w:szCs w:val="24"/>
        </w:rPr>
        <w:t>application</w:t>
      </w:r>
      <w:r w:rsidRPr="00380761">
        <w:rPr>
          <w:rFonts w:ascii="Times New Roman" w:hAnsi="Times New Roman"/>
          <w:szCs w:val="24"/>
        </w:rPr>
        <w:t>; overseeing application collection; application review and reporting; progress reporting</w:t>
      </w:r>
      <w:r>
        <w:rPr>
          <w:rFonts w:ascii="Times New Roman" w:hAnsi="Times New Roman"/>
          <w:szCs w:val="24"/>
        </w:rPr>
        <w:t xml:space="preserve"> and dissemination </w:t>
      </w:r>
      <w:proofErr w:type="gramStart"/>
      <w:r>
        <w:rPr>
          <w:rFonts w:ascii="Times New Roman" w:hAnsi="Times New Roman"/>
          <w:szCs w:val="24"/>
        </w:rPr>
        <w:t xml:space="preserve">of </w:t>
      </w:r>
      <w:r w:rsidR="00CD582F">
        <w:rPr>
          <w:rFonts w:ascii="Times New Roman" w:hAnsi="Times New Roman"/>
          <w:szCs w:val="24"/>
        </w:rPr>
        <w:t xml:space="preserve"> identified</w:t>
      </w:r>
      <w:proofErr w:type="gramEnd"/>
      <w:r>
        <w:rPr>
          <w:rFonts w:ascii="Times New Roman" w:hAnsi="Times New Roman"/>
          <w:szCs w:val="24"/>
        </w:rPr>
        <w:t xml:space="preserve"> promising practices</w:t>
      </w:r>
      <w:r w:rsidRPr="00380761">
        <w:rPr>
          <w:rFonts w:ascii="Times New Roman" w:hAnsi="Times New Roman"/>
          <w:szCs w:val="24"/>
        </w:rPr>
        <w:t>.</w:t>
      </w:r>
      <w:r w:rsidR="00CD582F">
        <w:rPr>
          <w:rFonts w:ascii="Times New Roman" w:hAnsi="Times New Roman"/>
          <w:szCs w:val="24"/>
        </w:rPr>
        <w:t xml:space="preserve"> </w:t>
      </w:r>
      <w:r w:rsidRPr="00380761">
        <w:rPr>
          <w:rFonts w:ascii="Times New Roman" w:hAnsi="Times New Roman"/>
          <w:szCs w:val="24"/>
        </w:rPr>
        <w:t>The Department estimates that conducting these activities will require the following for each of the three years that competitions will be carried out:</w:t>
      </w:r>
    </w:p>
    <w:p w:rsidR="00380761" w:rsidP="00380761" w:rsidRDefault="00380761" w14:paraId="4531FE1E" w14:textId="774E0148">
      <w:pPr>
        <w:tabs>
          <w:tab w:val="left" w:pos="-720"/>
        </w:tabs>
        <w:suppressAutoHyphens/>
        <w:ind w:left="900"/>
        <w:rPr>
          <w:rFonts w:ascii="Times New Roman" w:hAnsi="Times New Roman"/>
          <w:szCs w:val="24"/>
        </w:rPr>
      </w:pPr>
    </w:p>
    <w:tbl>
      <w:tblPr>
        <w:tblW w:w="7820" w:type="dxa"/>
        <w:tblInd w:w="890" w:type="dxa"/>
        <w:tblLook w:val="04A0" w:firstRow="1" w:lastRow="0" w:firstColumn="1" w:lastColumn="0" w:noHBand="0" w:noVBand="1"/>
      </w:tblPr>
      <w:tblGrid>
        <w:gridCol w:w="1890"/>
        <w:gridCol w:w="1980"/>
        <w:gridCol w:w="1890"/>
        <w:gridCol w:w="2060"/>
      </w:tblGrid>
      <w:tr w:rsidRPr="00CD582F" w:rsidR="00CD582F" w:rsidTr="00CD582F" w14:paraId="1675A4CC" w14:textId="77777777">
        <w:trPr>
          <w:cantSplit/>
          <w:trHeight w:val="731"/>
        </w:trPr>
        <w:tc>
          <w:tcPr>
            <w:tcW w:w="189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D582F" w:rsidR="00CD582F" w:rsidP="00CD582F" w:rsidRDefault="00CD582F" w14:paraId="4D2A84D7" w14:textId="77777777">
            <w:pPr>
              <w:jc w:val="center"/>
              <w:rPr>
                <w:rFonts w:ascii="Times New Roman" w:hAnsi="Times New Roman"/>
                <w:b/>
                <w:bCs/>
                <w:color w:val="000000"/>
                <w:szCs w:val="24"/>
              </w:rPr>
            </w:pPr>
            <w:r w:rsidRPr="00CD582F">
              <w:rPr>
                <w:rFonts w:ascii="Times New Roman" w:hAnsi="Times New Roman"/>
                <w:b/>
                <w:bCs/>
                <w:color w:val="000000"/>
                <w:szCs w:val="24"/>
              </w:rPr>
              <w:t>Federal Staff</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Pr="00CD582F" w:rsidR="00CD582F" w:rsidP="00CD582F" w:rsidRDefault="00CD582F" w14:paraId="7337160D" w14:textId="77777777">
            <w:pPr>
              <w:jc w:val="center"/>
              <w:rPr>
                <w:rFonts w:ascii="Times New Roman" w:hAnsi="Times New Roman"/>
                <w:b/>
                <w:bCs/>
                <w:color w:val="000000"/>
                <w:szCs w:val="24"/>
              </w:rPr>
            </w:pPr>
            <w:r w:rsidRPr="00CD582F">
              <w:rPr>
                <w:rFonts w:ascii="Times New Roman" w:hAnsi="Times New Roman"/>
                <w:b/>
                <w:bCs/>
                <w:color w:val="000000"/>
                <w:szCs w:val="24"/>
              </w:rPr>
              <w:t>Estimated Hours Required</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CD582F" w:rsidR="00CD582F" w:rsidP="00CD582F" w:rsidRDefault="00CD582F" w14:paraId="2355EAC8" w14:textId="77777777">
            <w:pPr>
              <w:jc w:val="center"/>
              <w:rPr>
                <w:rFonts w:ascii="Times New Roman" w:hAnsi="Times New Roman"/>
                <w:b/>
                <w:bCs/>
                <w:color w:val="000000"/>
                <w:szCs w:val="24"/>
              </w:rPr>
            </w:pPr>
            <w:r w:rsidRPr="00CD582F">
              <w:rPr>
                <w:rFonts w:ascii="Times New Roman" w:hAnsi="Times New Roman"/>
                <w:b/>
                <w:bCs/>
                <w:color w:val="000000"/>
                <w:szCs w:val="24"/>
              </w:rPr>
              <w:t>Rate</w:t>
            </w:r>
          </w:p>
        </w:tc>
        <w:tc>
          <w:tcPr>
            <w:tcW w:w="2060" w:type="dxa"/>
            <w:tcBorders>
              <w:top w:val="single" w:color="auto" w:sz="8" w:space="0"/>
              <w:left w:val="nil"/>
              <w:bottom w:val="single" w:color="auto" w:sz="8" w:space="0"/>
              <w:right w:val="single" w:color="auto" w:sz="8" w:space="0"/>
            </w:tcBorders>
            <w:shd w:val="clear" w:color="auto" w:fill="auto"/>
            <w:vAlign w:val="center"/>
            <w:hideMark/>
          </w:tcPr>
          <w:p w:rsidRPr="00CD582F" w:rsidR="00CD582F" w:rsidP="00CD582F" w:rsidRDefault="00CD582F" w14:paraId="321CD073" w14:textId="3FED6B59">
            <w:pPr>
              <w:jc w:val="center"/>
              <w:rPr>
                <w:rFonts w:ascii="Times New Roman" w:hAnsi="Times New Roman"/>
                <w:b/>
                <w:bCs/>
                <w:color w:val="000000"/>
                <w:szCs w:val="24"/>
              </w:rPr>
            </w:pPr>
            <w:r w:rsidRPr="00CD582F">
              <w:rPr>
                <w:rFonts w:ascii="Times New Roman" w:hAnsi="Times New Roman"/>
                <w:b/>
                <w:bCs/>
                <w:color w:val="000000"/>
                <w:szCs w:val="24"/>
              </w:rPr>
              <w:t>Estimated Annual Cost</w:t>
            </w:r>
            <w:r w:rsidR="0054322D">
              <w:rPr>
                <w:rFonts w:ascii="Times New Roman" w:hAnsi="Times New Roman"/>
                <w:b/>
                <w:bCs/>
                <w:color w:val="000000"/>
                <w:szCs w:val="24"/>
              </w:rPr>
              <w:t>, rounded to dollar</w:t>
            </w:r>
          </w:p>
        </w:tc>
      </w:tr>
      <w:tr w:rsidRPr="00CD582F" w:rsidR="00CD582F" w:rsidTr="00CD582F" w14:paraId="20E5704F" w14:textId="77777777">
        <w:trPr>
          <w:cantSplit/>
          <w:trHeight w:val="295"/>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CD582F" w:rsidR="00CD582F" w:rsidP="00CD582F" w:rsidRDefault="00CD582F" w14:paraId="3A3FD17E" w14:textId="77777777">
            <w:pPr>
              <w:jc w:val="center"/>
              <w:rPr>
                <w:rFonts w:ascii="Times New Roman" w:hAnsi="Times New Roman"/>
                <w:color w:val="000000"/>
                <w:szCs w:val="24"/>
              </w:rPr>
            </w:pPr>
            <w:r w:rsidRPr="00CD582F">
              <w:rPr>
                <w:rFonts w:ascii="Times New Roman" w:hAnsi="Times New Roman"/>
                <w:color w:val="000000"/>
                <w:szCs w:val="24"/>
              </w:rPr>
              <w:t>Grade 13</w:t>
            </w:r>
          </w:p>
        </w:tc>
        <w:tc>
          <w:tcPr>
            <w:tcW w:w="1980" w:type="dxa"/>
            <w:tcBorders>
              <w:top w:val="nil"/>
              <w:left w:val="nil"/>
              <w:bottom w:val="single" w:color="auto" w:sz="8" w:space="0"/>
              <w:right w:val="single" w:color="auto" w:sz="8" w:space="0"/>
            </w:tcBorders>
            <w:shd w:val="clear" w:color="auto" w:fill="auto"/>
            <w:vAlign w:val="center"/>
            <w:hideMark/>
          </w:tcPr>
          <w:p w:rsidRPr="00CD582F" w:rsidR="00CD582F" w:rsidP="00CD582F" w:rsidRDefault="00CD582F" w14:paraId="3D54AF22" w14:textId="77777777">
            <w:pPr>
              <w:jc w:val="center"/>
              <w:rPr>
                <w:rFonts w:ascii="Times New Roman" w:hAnsi="Times New Roman"/>
                <w:color w:val="000000"/>
                <w:szCs w:val="24"/>
              </w:rPr>
            </w:pPr>
            <w:r w:rsidRPr="00CD582F">
              <w:rPr>
                <w:rFonts w:ascii="Times New Roman" w:hAnsi="Times New Roman"/>
                <w:color w:val="000000"/>
                <w:szCs w:val="24"/>
              </w:rPr>
              <w:t>100</w:t>
            </w:r>
          </w:p>
        </w:tc>
        <w:tc>
          <w:tcPr>
            <w:tcW w:w="1890" w:type="dxa"/>
            <w:tcBorders>
              <w:top w:val="nil"/>
              <w:left w:val="nil"/>
              <w:bottom w:val="single" w:color="auto" w:sz="8" w:space="0"/>
              <w:right w:val="single" w:color="auto" w:sz="8" w:space="0"/>
            </w:tcBorders>
            <w:shd w:val="clear" w:color="auto" w:fill="auto"/>
            <w:noWrap/>
            <w:vAlign w:val="center"/>
            <w:hideMark/>
          </w:tcPr>
          <w:p w:rsidRPr="00CD582F" w:rsidR="00CD582F" w:rsidP="00CD582F" w:rsidRDefault="00CD582F" w14:paraId="74CF7574" w14:textId="77777777">
            <w:pPr>
              <w:jc w:val="center"/>
              <w:rPr>
                <w:rFonts w:ascii="Times New Roman" w:hAnsi="Times New Roman"/>
                <w:color w:val="000000"/>
                <w:szCs w:val="24"/>
              </w:rPr>
            </w:pPr>
            <w:r w:rsidRPr="00CD582F">
              <w:rPr>
                <w:rFonts w:ascii="Times New Roman" w:hAnsi="Times New Roman"/>
                <w:color w:val="000000"/>
                <w:szCs w:val="24"/>
              </w:rPr>
              <w:t xml:space="preserve">$63.13 </w:t>
            </w:r>
          </w:p>
        </w:tc>
        <w:tc>
          <w:tcPr>
            <w:tcW w:w="2060" w:type="dxa"/>
            <w:tcBorders>
              <w:top w:val="nil"/>
              <w:left w:val="nil"/>
              <w:bottom w:val="single" w:color="auto" w:sz="8" w:space="0"/>
              <w:right w:val="single" w:color="auto" w:sz="8" w:space="0"/>
            </w:tcBorders>
            <w:shd w:val="clear" w:color="auto" w:fill="auto"/>
            <w:vAlign w:val="center"/>
            <w:hideMark/>
          </w:tcPr>
          <w:p w:rsidRPr="00CD582F" w:rsidR="00CD582F" w:rsidP="00CD582F" w:rsidRDefault="00CD582F" w14:paraId="55D9D5A1" w14:textId="77777777">
            <w:pPr>
              <w:jc w:val="center"/>
              <w:rPr>
                <w:rFonts w:ascii="Times New Roman" w:hAnsi="Times New Roman"/>
                <w:color w:val="000000"/>
                <w:szCs w:val="24"/>
              </w:rPr>
            </w:pPr>
            <w:r w:rsidRPr="00CD582F">
              <w:rPr>
                <w:rFonts w:ascii="Times New Roman" w:hAnsi="Times New Roman"/>
                <w:color w:val="000000"/>
                <w:szCs w:val="24"/>
              </w:rPr>
              <w:t xml:space="preserve">$6,313 </w:t>
            </w:r>
          </w:p>
        </w:tc>
      </w:tr>
      <w:tr w:rsidRPr="00CD582F" w:rsidR="00CD582F" w:rsidTr="00CD582F" w14:paraId="57B45FA6" w14:textId="77777777">
        <w:trPr>
          <w:cantSplit/>
          <w:trHeight w:val="295"/>
        </w:trPr>
        <w:tc>
          <w:tcPr>
            <w:tcW w:w="1890" w:type="dxa"/>
            <w:tcBorders>
              <w:top w:val="nil"/>
              <w:left w:val="single" w:color="auto" w:sz="8" w:space="0"/>
              <w:bottom w:val="single" w:color="auto" w:sz="8" w:space="0"/>
              <w:right w:val="single" w:color="auto" w:sz="8" w:space="0"/>
            </w:tcBorders>
            <w:shd w:val="clear" w:color="auto" w:fill="auto"/>
            <w:vAlign w:val="center"/>
            <w:hideMark/>
          </w:tcPr>
          <w:p w:rsidRPr="00CD582F" w:rsidR="00CD582F" w:rsidP="00CD582F" w:rsidRDefault="00CD582F" w14:paraId="1D1252FB" w14:textId="77777777">
            <w:pPr>
              <w:jc w:val="center"/>
              <w:rPr>
                <w:rFonts w:ascii="Times New Roman" w:hAnsi="Times New Roman"/>
                <w:color w:val="000000"/>
                <w:szCs w:val="24"/>
              </w:rPr>
            </w:pPr>
            <w:r w:rsidRPr="00CD582F">
              <w:rPr>
                <w:rFonts w:ascii="Times New Roman" w:hAnsi="Times New Roman"/>
                <w:color w:val="000000"/>
                <w:szCs w:val="24"/>
              </w:rPr>
              <w:t>Grade 14</w:t>
            </w:r>
          </w:p>
        </w:tc>
        <w:tc>
          <w:tcPr>
            <w:tcW w:w="1980" w:type="dxa"/>
            <w:tcBorders>
              <w:top w:val="nil"/>
              <w:left w:val="nil"/>
              <w:bottom w:val="single" w:color="auto" w:sz="8" w:space="0"/>
              <w:right w:val="single" w:color="auto" w:sz="8" w:space="0"/>
            </w:tcBorders>
            <w:shd w:val="clear" w:color="auto" w:fill="auto"/>
            <w:vAlign w:val="center"/>
            <w:hideMark/>
          </w:tcPr>
          <w:p w:rsidRPr="00CD582F" w:rsidR="00CD582F" w:rsidP="00CD582F" w:rsidRDefault="00CD582F" w14:paraId="63061736" w14:textId="77777777">
            <w:pPr>
              <w:jc w:val="center"/>
              <w:rPr>
                <w:rFonts w:ascii="Times New Roman" w:hAnsi="Times New Roman"/>
                <w:color w:val="000000"/>
                <w:szCs w:val="24"/>
              </w:rPr>
            </w:pPr>
            <w:r w:rsidRPr="00CD582F">
              <w:rPr>
                <w:rFonts w:ascii="Times New Roman" w:hAnsi="Times New Roman"/>
                <w:color w:val="000000"/>
                <w:szCs w:val="24"/>
              </w:rPr>
              <w:t>60</w:t>
            </w:r>
          </w:p>
        </w:tc>
        <w:tc>
          <w:tcPr>
            <w:tcW w:w="1890" w:type="dxa"/>
            <w:tcBorders>
              <w:top w:val="nil"/>
              <w:left w:val="nil"/>
              <w:bottom w:val="single" w:color="auto" w:sz="8" w:space="0"/>
              <w:right w:val="single" w:color="auto" w:sz="8" w:space="0"/>
            </w:tcBorders>
            <w:shd w:val="clear" w:color="auto" w:fill="auto"/>
            <w:noWrap/>
            <w:vAlign w:val="center"/>
            <w:hideMark/>
          </w:tcPr>
          <w:p w:rsidRPr="00CD582F" w:rsidR="00CD582F" w:rsidP="00CD582F" w:rsidRDefault="00CD582F" w14:paraId="7BB55D03" w14:textId="77777777">
            <w:pPr>
              <w:jc w:val="center"/>
              <w:rPr>
                <w:rFonts w:ascii="Times New Roman" w:hAnsi="Times New Roman"/>
                <w:color w:val="000000"/>
                <w:szCs w:val="24"/>
              </w:rPr>
            </w:pPr>
            <w:r w:rsidRPr="00CD582F">
              <w:rPr>
                <w:rFonts w:ascii="Times New Roman" w:hAnsi="Times New Roman"/>
                <w:color w:val="000000"/>
                <w:szCs w:val="24"/>
              </w:rPr>
              <w:t xml:space="preserve">$72.58 </w:t>
            </w:r>
          </w:p>
        </w:tc>
        <w:tc>
          <w:tcPr>
            <w:tcW w:w="2060" w:type="dxa"/>
            <w:tcBorders>
              <w:top w:val="nil"/>
              <w:left w:val="nil"/>
              <w:bottom w:val="single" w:color="auto" w:sz="8" w:space="0"/>
              <w:right w:val="single" w:color="auto" w:sz="8" w:space="0"/>
            </w:tcBorders>
            <w:shd w:val="clear" w:color="auto" w:fill="auto"/>
            <w:vAlign w:val="center"/>
            <w:hideMark/>
          </w:tcPr>
          <w:p w:rsidRPr="00CD582F" w:rsidR="00CD582F" w:rsidP="00CD582F" w:rsidRDefault="00CD582F" w14:paraId="77BE3997" w14:textId="77777777">
            <w:pPr>
              <w:jc w:val="center"/>
              <w:rPr>
                <w:rFonts w:ascii="Times New Roman" w:hAnsi="Times New Roman"/>
                <w:color w:val="000000"/>
                <w:szCs w:val="24"/>
              </w:rPr>
            </w:pPr>
            <w:r w:rsidRPr="00CD582F">
              <w:rPr>
                <w:rFonts w:ascii="Times New Roman" w:hAnsi="Times New Roman"/>
                <w:color w:val="000000"/>
                <w:szCs w:val="24"/>
              </w:rPr>
              <w:t xml:space="preserve">$4,355 </w:t>
            </w:r>
          </w:p>
        </w:tc>
      </w:tr>
      <w:tr w:rsidRPr="00CD582F" w:rsidR="00CD582F" w:rsidTr="00CD582F" w14:paraId="26BA25BD" w14:textId="77777777">
        <w:trPr>
          <w:cantSplit/>
          <w:trHeight w:val="150"/>
        </w:trPr>
        <w:tc>
          <w:tcPr>
            <w:tcW w:w="576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CD582F" w:rsidR="00CD582F" w:rsidP="00CD582F" w:rsidRDefault="00CD582F" w14:paraId="3DC63EA5" w14:textId="77777777">
            <w:pPr>
              <w:jc w:val="center"/>
              <w:rPr>
                <w:rFonts w:ascii="Times New Roman" w:hAnsi="Times New Roman"/>
                <w:b/>
                <w:bCs/>
                <w:color w:val="000000"/>
                <w:szCs w:val="24"/>
              </w:rPr>
            </w:pPr>
            <w:r w:rsidRPr="00CD582F">
              <w:rPr>
                <w:rFonts w:ascii="Times New Roman" w:hAnsi="Times New Roman"/>
                <w:b/>
                <w:bCs/>
                <w:color w:val="000000"/>
                <w:szCs w:val="24"/>
              </w:rPr>
              <w:t>Annualized Total</w:t>
            </w:r>
          </w:p>
        </w:tc>
        <w:tc>
          <w:tcPr>
            <w:tcW w:w="2060" w:type="dxa"/>
            <w:tcBorders>
              <w:top w:val="nil"/>
              <w:left w:val="nil"/>
              <w:bottom w:val="single" w:color="auto" w:sz="8" w:space="0"/>
              <w:right w:val="single" w:color="auto" w:sz="8" w:space="0"/>
            </w:tcBorders>
            <w:shd w:val="clear" w:color="auto" w:fill="auto"/>
            <w:vAlign w:val="center"/>
            <w:hideMark/>
          </w:tcPr>
          <w:p w:rsidRPr="00CD582F" w:rsidR="00CD582F" w:rsidP="00CD582F" w:rsidRDefault="00CD582F" w14:paraId="795E0386" w14:textId="77777777">
            <w:pPr>
              <w:jc w:val="center"/>
              <w:rPr>
                <w:rFonts w:ascii="Times New Roman" w:hAnsi="Times New Roman"/>
                <w:b/>
                <w:bCs/>
                <w:color w:val="000000"/>
                <w:szCs w:val="24"/>
              </w:rPr>
            </w:pPr>
            <w:r w:rsidRPr="00CD582F">
              <w:rPr>
                <w:rFonts w:ascii="Times New Roman" w:hAnsi="Times New Roman"/>
                <w:b/>
                <w:bCs/>
                <w:color w:val="000000"/>
                <w:szCs w:val="24"/>
              </w:rPr>
              <w:t xml:space="preserve">$10,668 </w:t>
            </w:r>
          </w:p>
        </w:tc>
      </w:tr>
    </w:tbl>
    <w:p w:rsidRPr="00380761" w:rsidR="00380761" w:rsidP="00CD582F" w:rsidRDefault="00380761" w14:paraId="34DD05D9" w14:textId="1D074AB9">
      <w:pPr>
        <w:tabs>
          <w:tab w:val="left" w:pos="-720"/>
        </w:tabs>
        <w:suppressAutoHyphens/>
        <w:rPr>
          <w:rFonts w:ascii="Times New Roman" w:hAnsi="Times New Roman"/>
          <w:szCs w:val="24"/>
        </w:rPr>
      </w:pPr>
      <w:r w:rsidRPr="00380761">
        <w:rPr>
          <w:rFonts w:ascii="Times New Roman" w:hAnsi="Times New Roman"/>
          <w:szCs w:val="24"/>
        </w:rPr>
        <w:tab/>
      </w:r>
      <w:r w:rsidRPr="00380761">
        <w:rPr>
          <w:rFonts w:ascii="Times New Roman" w:hAnsi="Times New Roman"/>
          <w:szCs w:val="24"/>
        </w:rPr>
        <w:tab/>
      </w:r>
      <w:r w:rsidRPr="00380761">
        <w:rPr>
          <w:rFonts w:ascii="Times New Roman" w:hAnsi="Times New Roman"/>
          <w:szCs w:val="24"/>
        </w:rPr>
        <w:tab/>
      </w:r>
    </w:p>
    <w:p w:rsidR="00CD582F" w:rsidP="00CD582F" w:rsidRDefault="00380761" w14:paraId="5CE80167" w14:textId="77777777">
      <w:pPr>
        <w:tabs>
          <w:tab w:val="left" w:pos="-720"/>
        </w:tabs>
        <w:suppressAutoHyphens/>
        <w:ind w:left="900"/>
        <w:rPr>
          <w:rFonts w:ascii="Times New Roman" w:hAnsi="Times New Roman"/>
          <w:szCs w:val="24"/>
        </w:rPr>
      </w:pPr>
      <w:r w:rsidRPr="00380761">
        <w:rPr>
          <w:rFonts w:ascii="Times New Roman" w:hAnsi="Times New Roman"/>
          <w:szCs w:val="24"/>
        </w:rPr>
        <w:t xml:space="preserve">The total cost to the Government over the course of three years is thus anticipated to be </w:t>
      </w:r>
      <w:r w:rsidRPr="00CD582F" w:rsidR="00CD582F">
        <w:rPr>
          <w:rFonts w:ascii="Times New Roman" w:hAnsi="Times New Roman"/>
          <w:szCs w:val="24"/>
        </w:rPr>
        <w:t>$32,003</w:t>
      </w:r>
      <w:r w:rsidRPr="00380761">
        <w:rPr>
          <w:rFonts w:ascii="Times New Roman" w:hAnsi="Times New Roman"/>
          <w:szCs w:val="24"/>
        </w:rPr>
        <w:t>.</w:t>
      </w:r>
    </w:p>
    <w:p w:rsidR="00CD582F" w:rsidP="00CD582F" w:rsidRDefault="00CD582F" w14:paraId="221E97E2" w14:textId="77777777">
      <w:pPr>
        <w:tabs>
          <w:tab w:val="left" w:pos="-720"/>
        </w:tabs>
        <w:suppressAutoHyphens/>
        <w:ind w:left="900"/>
        <w:rPr>
          <w:rFonts w:ascii="Times New Roman" w:hAnsi="Times New Roman"/>
          <w:szCs w:val="24"/>
        </w:rPr>
      </w:pPr>
    </w:p>
    <w:p w:rsidRPr="00B02F72" w:rsidR="00800D30" w:rsidP="00B02F72" w:rsidRDefault="00043C32" w14:paraId="45655B4C" w14:textId="3BB18178">
      <w:pPr>
        <w:pStyle w:val="ListParagraph"/>
        <w:numPr>
          <w:ilvl w:val="0"/>
          <w:numId w:val="5"/>
        </w:numPr>
        <w:tabs>
          <w:tab w:val="left" w:pos="-720"/>
        </w:tabs>
        <w:suppressAutoHyphens/>
        <w:rPr>
          <w:rFonts w:ascii="Times New Roman" w:hAnsi="Times New Roman"/>
          <w:b/>
          <w:szCs w:val="24"/>
        </w:rPr>
      </w:pPr>
      <w:r w:rsidRPr="00B02F72">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B02F72">
        <w:rPr>
          <w:rFonts w:ascii="Times New Roman" w:hAnsi="Times New Roman"/>
          <w:b/>
          <w:szCs w:val="24"/>
        </w:rPr>
        <w:t>responses</w:t>
      </w:r>
      <w:proofErr w:type="gramEnd"/>
      <w:r w:rsidRPr="00B02F72">
        <w:rPr>
          <w:rFonts w:ascii="Times New Roman" w:hAnsi="Times New Roman"/>
          <w:b/>
          <w:szCs w:val="24"/>
        </w:rPr>
        <w:t xml:space="preserve"> and costs (if applicable).</w:t>
      </w:r>
      <w:r w:rsidRPr="00B02F72" w:rsidR="00800D30">
        <w:rPr>
          <w:rFonts w:ascii="Times New Roman" w:hAnsi="Times New Roman"/>
          <w:b/>
          <w:szCs w:val="24"/>
        </w:rPr>
        <w:t xml:space="preserve"> </w:t>
      </w:r>
    </w:p>
    <w:p w:rsidR="00800D30" w:rsidP="00800D30" w:rsidRDefault="00800D30" w14:paraId="45655B4D" w14:textId="77777777">
      <w:pPr>
        <w:pStyle w:val="ListParagraph"/>
        <w:tabs>
          <w:tab w:val="left" w:pos="-720"/>
        </w:tabs>
        <w:suppressAutoHyphens/>
        <w:contextualSpacing w:val="0"/>
        <w:rPr>
          <w:rFonts w:ascii="Times New Roman" w:hAnsi="Times New Roman"/>
          <w:b/>
          <w:szCs w:val="24"/>
        </w:rPr>
      </w:pPr>
    </w:p>
    <w:p w:rsidRPr="00D742D7" w:rsidR="00800D30" w:rsidP="00800D30" w:rsidRDefault="00800D30" w14:paraId="45655B4E" w14:textId="3EEC96A1">
      <w:pPr>
        <w:pStyle w:val="ListParagraph"/>
        <w:tabs>
          <w:tab w:val="left" w:pos="-720"/>
        </w:tabs>
        <w:suppressAutoHyphens/>
        <w:contextualSpacing w:val="0"/>
        <w:rPr>
          <w:rFonts w:ascii="Times New Roman" w:hAnsi="Times New Roman"/>
          <w:b/>
          <w:szCs w:val="24"/>
        </w:rPr>
      </w:pPr>
      <w:r w:rsidRPr="00D742D7">
        <w:rPr>
          <w:rFonts w:ascii="Times New Roman" w:hAnsi="Times New Roman"/>
          <w:b/>
          <w:szCs w:val="24"/>
        </w:rPr>
        <w:t>Provide a descriptive narrative for the reasons of any change in addition to completing the table with the burden hour change(s)</w:t>
      </w:r>
      <w:r w:rsidRPr="00D742D7" w:rsidR="002A3221">
        <w:rPr>
          <w:rFonts w:ascii="Times New Roman" w:hAnsi="Times New Roman"/>
          <w:b/>
          <w:szCs w:val="24"/>
        </w:rPr>
        <w:t xml:space="preserve"> here</w:t>
      </w:r>
      <w:r w:rsidRPr="00D742D7" w:rsidR="00946126">
        <w:rPr>
          <w:rFonts w:ascii="Times New Roman" w:hAnsi="Times New Roman"/>
          <w:b/>
          <w:szCs w:val="24"/>
        </w:rPr>
        <w:t>.</w:t>
      </w:r>
    </w:p>
    <w:p w:rsidR="004A1BD2" w:rsidP="00800D30" w:rsidRDefault="004A1BD2" w14:paraId="155B6DEA" w14:textId="6F947229">
      <w:pPr>
        <w:pStyle w:val="ListParagraph"/>
        <w:tabs>
          <w:tab w:val="left" w:pos="-720"/>
        </w:tabs>
        <w:suppressAutoHyphens/>
        <w:contextualSpacing w:val="0"/>
        <w:rPr>
          <w:rFonts w:ascii="Times New Roman" w:hAnsi="Times New Roman"/>
          <w:b/>
          <w:sz w:val="26"/>
          <w:szCs w:val="26"/>
        </w:rPr>
      </w:pPr>
    </w:p>
    <w:p w:rsidRPr="00D742D7" w:rsidR="004A1BD2" w:rsidP="00800D30" w:rsidRDefault="004A1BD2" w14:paraId="2CEC8C07" w14:textId="074EF202">
      <w:pPr>
        <w:pStyle w:val="ListParagraph"/>
        <w:tabs>
          <w:tab w:val="left" w:pos="-720"/>
        </w:tabs>
        <w:suppressAutoHyphens/>
        <w:contextualSpacing w:val="0"/>
        <w:rPr>
          <w:rFonts w:ascii="Times New Roman" w:hAnsi="Times New Roman"/>
          <w:bCs/>
          <w:sz w:val="22"/>
          <w:szCs w:val="22"/>
        </w:rPr>
      </w:pPr>
      <w:r w:rsidRPr="00D742D7">
        <w:rPr>
          <w:rFonts w:ascii="Times New Roman" w:hAnsi="Times New Roman"/>
          <w:bCs/>
          <w:sz w:val="22"/>
          <w:szCs w:val="22"/>
        </w:rPr>
        <w:t xml:space="preserve">The burden for this collection increased by </w:t>
      </w:r>
      <w:r w:rsidR="0054322D">
        <w:rPr>
          <w:rFonts w:ascii="Times New Roman" w:hAnsi="Times New Roman"/>
          <w:bCs/>
          <w:sz w:val="22"/>
          <w:szCs w:val="22"/>
        </w:rPr>
        <w:t>10</w:t>
      </w:r>
      <w:r w:rsidRPr="00D742D7">
        <w:rPr>
          <w:rFonts w:ascii="Times New Roman" w:hAnsi="Times New Roman"/>
          <w:bCs/>
          <w:sz w:val="22"/>
          <w:szCs w:val="22"/>
        </w:rPr>
        <w:t xml:space="preserve"> hours. In the previous request, OCTAE anticipated that there would be 15 respondents in the first year and 20 respondents in subsequent years</w:t>
      </w:r>
      <w:r w:rsidR="00A84AA1">
        <w:rPr>
          <w:rFonts w:ascii="Times New Roman" w:hAnsi="Times New Roman"/>
          <w:bCs/>
          <w:sz w:val="22"/>
          <w:szCs w:val="22"/>
        </w:rPr>
        <w:t>, for an average of 18 respondents</w:t>
      </w:r>
      <w:r w:rsidRPr="00D742D7">
        <w:rPr>
          <w:rFonts w:ascii="Times New Roman" w:hAnsi="Times New Roman"/>
          <w:bCs/>
          <w:sz w:val="22"/>
          <w:szCs w:val="22"/>
        </w:rPr>
        <w:t>. For this request, we e</w:t>
      </w:r>
      <w:r w:rsidR="0054322D">
        <w:rPr>
          <w:rFonts w:ascii="Times New Roman" w:hAnsi="Times New Roman"/>
          <w:bCs/>
          <w:sz w:val="22"/>
          <w:szCs w:val="22"/>
        </w:rPr>
        <w:t>s</w:t>
      </w:r>
      <w:r w:rsidRPr="00D742D7">
        <w:rPr>
          <w:rFonts w:ascii="Times New Roman" w:hAnsi="Times New Roman"/>
          <w:bCs/>
          <w:sz w:val="22"/>
          <w:szCs w:val="22"/>
        </w:rPr>
        <w:t xml:space="preserve">timate that there will be </w:t>
      </w:r>
      <w:r w:rsidR="00A84AA1">
        <w:rPr>
          <w:rFonts w:ascii="Times New Roman" w:hAnsi="Times New Roman"/>
          <w:bCs/>
          <w:sz w:val="22"/>
          <w:szCs w:val="22"/>
        </w:rPr>
        <w:t>2</w:t>
      </w:r>
      <w:r w:rsidRPr="00D742D7">
        <w:rPr>
          <w:rFonts w:ascii="Times New Roman" w:hAnsi="Times New Roman"/>
          <w:bCs/>
          <w:sz w:val="22"/>
          <w:szCs w:val="22"/>
        </w:rPr>
        <w:t xml:space="preserve">0 respondents each of the three years. This is an increase in agency estimate. </w:t>
      </w:r>
      <w:r w:rsidRPr="00D742D7" w:rsidR="00D742D7">
        <w:rPr>
          <w:rFonts w:ascii="Times New Roman" w:hAnsi="Times New Roman"/>
          <w:bCs/>
          <w:sz w:val="22"/>
          <w:szCs w:val="22"/>
        </w:rPr>
        <w:t>We have adjusted our costs based on the increased burden and adjustments to published labor market data.</w:t>
      </w:r>
    </w:p>
    <w:p w:rsidR="00534B4A" w:rsidP="00534B4A" w:rsidRDefault="00534B4A" w14:paraId="45655B4F" w14:textId="77777777">
      <w:pPr>
        <w:tabs>
          <w:tab w:val="left" w:pos="-720"/>
        </w:tabs>
        <w:suppressAutoHyphens/>
        <w:rPr>
          <w:rFonts w:ascii="Times New Roman" w:hAnsi="Times New Roman"/>
          <w:b/>
          <w:szCs w:val="24"/>
        </w:rPr>
      </w:pPr>
    </w:p>
    <w:tbl>
      <w:tblPr>
        <w:tblStyle w:val="TableGrid"/>
        <w:tblW w:w="8730" w:type="dxa"/>
        <w:tblInd w:w="445" w:type="dxa"/>
        <w:tblLook w:val="04A0" w:firstRow="1" w:lastRow="0" w:firstColumn="1" w:lastColumn="0" w:noHBand="0" w:noVBand="1"/>
      </w:tblPr>
      <w:tblGrid>
        <w:gridCol w:w="1980"/>
        <w:gridCol w:w="1671"/>
        <w:gridCol w:w="2829"/>
        <w:gridCol w:w="2250"/>
      </w:tblGrid>
      <w:tr w:rsidR="0052073E" w:rsidTr="00D742D7" w14:paraId="45655B54" w14:textId="77777777">
        <w:tc>
          <w:tcPr>
            <w:tcW w:w="1980" w:type="dxa"/>
            <w:shd w:val="clear" w:color="auto" w:fill="D9D9D9" w:themeFill="background1" w:themeFillShade="D9"/>
          </w:tcPr>
          <w:p w:rsidR="0052073E" w:rsidP="00534B4A" w:rsidRDefault="0052073E" w14:paraId="45655B50" w14:textId="77777777">
            <w:pPr>
              <w:tabs>
                <w:tab w:val="left" w:pos="-720"/>
              </w:tabs>
              <w:suppressAutoHyphens/>
              <w:rPr>
                <w:rFonts w:ascii="Times New Roman" w:hAnsi="Times New Roman"/>
                <w:b/>
                <w:szCs w:val="24"/>
              </w:rPr>
            </w:pPr>
          </w:p>
        </w:tc>
        <w:tc>
          <w:tcPr>
            <w:tcW w:w="1671" w:type="dxa"/>
          </w:tcPr>
          <w:p w:rsidRPr="00D742D7" w:rsidR="0052073E" w:rsidP="00534B4A" w:rsidRDefault="0052073E" w14:paraId="45655B51" w14:textId="77777777">
            <w:pPr>
              <w:tabs>
                <w:tab w:val="left" w:pos="-720"/>
              </w:tabs>
              <w:suppressAutoHyphens/>
              <w:rPr>
                <w:rFonts w:ascii="Times New Roman" w:hAnsi="Times New Roman"/>
                <w:b/>
                <w:sz w:val="22"/>
                <w:szCs w:val="22"/>
              </w:rPr>
            </w:pPr>
            <w:r w:rsidRPr="00D742D7">
              <w:rPr>
                <w:rFonts w:ascii="Times New Roman" w:hAnsi="Times New Roman"/>
                <w:b/>
                <w:sz w:val="22"/>
                <w:szCs w:val="22"/>
              </w:rPr>
              <w:t>Program Change Due to New Statute</w:t>
            </w:r>
          </w:p>
        </w:tc>
        <w:tc>
          <w:tcPr>
            <w:tcW w:w="2829" w:type="dxa"/>
          </w:tcPr>
          <w:p w:rsidRPr="00D742D7" w:rsidR="0052073E" w:rsidP="00534B4A" w:rsidRDefault="0052073E" w14:paraId="45655B52" w14:textId="77777777">
            <w:pPr>
              <w:tabs>
                <w:tab w:val="left" w:pos="-720"/>
              </w:tabs>
              <w:suppressAutoHyphens/>
              <w:rPr>
                <w:rFonts w:ascii="Times New Roman" w:hAnsi="Times New Roman"/>
                <w:b/>
                <w:sz w:val="22"/>
                <w:szCs w:val="22"/>
              </w:rPr>
            </w:pPr>
            <w:r w:rsidRPr="00D742D7">
              <w:rPr>
                <w:rFonts w:ascii="Times New Roman" w:hAnsi="Times New Roman"/>
                <w:b/>
                <w:sz w:val="22"/>
                <w:szCs w:val="22"/>
              </w:rPr>
              <w:t>Program Change Due to Agency Discretion</w:t>
            </w:r>
          </w:p>
        </w:tc>
        <w:tc>
          <w:tcPr>
            <w:tcW w:w="2250" w:type="dxa"/>
          </w:tcPr>
          <w:p w:rsidRPr="00D742D7" w:rsidR="0052073E" w:rsidP="00534B4A" w:rsidRDefault="0052073E" w14:paraId="45655B53" w14:textId="77777777">
            <w:pPr>
              <w:tabs>
                <w:tab w:val="left" w:pos="-720"/>
              </w:tabs>
              <w:suppressAutoHyphens/>
              <w:rPr>
                <w:rFonts w:ascii="Times New Roman" w:hAnsi="Times New Roman"/>
                <w:b/>
                <w:sz w:val="22"/>
                <w:szCs w:val="22"/>
              </w:rPr>
            </w:pPr>
            <w:r w:rsidRPr="00D742D7">
              <w:rPr>
                <w:rFonts w:ascii="Times New Roman" w:hAnsi="Times New Roman"/>
                <w:b/>
                <w:sz w:val="22"/>
                <w:szCs w:val="22"/>
              </w:rPr>
              <w:t>Change Due to Adjustment in Agency Estimate</w:t>
            </w:r>
          </w:p>
        </w:tc>
      </w:tr>
      <w:tr w:rsidR="0052073E" w:rsidTr="00D742D7" w14:paraId="45655B59" w14:textId="77777777">
        <w:tc>
          <w:tcPr>
            <w:tcW w:w="1980" w:type="dxa"/>
          </w:tcPr>
          <w:p w:rsidRPr="00D742D7" w:rsidR="0052073E" w:rsidP="00534B4A" w:rsidRDefault="0052073E" w14:paraId="45655B55" w14:textId="77777777">
            <w:pPr>
              <w:tabs>
                <w:tab w:val="left" w:pos="-720"/>
              </w:tabs>
              <w:suppressAutoHyphens/>
              <w:rPr>
                <w:rFonts w:ascii="Times New Roman" w:hAnsi="Times New Roman"/>
                <w:b/>
                <w:sz w:val="22"/>
                <w:szCs w:val="22"/>
              </w:rPr>
            </w:pPr>
            <w:r w:rsidRPr="00D742D7">
              <w:rPr>
                <w:rFonts w:ascii="Times New Roman" w:hAnsi="Times New Roman"/>
                <w:b/>
                <w:sz w:val="22"/>
                <w:szCs w:val="22"/>
              </w:rPr>
              <w:t>Total Burden</w:t>
            </w:r>
          </w:p>
        </w:tc>
        <w:tc>
          <w:tcPr>
            <w:tcW w:w="1671" w:type="dxa"/>
          </w:tcPr>
          <w:p w:rsidRPr="00D742D7" w:rsidR="0052073E" w:rsidP="00534B4A" w:rsidRDefault="0052073E" w14:paraId="45655B56" w14:textId="77777777">
            <w:pPr>
              <w:tabs>
                <w:tab w:val="left" w:pos="-720"/>
              </w:tabs>
              <w:suppressAutoHyphens/>
              <w:rPr>
                <w:rFonts w:ascii="Times New Roman" w:hAnsi="Times New Roman"/>
                <w:b/>
                <w:sz w:val="22"/>
                <w:szCs w:val="22"/>
              </w:rPr>
            </w:pPr>
          </w:p>
        </w:tc>
        <w:tc>
          <w:tcPr>
            <w:tcW w:w="2829" w:type="dxa"/>
          </w:tcPr>
          <w:p w:rsidRPr="00D742D7" w:rsidR="0052073E" w:rsidP="00534B4A" w:rsidRDefault="0052073E" w14:paraId="45655B57" w14:textId="77777777">
            <w:pPr>
              <w:tabs>
                <w:tab w:val="left" w:pos="-720"/>
              </w:tabs>
              <w:suppressAutoHyphens/>
              <w:rPr>
                <w:rFonts w:ascii="Times New Roman" w:hAnsi="Times New Roman"/>
                <w:b/>
                <w:sz w:val="22"/>
                <w:szCs w:val="22"/>
              </w:rPr>
            </w:pPr>
          </w:p>
        </w:tc>
        <w:tc>
          <w:tcPr>
            <w:tcW w:w="2250" w:type="dxa"/>
          </w:tcPr>
          <w:p w:rsidRPr="00D742D7" w:rsidR="0052073E" w:rsidP="00534B4A" w:rsidRDefault="00D742D7" w14:paraId="45655B58" w14:textId="78B557FC">
            <w:pPr>
              <w:tabs>
                <w:tab w:val="left" w:pos="-720"/>
              </w:tabs>
              <w:suppressAutoHyphens/>
              <w:rPr>
                <w:rFonts w:ascii="Times New Roman" w:hAnsi="Times New Roman"/>
                <w:b/>
                <w:sz w:val="22"/>
                <w:szCs w:val="22"/>
              </w:rPr>
            </w:pPr>
            <w:r w:rsidRPr="00D742D7">
              <w:rPr>
                <w:rFonts w:ascii="Times New Roman" w:hAnsi="Times New Roman"/>
                <w:b/>
                <w:sz w:val="22"/>
                <w:szCs w:val="22"/>
              </w:rPr>
              <w:t>+10</w:t>
            </w:r>
          </w:p>
        </w:tc>
      </w:tr>
      <w:tr w:rsidR="0052073E" w:rsidTr="00D742D7" w14:paraId="45655B5E" w14:textId="77777777">
        <w:tc>
          <w:tcPr>
            <w:tcW w:w="1980" w:type="dxa"/>
          </w:tcPr>
          <w:p w:rsidRPr="00D742D7" w:rsidR="0052073E" w:rsidP="00534B4A" w:rsidRDefault="0052073E" w14:paraId="45655B5A" w14:textId="77777777">
            <w:pPr>
              <w:tabs>
                <w:tab w:val="left" w:pos="-720"/>
              </w:tabs>
              <w:suppressAutoHyphens/>
              <w:rPr>
                <w:rFonts w:ascii="Times New Roman" w:hAnsi="Times New Roman"/>
                <w:b/>
                <w:sz w:val="22"/>
                <w:szCs w:val="22"/>
              </w:rPr>
            </w:pPr>
            <w:r w:rsidRPr="00D742D7">
              <w:rPr>
                <w:rFonts w:ascii="Times New Roman" w:hAnsi="Times New Roman"/>
                <w:b/>
                <w:sz w:val="22"/>
                <w:szCs w:val="22"/>
              </w:rPr>
              <w:t>Total Responses</w:t>
            </w:r>
          </w:p>
        </w:tc>
        <w:tc>
          <w:tcPr>
            <w:tcW w:w="1671" w:type="dxa"/>
          </w:tcPr>
          <w:p w:rsidRPr="00D742D7" w:rsidR="0052073E" w:rsidP="00534B4A" w:rsidRDefault="0052073E" w14:paraId="45655B5B" w14:textId="77777777">
            <w:pPr>
              <w:tabs>
                <w:tab w:val="left" w:pos="-720"/>
              </w:tabs>
              <w:suppressAutoHyphens/>
              <w:rPr>
                <w:rFonts w:ascii="Times New Roman" w:hAnsi="Times New Roman"/>
                <w:b/>
                <w:sz w:val="22"/>
                <w:szCs w:val="22"/>
              </w:rPr>
            </w:pPr>
          </w:p>
        </w:tc>
        <w:tc>
          <w:tcPr>
            <w:tcW w:w="2829" w:type="dxa"/>
          </w:tcPr>
          <w:p w:rsidRPr="00D742D7" w:rsidR="0052073E" w:rsidP="00534B4A" w:rsidRDefault="0052073E" w14:paraId="45655B5C" w14:textId="77777777">
            <w:pPr>
              <w:tabs>
                <w:tab w:val="left" w:pos="-720"/>
              </w:tabs>
              <w:suppressAutoHyphens/>
              <w:rPr>
                <w:rFonts w:ascii="Times New Roman" w:hAnsi="Times New Roman"/>
                <w:b/>
                <w:sz w:val="22"/>
                <w:szCs w:val="22"/>
              </w:rPr>
            </w:pPr>
          </w:p>
        </w:tc>
        <w:tc>
          <w:tcPr>
            <w:tcW w:w="2250" w:type="dxa"/>
          </w:tcPr>
          <w:p w:rsidRPr="00D742D7" w:rsidR="0052073E" w:rsidP="00534B4A" w:rsidRDefault="00D742D7" w14:paraId="45655B5D" w14:textId="665E023E">
            <w:pPr>
              <w:tabs>
                <w:tab w:val="left" w:pos="-720"/>
              </w:tabs>
              <w:suppressAutoHyphens/>
              <w:rPr>
                <w:rFonts w:ascii="Times New Roman" w:hAnsi="Times New Roman"/>
                <w:b/>
                <w:sz w:val="22"/>
                <w:szCs w:val="22"/>
              </w:rPr>
            </w:pPr>
            <w:r w:rsidRPr="00D742D7">
              <w:rPr>
                <w:rFonts w:ascii="Times New Roman" w:hAnsi="Times New Roman"/>
                <w:b/>
                <w:sz w:val="22"/>
                <w:szCs w:val="22"/>
              </w:rPr>
              <w:t>+</w:t>
            </w:r>
            <w:r w:rsidR="0054322D">
              <w:rPr>
                <w:rFonts w:ascii="Times New Roman" w:hAnsi="Times New Roman"/>
                <w:b/>
                <w:sz w:val="22"/>
                <w:szCs w:val="22"/>
              </w:rPr>
              <w:t>2</w:t>
            </w:r>
          </w:p>
        </w:tc>
      </w:tr>
      <w:tr w:rsidR="0052073E" w:rsidTr="00D742D7" w14:paraId="45655B63" w14:textId="77777777">
        <w:tc>
          <w:tcPr>
            <w:tcW w:w="1980" w:type="dxa"/>
          </w:tcPr>
          <w:p w:rsidRPr="00D742D7" w:rsidR="0052073E" w:rsidP="00534B4A" w:rsidRDefault="0052073E" w14:paraId="45655B5F" w14:textId="627F4D10">
            <w:pPr>
              <w:tabs>
                <w:tab w:val="left" w:pos="-720"/>
              </w:tabs>
              <w:suppressAutoHyphens/>
              <w:rPr>
                <w:rFonts w:ascii="Times New Roman" w:hAnsi="Times New Roman"/>
                <w:b/>
                <w:sz w:val="22"/>
                <w:szCs w:val="22"/>
              </w:rPr>
            </w:pPr>
            <w:r w:rsidRPr="00D742D7">
              <w:rPr>
                <w:rFonts w:ascii="Times New Roman" w:hAnsi="Times New Roman"/>
                <w:b/>
                <w:sz w:val="22"/>
                <w:szCs w:val="22"/>
              </w:rPr>
              <w:t xml:space="preserve">Total Costs </w:t>
            </w:r>
          </w:p>
        </w:tc>
        <w:tc>
          <w:tcPr>
            <w:tcW w:w="1671" w:type="dxa"/>
          </w:tcPr>
          <w:p w:rsidRPr="00D742D7" w:rsidR="0052073E" w:rsidP="00534B4A" w:rsidRDefault="0052073E" w14:paraId="45655B60" w14:textId="77777777">
            <w:pPr>
              <w:tabs>
                <w:tab w:val="left" w:pos="-720"/>
              </w:tabs>
              <w:suppressAutoHyphens/>
              <w:rPr>
                <w:rFonts w:ascii="Times New Roman" w:hAnsi="Times New Roman"/>
                <w:b/>
                <w:sz w:val="22"/>
                <w:szCs w:val="22"/>
              </w:rPr>
            </w:pPr>
          </w:p>
        </w:tc>
        <w:tc>
          <w:tcPr>
            <w:tcW w:w="2829" w:type="dxa"/>
          </w:tcPr>
          <w:p w:rsidRPr="00D742D7" w:rsidR="0052073E" w:rsidP="00534B4A" w:rsidRDefault="0052073E" w14:paraId="45655B61" w14:textId="77777777">
            <w:pPr>
              <w:tabs>
                <w:tab w:val="left" w:pos="-720"/>
              </w:tabs>
              <w:suppressAutoHyphens/>
              <w:rPr>
                <w:rFonts w:ascii="Times New Roman" w:hAnsi="Times New Roman"/>
                <w:b/>
                <w:sz w:val="22"/>
                <w:szCs w:val="22"/>
              </w:rPr>
            </w:pPr>
          </w:p>
        </w:tc>
        <w:tc>
          <w:tcPr>
            <w:tcW w:w="2250" w:type="dxa"/>
          </w:tcPr>
          <w:p w:rsidRPr="00D742D7" w:rsidR="0052073E" w:rsidP="00534B4A" w:rsidRDefault="0052073E" w14:paraId="45655B62" w14:textId="3B2F504F">
            <w:pPr>
              <w:tabs>
                <w:tab w:val="left" w:pos="-720"/>
              </w:tabs>
              <w:suppressAutoHyphens/>
              <w:rPr>
                <w:rFonts w:ascii="Times New Roman" w:hAnsi="Times New Roman"/>
                <w:b/>
                <w:sz w:val="22"/>
                <w:szCs w:val="22"/>
              </w:rPr>
            </w:pPr>
          </w:p>
        </w:tc>
      </w:tr>
    </w:tbl>
    <w:p w:rsidR="00F27AAF" w:rsidP="00534B4A" w:rsidRDefault="00F27AAF" w14:paraId="45655B64" w14:textId="77777777">
      <w:pPr>
        <w:tabs>
          <w:tab w:val="left" w:pos="-720"/>
        </w:tabs>
        <w:suppressAutoHyphens/>
        <w:rPr>
          <w:rFonts w:ascii="Times New Roman" w:hAnsi="Times New Roman"/>
          <w:b/>
          <w:szCs w:val="24"/>
        </w:rPr>
      </w:pPr>
    </w:p>
    <w:p w:rsidRPr="00534B4A" w:rsidR="00534B4A" w:rsidP="00534B4A" w:rsidRDefault="00534B4A" w14:paraId="45655B65" w14:textId="77777777">
      <w:pPr>
        <w:tabs>
          <w:tab w:val="left" w:pos="-720"/>
        </w:tabs>
        <w:suppressAutoHyphens/>
        <w:rPr>
          <w:rFonts w:ascii="Times New Roman" w:hAnsi="Times New Roman"/>
          <w:szCs w:val="24"/>
        </w:rPr>
      </w:pPr>
    </w:p>
    <w:p w:rsidR="00043C32" w:rsidP="00AD381B" w:rsidRDefault="00043C32" w14:paraId="45655B66" w14:textId="78858873">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D742D7" w:rsidRDefault="00D742D7" w14:paraId="45655B67" w14:textId="3568DD6A">
      <w:pPr>
        <w:tabs>
          <w:tab w:val="left" w:pos="-720"/>
        </w:tabs>
        <w:suppressAutoHyphens/>
        <w:ind w:left="720"/>
        <w:rPr>
          <w:rFonts w:ascii="Times New Roman" w:hAnsi="Times New Roman"/>
          <w:szCs w:val="24"/>
        </w:rPr>
      </w:pPr>
      <w:r w:rsidRPr="00D742D7">
        <w:rPr>
          <w:rFonts w:ascii="Times New Roman" w:hAnsi="Times New Roman"/>
          <w:szCs w:val="24"/>
        </w:rPr>
        <w:t xml:space="preserve">Applications will be collected for the purpose of identifying noteworthy projects.  </w:t>
      </w:r>
      <w:r>
        <w:rPr>
          <w:rFonts w:ascii="Times New Roman" w:hAnsi="Times New Roman"/>
          <w:szCs w:val="24"/>
        </w:rPr>
        <w:t>OCTAE</w:t>
      </w:r>
      <w:r w:rsidRPr="00D742D7">
        <w:rPr>
          <w:rFonts w:ascii="Times New Roman" w:hAnsi="Times New Roman"/>
          <w:szCs w:val="24"/>
        </w:rPr>
        <w:t xml:space="preserve"> staff will review the information provided in each application and the associated learner outcome data to determine whether an innovation merits dissemination. The information contained in applications will not be tabulated or publicly disseminated.  Information products and resources describing the </w:t>
      </w:r>
      <w:proofErr w:type="gramStart"/>
      <w:r w:rsidRPr="00D742D7">
        <w:rPr>
          <w:rFonts w:ascii="Times New Roman" w:hAnsi="Times New Roman"/>
          <w:szCs w:val="24"/>
        </w:rPr>
        <w:t>innovative  practices</w:t>
      </w:r>
      <w:proofErr w:type="gramEnd"/>
      <w:r w:rsidRPr="00D742D7">
        <w:rPr>
          <w:rFonts w:ascii="Times New Roman" w:hAnsi="Times New Roman"/>
          <w:szCs w:val="24"/>
        </w:rPr>
        <w:t xml:space="preserve"> implemented by these noteworthy projects will be developed for adult education practitioners and administrators and distributed on OCTAE’s professional development website (www.lincs.ed.gov) and at applicable national conferences.</w:t>
      </w:r>
    </w:p>
    <w:p w:rsidRPr="00534B4A" w:rsidR="00534B4A" w:rsidP="00534B4A" w:rsidRDefault="00534B4A" w14:paraId="45655B68" w14:textId="77777777">
      <w:pPr>
        <w:tabs>
          <w:tab w:val="left" w:pos="-720"/>
        </w:tabs>
        <w:suppressAutoHyphens/>
        <w:rPr>
          <w:rFonts w:ascii="Times New Roman" w:hAnsi="Times New Roman"/>
          <w:szCs w:val="24"/>
        </w:rPr>
      </w:pPr>
    </w:p>
    <w:p w:rsidRPr="00534B4A" w:rsidR="00043C32" w:rsidP="00AD381B" w:rsidRDefault="00043C32" w14:paraId="45655B69"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45655B6A" w14:textId="753BE126">
      <w:pPr>
        <w:tabs>
          <w:tab w:val="left" w:pos="-720"/>
        </w:tabs>
        <w:suppressAutoHyphens/>
        <w:ind w:left="360"/>
        <w:rPr>
          <w:rFonts w:ascii="Times New Roman" w:hAnsi="Times New Roman"/>
          <w:b/>
          <w:szCs w:val="24"/>
        </w:rPr>
      </w:pPr>
    </w:p>
    <w:p w:rsidR="00D742D7" w:rsidP="00D742D7" w:rsidRDefault="00D742D7" w14:paraId="64B088CF" w14:textId="5B0A70B6">
      <w:pPr>
        <w:tabs>
          <w:tab w:val="left" w:pos="-720"/>
        </w:tabs>
        <w:suppressAutoHyphens/>
        <w:ind w:left="360"/>
        <w:rPr>
          <w:rFonts w:ascii="Times New Roman" w:hAnsi="Times New Roman"/>
          <w:szCs w:val="24"/>
        </w:rPr>
      </w:pPr>
      <w:r>
        <w:rPr>
          <w:rFonts w:ascii="Times New Roman" w:hAnsi="Times New Roman"/>
          <w:szCs w:val="24"/>
        </w:rPr>
        <w:tab/>
      </w:r>
      <w:r w:rsidRPr="00534B4A">
        <w:rPr>
          <w:rFonts w:ascii="Times New Roman" w:hAnsi="Times New Roman"/>
          <w:szCs w:val="24"/>
        </w:rPr>
        <w:t>The OMB expiration date will be displayed on all data collection instruments.</w:t>
      </w:r>
    </w:p>
    <w:p w:rsidRPr="00534B4A" w:rsidR="00534B4A" w:rsidP="00D742D7" w:rsidRDefault="00534B4A" w14:paraId="45655B6B" w14:textId="77777777">
      <w:pPr>
        <w:tabs>
          <w:tab w:val="left" w:pos="-720"/>
        </w:tabs>
        <w:suppressAutoHyphens/>
        <w:rPr>
          <w:rFonts w:ascii="Times New Roman" w:hAnsi="Times New Roman"/>
          <w:szCs w:val="24"/>
        </w:rPr>
      </w:pPr>
    </w:p>
    <w:p w:rsidR="001C73C0" w:rsidP="00AD381B" w:rsidRDefault="00043C32" w14:paraId="45655B6C" w14:textId="081EA13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742D7" w:rsidP="00D742D7" w:rsidRDefault="00D742D7" w14:paraId="1A1B628C" w14:textId="404C69D4">
      <w:pPr>
        <w:tabs>
          <w:tab w:val="left" w:pos="-720"/>
        </w:tabs>
        <w:suppressAutoHyphens/>
        <w:rPr>
          <w:rFonts w:ascii="Times New Roman" w:hAnsi="Times New Roman"/>
          <w:b/>
          <w:szCs w:val="24"/>
        </w:rPr>
      </w:pPr>
    </w:p>
    <w:p w:rsidRPr="00D742D7" w:rsidR="00D742D7" w:rsidP="00D742D7" w:rsidRDefault="00D742D7" w14:paraId="4E84C427" w14:textId="195488A2">
      <w:pPr>
        <w:tabs>
          <w:tab w:val="left" w:pos="-720"/>
        </w:tabs>
        <w:suppressAutoHyphens/>
        <w:rPr>
          <w:rFonts w:ascii="Times New Roman" w:hAnsi="Times New Roman"/>
          <w:bCs/>
          <w:szCs w:val="24"/>
        </w:rPr>
      </w:pPr>
      <w:r>
        <w:rPr>
          <w:rFonts w:ascii="Times New Roman" w:hAnsi="Times New Roman"/>
          <w:bCs/>
          <w:szCs w:val="24"/>
        </w:rPr>
        <w:tab/>
      </w:r>
      <w:r w:rsidRPr="00D742D7">
        <w:rPr>
          <w:rFonts w:ascii="Times New Roman" w:hAnsi="Times New Roman"/>
          <w:bCs/>
          <w:szCs w:val="24"/>
        </w:rPr>
        <w:t>There are no exceptions.</w:t>
      </w:r>
    </w:p>
    <w:sectPr w:rsidRPr="00D742D7" w:rsidR="00D742D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5B6F" w14:textId="77777777" w:rsidR="005463E3" w:rsidRDefault="005463E3" w:rsidP="00043C32">
      <w:r>
        <w:separator/>
      </w:r>
    </w:p>
  </w:endnote>
  <w:endnote w:type="continuationSeparator" w:id="0">
    <w:p w14:paraId="45655B70" w14:textId="77777777" w:rsidR="005463E3" w:rsidRDefault="005463E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5B71" w14:textId="77777777" w:rsidR="00386054" w:rsidRDefault="00B72363">
    <w:pPr>
      <w:spacing w:before="140" w:line="100" w:lineRule="exact"/>
      <w:rPr>
        <w:sz w:val="10"/>
      </w:rPr>
    </w:pPr>
  </w:p>
  <w:p w14:paraId="45655B72" w14:textId="77777777" w:rsidR="00386054" w:rsidRDefault="00B72363">
    <w:pPr>
      <w:tabs>
        <w:tab w:val="left" w:pos="0"/>
      </w:tabs>
      <w:suppressAutoHyphens/>
    </w:pPr>
  </w:p>
  <w:p w14:paraId="45655B73" w14:textId="77777777" w:rsidR="00386054" w:rsidRDefault="00043C32">
    <w:pPr>
      <w:tabs>
        <w:tab w:val="left" w:pos="0"/>
      </w:tabs>
      <w:suppressAutoHyphens/>
    </w:pPr>
    <w:r>
      <w:rPr>
        <w:noProof/>
      </w:rPr>
      <mc:AlternateContent>
        <mc:Choice Requires="wps">
          <w:drawing>
            <wp:inline distT="0" distB="0" distL="0" distR="0" wp14:anchorId="45655B74" wp14:editId="45655B75">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655B77"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5655B7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45655B77"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5B6D" w14:textId="77777777" w:rsidR="005463E3" w:rsidRDefault="005463E3" w:rsidP="00043C32">
      <w:r>
        <w:separator/>
      </w:r>
    </w:p>
  </w:footnote>
  <w:footnote w:type="continuationSeparator" w:id="0">
    <w:p w14:paraId="45655B6E" w14:textId="77777777" w:rsidR="005463E3" w:rsidRDefault="005463E3" w:rsidP="00043C32">
      <w:r>
        <w:continuationSeparator/>
      </w:r>
    </w:p>
  </w:footnote>
  <w:footnote w:id="1">
    <w:p w14:paraId="30DC304F" w14:textId="2C2CE5DA" w:rsidR="002D08FC" w:rsidRDefault="002D08FC">
      <w:pPr>
        <w:pStyle w:val="FootnoteText"/>
      </w:pPr>
      <w:r>
        <w:rPr>
          <w:rStyle w:val="FootnoteReference"/>
        </w:rPr>
        <w:footnoteRef/>
      </w:r>
      <w:r>
        <w:t xml:space="preserve"> </w:t>
      </w:r>
      <w:r w:rsidRPr="00AD381B">
        <w:rPr>
          <w:rFonts w:ascii="Times New Roman" w:hAnsi="Times New Roman"/>
          <w:sz w:val="22"/>
          <w:szCs w:val="22"/>
        </w:rPr>
        <w:t xml:space="preserve">States, however,  report only aggregate state data on leaner outcomes to OCTAE. </w:t>
      </w:r>
      <w:r>
        <w:rPr>
          <w:rFonts w:ascii="Times New Roman" w:hAnsi="Times New Roman"/>
          <w:sz w:val="22"/>
          <w:szCs w:val="22"/>
        </w:rPr>
        <w:t xml:space="preserve"> The p</w:t>
      </w:r>
      <w:r w:rsidRPr="00AD381B">
        <w:rPr>
          <w:rFonts w:ascii="Times New Roman" w:hAnsi="Times New Roman"/>
          <w:sz w:val="22"/>
          <w:szCs w:val="22"/>
        </w:rPr>
        <w:t xml:space="preserve">rogram-level learner outcome data </w:t>
      </w:r>
      <w:r>
        <w:rPr>
          <w:rFonts w:ascii="Times New Roman" w:hAnsi="Times New Roman"/>
          <w:sz w:val="22"/>
          <w:szCs w:val="22"/>
        </w:rPr>
        <w:t xml:space="preserve">sought by this collection </w:t>
      </w:r>
      <w:r w:rsidRPr="00AD381B">
        <w:rPr>
          <w:rFonts w:ascii="Times New Roman" w:hAnsi="Times New Roman"/>
          <w:sz w:val="22"/>
          <w:szCs w:val="22"/>
        </w:rPr>
        <w:t xml:space="preserve">are not </w:t>
      </w:r>
      <w:r>
        <w:rPr>
          <w:rFonts w:ascii="Times New Roman" w:hAnsi="Times New Roman"/>
          <w:sz w:val="22"/>
          <w:szCs w:val="22"/>
        </w:rPr>
        <w:t xml:space="preserve">currently collected by, or </w:t>
      </w:r>
      <w:r w:rsidRPr="00AD381B">
        <w:rPr>
          <w:rFonts w:ascii="Times New Roman" w:hAnsi="Times New Roman"/>
          <w:sz w:val="22"/>
          <w:szCs w:val="22"/>
        </w:rPr>
        <w:t>available to</w:t>
      </w:r>
      <w:r>
        <w:rPr>
          <w:rFonts w:ascii="Times New Roman" w:hAnsi="Times New Roman"/>
          <w:sz w:val="22"/>
          <w:szCs w:val="22"/>
        </w:rPr>
        <w:t>,</w:t>
      </w:r>
      <w:r w:rsidRPr="00AD381B">
        <w:rPr>
          <w:rFonts w:ascii="Times New Roman" w:hAnsi="Times New Roman"/>
          <w:sz w:val="22"/>
          <w:szCs w:val="22"/>
        </w:rPr>
        <w:t xml:space="preserve"> OCTAE</w:t>
      </w:r>
      <w:r>
        <w:rPr>
          <w:rFonts w:ascii="Times New Roman" w:hAnsi="Times New Roman"/>
          <w:sz w:val="22"/>
          <w:szCs w:val="22"/>
        </w:rPr>
        <w:t xml:space="preserve"> staff</w:t>
      </w:r>
      <w:r w:rsidRPr="00AD381B">
        <w:rPr>
          <w:rFonts w:ascii="Times New Roman" w:hAnsi="Times New Roman"/>
          <w:sz w:val="22"/>
          <w:szCs w:val="22"/>
        </w:rPr>
        <w:t>.</w:t>
      </w:r>
    </w:p>
  </w:footnote>
  <w:footnote w:id="2">
    <w:p w14:paraId="45655B76"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209168">
    <w:abstractNumId w:val="0"/>
  </w:num>
  <w:num w:numId="2" w16cid:durableId="1058432513">
    <w:abstractNumId w:val="2"/>
  </w:num>
  <w:num w:numId="3" w16cid:durableId="1607620175">
    <w:abstractNumId w:val="1"/>
  </w:num>
  <w:num w:numId="4" w16cid:durableId="1056658787">
    <w:abstractNumId w:val="3"/>
  </w:num>
  <w:num w:numId="5" w16cid:durableId="74010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3F0"/>
    <w:rsid w:val="00010D85"/>
    <w:rsid w:val="00035ED5"/>
    <w:rsid w:val="00043C32"/>
    <w:rsid w:val="000446F5"/>
    <w:rsid w:val="00067BC2"/>
    <w:rsid w:val="000922C6"/>
    <w:rsid w:val="00093017"/>
    <w:rsid w:val="000B35DE"/>
    <w:rsid w:val="001824F3"/>
    <w:rsid w:val="001A6AE0"/>
    <w:rsid w:val="001C73C0"/>
    <w:rsid w:val="001E79BD"/>
    <w:rsid w:val="002225CC"/>
    <w:rsid w:val="00224A3B"/>
    <w:rsid w:val="00240A39"/>
    <w:rsid w:val="00246FE9"/>
    <w:rsid w:val="00250100"/>
    <w:rsid w:val="00262A69"/>
    <w:rsid w:val="00270AF7"/>
    <w:rsid w:val="002A3221"/>
    <w:rsid w:val="002C3520"/>
    <w:rsid w:val="002D08FC"/>
    <w:rsid w:val="002E14E0"/>
    <w:rsid w:val="002F55E5"/>
    <w:rsid w:val="0032078A"/>
    <w:rsid w:val="0032539E"/>
    <w:rsid w:val="00380761"/>
    <w:rsid w:val="003860E4"/>
    <w:rsid w:val="003B1545"/>
    <w:rsid w:val="00412915"/>
    <w:rsid w:val="00442E07"/>
    <w:rsid w:val="004A1BD2"/>
    <w:rsid w:val="0052073E"/>
    <w:rsid w:val="00534B4A"/>
    <w:rsid w:val="0054322D"/>
    <w:rsid w:val="005463E3"/>
    <w:rsid w:val="00581C11"/>
    <w:rsid w:val="0068567A"/>
    <w:rsid w:val="006A292A"/>
    <w:rsid w:val="006A38F7"/>
    <w:rsid w:val="006A4EBB"/>
    <w:rsid w:val="006B4172"/>
    <w:rsid w:val="00743F91"/>
    <w:rsid w:val="00755D99"/>
    <w:rsid w:val="00756FD3"/>
    <w:rsid w:val="00765392"/>
    <w:rsid w:val="007744FB"/>
    <w:rsid w:val="00790E3E"/>
    <w:rsid w:val="007C0A4C"/>
    <w:rsid w:val="007F6104"/>
    <w:rsid w:val="00800D30"/>
    <w:rsid w:val="00807D1A"/>
    <w:rsid w:val="00830E4E"/>
    <w:rsid w:val="00874EFE"/>
    <w:rsid w:val="00881F5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0DF0"/>
    <w:rsid w:val="009E3E86"/>
    <w:rsid w:val="00A118A2"/>
    <w:rsid w:val="00A23F26"/>
    <w:rsid w:val="00A4001C"/>
    <w:rsid w:val="00A40AAB"/>
    <w:rsid w:val="00A46D01"/>
    <w:rsid w:val="00A70816"/>
    <w:rsid w:val="00A7636D"/>
    <w:rsid w:val="00A84AA1"/>
    <w:rsid w:val="00A9138E"/>
    <w:rsid w:val="00AC1C89"/>
    <w:rsid w:val="00AD381B"/>
    <w:rsid w:val="00AF5B5B"/>
    <w:rsid w:val="00AF5D1A"/>
    <w:rsid w:val="00B017F9"/>
    <w:rsid w:val="00B02F72"/>
    <w:rsid w:val="00B07213"/>
    <w:rsid w:val="00B10A05"/>
    <w:rsid w:val="00B54167"/>
    <w:rsid w:val="00B62E06"/>
    <w:rsid w:val="00B64B1D"/>
    <w:rsid w:val="00B72363"/>
    <w:rsid w:val="00B9671B"/>
    <w:rsid w:val="00BA1D31"/>
    <w:rsid w:val="00C164D3"/>
    <w:rsid w:val="00C20670"/>
    <w:rsid w:val="00C224FD"/>
    <w:rsid w:val="00C86713"/>
    <w:rsid w:val="00C875E8"/>
    <w:rsid w:val="00C92035"/>
    <w:rsid w:val="00CC0001"/>
    <w:rsid w:val="00CC2A72"/>
    <w:rsid w:val="00CC3FB5"/>
    <w:rsid w:val="00CC6CF9"/>
    <w:rsid w:val="00CD2067"/>
    <w:rsid w:val="00CD47BC"/>
    <w:rsid w:val="00CD582F"/>
    <w:rsid w:val="00D34984"/>
    <w:rsid w:val="00D36C35"/>
    <w:rsid w:val="00D742D7"/>
    <w:rsid w:val="00D75313"/>
    <w:rsid w:val="00DD6FD8"/>
    <w:rsid w:val="00DE1A97"/>
    <w:rsid w:val="00E16ACD"/>
    <w:rsid w:val="00E17134"/>
    <w:rsid w:val="00E24F28"/>
    <w:rsid w:val="00E25EBC"/>
    <w:rsid w:val="00E66550"/>
    <w:rsid w:val="00E877BF"/>
    <w:rsid w:val="00EA1767"/>
    <w:rsid w:val="00EB0929"/>
    <w:rsid w:val="00EB0FA5"/>
    <w:rsid w:val="00EC01DD"/>
    <w:rsid w:val="00EC35E3"/>
    <w:rsid w:val="00ED7195"/>
    <w:rsid w:val="00F0414F"/>
    <w:rsid w:val="00F27AAF"/>
    <w:rsid w:val="00F31BEC"/>
    <w:rsid w:val="00F5782B"/>
    <w:rsid w:val="00F73131"/>
    <w:rsid w:val="00FC669D"/>
    <w:rsid w:val="00FC6B75"/>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655AA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10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58570">
      <w:bodyDiv w:val="1"/>
      <w:marLeft w:val="0"/>
      <w:marRight w:val="0"/>
      <w:marTop w:val="0"/>
      <w:marBottom w:val="0"/>
      <w:divBdr>
        <w:top w:val="none" w:sz="0" w:space="0" w:color="auto"/>
        <w:left w:val="none" w:sz="0" w:space="0" w:color="auto"/>
        <w:bottom w:val="none" w:sz="0" w:space="0" w:color="auto"/>
        <w:right w:val="none" w:sz="0" w:space="0" w:color="auto"/>
      </w:divBdr>
    </w:div>
    <w:div w:id="755324279">
      <w:bodyDiv w:val="1"/>
      <w:marLeft w:val="0"/>
      <w:marRight w:val="0"/>
      <w:marTop w:val="0"/>
      <w:marBottom w:val="0"/>
      <w:divBdr>
        <w:top w:val="none" w:sz="0" w:space="0" w:color="auto"/>
        <w:left w:val="none" w:sz="0" w:space="0" w:color="auto"/>
        <w:bottom w:val="none" w:sz="0" w:space="0" w:color="auto"/>
        <w:right w:val="none" w:sz="0" w:space="0" w:color="auto"/>
      </w:divBdr>
    </w:div>
    <w:div w:id="1031298151">
      <w:bodyDiv w:val="1"/>
      <w:marLeft w:val="0"/>
      <w:marRight w:val="0"/>
      <w:marTop w:val="0"/>
      <w:marBottom w:val="0"/>
      <w:divBdr>
        <w:top w:val="none" w:sz="0" w:space="0" w:color="auto"/>
        <w:left w:val="none" w:sz="0" w:space="0" w:color="auto"/>
        <w:bottom w:val="none" w:sz="0" w:space="0" w:color="auto"/>
        <w:right w:val="none" w:sz="0" w:space="0" w:color="auto"/>
      </w:divBdr>
    </w:div>
    <w:div w:id="1351644276">
      <w:bodyDiv w:val="1"/>
      <w:marLeft w:val="0"/>
      <w:marRight w:val="0"/>
      <w:marTop w:val="0"/>
      <w:marBottom w:val="0"/>
      <w:divBdr>
        <w:top w:val="none" w:sz="0" w:space="0" w:color="auto"/>
        <w:left w:val="none" w:sz="0" w:space="0" w:color="auto"/>
        <w:bottom w:val="none" w:sz="0" w:space="0" w:color="auto"/>
        <w:right w:val="none" w:sz="0" w:space="0" w:color="auto"/>
      </w:divBdr>
    </w:div>
    <w:div w:id="15679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09dec184-8c8d-4b45-aa24-533c76b37868"/>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3487</Words>
  <Characters>19878</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2022-06-28T17:07:00Z</dcterms:created>
  <dcterms:modified xsi:type="dcterms:W3CDTF">2022-06-28T17:07:00Z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0x0101003E1CED756B1A6044B9A20BB6E831B58B</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Order">
    <vt:r8>700</vt:r8>
  </property>
</Properties>
</file>