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07236" w:rsidR="0056417B" w:rsidP="0056417B" w:rsidRDefault="0056417B" w14:paraId="2F294744" w14:textId="77777777">
      <w:pPr>
        <w:jc w:val="center"/>
      </w:pPr>
      <w:smartTag w:uri="urn:schemas-microsoft-com:office:smarttags" w:element="country-region">
        <w:smartTag w:uri="urn:schemas-microsoft-com:office:smarttags" w:element="place">
          <w:r w:rsidRPr="00607236">
            <w:t>UNITED STATES OF AMERICA</w:t>
          </w:r>
        </w:smartTag>
      </w:smartTag>
    </w:p>
    <w:p w:rsidRPr="00607236" w:rsidR="0056417B" w:rsidP="0056417B" w:rsidRDefault="0056417B" w14:paraId="5D9FCAC0" w14:textId="03D7F470">
      <w:pPr>
        <w:jc w:val="center"/>
      </w:pPr>
      <w:r w:rsidRPr="00607236">
        <w:t>FEDERAL ENERGY REGULATORY COMMISSION</w:t>
      </w:r>
    </w:p>
    <w:p w:rsidRPr="00607236" w:rsidR="0056417B" w:rsidP="0056417B" w:rsidRDefault="0056417B" w14:paraId="563219CA" w14:textId="77777777"/>
    <w:p w:rsidRPr="00607236" w:rsidR="0056417B" w:rsidP="0056417B" w:rsidRDefault="0056417B" w14:paraId="5B1445C1" w14:textId="2D95D4AF">
      <w:pPr>
        <w:jc w:val="center"/>
      </w:pPr>
      <w:r w:rsidRPr="00607236">
        <w:t>[</w:t>
      </w:r>
      <w:r w:rsidR="00B22844">
        <w:t>Docket No</w:t>
      </w:r>
      <w:r w:rsidR="00C6668E">
        <w:t>s</w:t>
      </w:r>
      <w:r w:rsidR="00B22844">
        <w:t>.</w:t>
      </w:r>
      <w:r w:rsidR="00583B19">
        <w:t xml:space="preserve"> RD22-1-000</w:t>
      </w:r>
      <w:r w:rsidR="00C6668E">
        <w:t xml:space="preserve"> and</w:t>
      </w:r>
      <w:r w:rsidR="00B22844">
        <w:t xml:space="preserve"> </w:t>
      </w:r>
      <w:r w:rsidRPr="00317A63" w:rsidR="00B22844">
        <w:t>IC22-</w:t>
      </w:r>
      <w:r w:rsidRPr="00D84E00" w:rsidR="00317A63">
        <w:t>7</w:t>
      </w:r>
      <w:r w:rsidRPr="00317A63" w:rsidR="00B22844">
        <w:t>-000</w:t>
      </w:r>
      <w:r w:rsidRPr="00317A63">
        <w:t>]</w:t>
      </w:r>
    </w:p>
    <w:p w:rsidRPr="00607236" w:rsidR="0056417B" w:rsidP="0056417B" w:rsidRDefault="0056417B" w14:paraId="33C4E21E" w14:textId="77777777"/>
    <w:p w:rsidRPr="00607236" w:rsidR="0056417B" w:rsidP="0056417B" w:rsidRDefault="0056417B" w14:paraId="23236D0C" w14:textId="6956D9F5">
      <w:pPr>
        <w:jc w:val="center"/>
      </w:pPr>
      <w:r w:rsidRPr="00607236">
        <w:t>COMMISSION INFORMATION COLLECTION ACTIVITIES</w:t>
      </w:r>
      <w:r w:rsidR="00C6668E">
        <w:t xml:space="preserve"> (FERC-725K)</w:t>
      </w:r>
      <w:r w:rsidRPr="00607236" w:rsidR="003D0DB4">
        <w:t>;</w:t>
      </w:r>
    </w:p>
    <w:p w:rsidRPr="00607236" w:rsidR="0056417B" w:rsidP="0056417B" w:rsidRDefault="0056417B" w14:paraId="211B182A" w14:textId="0EFE092F">
      <w:pPr>
        <w:jc w:val="center"/>
      </w:pPr>
      <w:r w:rsidRPr="00607236">
        <w:t xml:space="preserve">COMMENT REQUEST; </w:t>
      </w:r>
      <w:r w:rsidR="00C2759D">
        <w:t>EXTENSION</w:t>
      </w:r>
    </w:p>
    <w:p w:rsidRPr="00607236" w:rsidR="0056417B" w:rsidP="0056417B" w:rsidRDefault="0056417B" w14:paraId="277ABC94" w14:textId="77777777"/>
    <w:p w:rsidR="0056417B" w:rsidP="009806A3" w:rsidRDefault="009806A3" w14:paraId="09CF15F5" w14:textId="6C15C9B2">
      <w:pPr>
        <w:jc w:val="center"/>
      </w:pPr>
      <w:r w:rsidRPr="009806A3">
        <w:t>(February 24, 2022)</w:t>
      </w:r>
    </w:p>
    <w:p w:rsidRPr="009806A3" w:rsidR="009806A3" w:rsidP="009806A3" w:rsidRDefault="009806A3" w14:paraId="062F9F20" w14:textId="77777777"/>
    <w:p w:rsidRPr="00607236" w:rsidR="0056417B" w:rsidP="0056417B" w:rsidRDefault="0056417B" w14:paraId="688A1D16" w14:textId="77777777">
      <w:pPr>
        <w:spacing w:line="480" w:lineRule="auto"/>
      </w:pPr>
      <w:r w:rsidRPr="00607236">
        <w:rPr>
          <w:b/>
        </w:rPr>
        <w:t>AGENCY:</w:t>
      </w:r>
      <w:r w:rsidRPr="00607236">
        <w:t xml:space="preserve">  Federal Energy Regulatory Commission.</w:t>
      </w:r>
    </w:p>
    <w:p w:rsidRPr="00607236" w:rsidR="0056417B" w:rsidP="0056417B" w:rsidRDefault="0056417B" w14:paraId="158AC0F7" w14:textId="2D359E6A">
      <w:pPr>
        <w:spacing w:line="480" w:lineRule="auto"/>
      </w:pPr>
      <w:r w:rsidRPr="00607236">
        <w:rPr>
          <w:b/>
        </w:rPr>
        <w:t>ACTION:</w:t>
      </w:r>
      <w:r w:rsidRPr="00607236">
        <w:t xml:space="preserve">  Notice of</w:t>
      </w:r>
      <w:r w:rsidR="00072BBE">
        <w:t xml:space="preserve"> revisions to an</w:t>
      </w:r>
      <w:r w:rsidRPr="00607236" w:rsidR="005E2FD0">
        <w:t xml:space="preserve"> </w:t>
      </w:r>
      <w:r w:rsidRPr="00607236">
        <w:t>information collection and request for comments.</w:t>
      </w:r>
    </w:p>
    <w:p w:rsidRPr="00607236" w:rsidR="0056417B" w:rsidP="004D01E9" w:rsidRDefault="0056417B" w14:paraId="071993C2" w14:textId="4FF9331A">
      <w:pPr>
        <w:spacing w:line="480" w:lineRule="auto"/>
      </w:pPr>
      <w:r w:rsidRPr="00607236">
        <w:rPr>
          <w:b/>
        </w:rPr>
        <w:t>SUMMARY:</w:t>
      </w:r>
      <w:r w:rsidRPr="00607236">
        <w:t xml:space="preserve">  In compliance with the requirements of the Paperwork Reduction Act of 1995, the Federal Energy Regulatory Commission (Commission or FERC) is soliciting public comment</w:t>
      </w:r>
      <w:r w:rsidR="0074588C">
        <w:t>s</w:t>
      </w:r>
      <w:r w:rsidRPr="00607236">
        <w:t xml:space="preserve"> on</w:t>
      </w:r>
      <w:r w:rsidR="0074588C">
        <w:t xml:space="preserve"> </w:t>
      </w:r>
      <w:r w:rsidR="00072BBE">
        <w:t>the</w:t>
      </w:r>
      <w:r w:rsidR="000C794F">
        <w:t xml:space="preserve"> </w:t>
      </w:r>
      <w:r w:rsidR="00F3497B">
        <w:t xml:space="preserve">requested renewal and </w:t>
      </w:r>
      <w:r w:rsidR="00072BBE">
        <w:t>revision</w:t>
      </w:r>
      <w:r w:rsidR="0074588C">
        <w:t xml:space="preserve"> of FERC-725K</w:t>
      </w:r>
      <w:r w:rsidR="005A2A03">
        <w:t xml:space="preserve"> (</w:t>
      </w:r>
      <w:r w:rsidRPr="00BD5A42" w:rsidR="005A2A03">
        <w:t>Mandatory Reliability Standard for the SERC Region</w:t>
      </w:r>
      <w:r w:rsidR="005A2A03">
        <w:t>).</w:t>
      </w:r>
      <w:r w:rsidR="00F81289">
        <w:t xml:space="preserve"> </w:t>
      </w:r>
    </w:p>
    <w:p w:rsidRPr="00607236" w:rsidR="0056417B" w:rsidP="0056417B" w:rsidRDefault="0056417B" w14:paraId="7B462CA6" w14:textId="7B553B1F">
      <w:pPr>
        <w:spacing w:line="480" w:lineRule="auto"/>
      </w:pPr>
      <w:r w:rsidRPr="00607236">
        <w:rPr>
          <w:b/>
        </w:rPr>
        <w:t>DATES:</w:t>
      </w:r>
      <w:r w:rsidRPr="00607236">
        <w:t xml:space="preserve">  Comments on the collection of information are due </w:t>
      </w:r>
      <w:r w:rsidRPr="00607236">
        <w:rPr>
          <w:b/>
          <w:caps/>
        </w:rPr>
        <w:t xml:space="preserve">[insert date 60 days after </w:t>
      </w:r>
      <w:r w:rsidR="009806A3">
        <w:rPr>
          <w:b/>
          <w:caps/>
        </w:rPr>
        <w:t>DATE OF</w:t>
      </w:r>
      <w:r w:rsidR="007C182F">
        <w:rPr>
          <w:b/>
          <w:caps/>
        </w:rPr>
        <w:t xml:space="preserve"> </w:t>
      </w:r>
      <w:r w:rsidRPr="00607236">
        <w:rPr>
          <w:b/>
          <w:caps/>
        </w:rPr>
        <w:t>publication in the Federal Register]</w:t>
      </w:r>
      <w:r w:rsidRPr="00607236">
        <w:rPr>
          <w:caps/>
        </w:rPr>
        <w:t>.</w:t>
      </w:r>
      <w:r w:rsidRPr="00607236">
        <w:t xml:space="preserve"> </w:t>
      </w:r>
    </w:p>
    <w:p w:rsidRPr="00607236" w:rsidR="00077098" w:rsidP="00D84E00" w:rsidRDefault="00077098" w14:paraId="0D9E126F" w14:textId="0BB4D75A">
      <w:pPr>
        <w:spacing w:line="480" w:lineRule="auto"/>
      </w:pPr>
      <w:r w:rsidRPr="00607236">
        <w:rPr>
          <w:b/>
        </w:rPr>
        <w:t>ADDRESSES:</w:t>
      </w:r>
      <w:r w:rsidRPr="00607236">
        <w:t xml:space="preserve"> </w:t>
      </w:r>
      <w:r w:rsidR="00072BBE">
        <w:t xml:space="preserve"> </w:t>
      </w:r>
      <w:r w:rsidRPr="00607236">
        <w:rPr>
          <w:iCs/>
        </w:rPr>
        <w:t>Send written comments</w:t>
      </w:r>
      <w:r w:rsidR="00F5158B">
        <w:rPr>
          <w:iCs/>
        </w:rPr>
        <w:t xml:space="preserve"> on </w:t>
      </w:r>
      <w:r w:rsidR="00F3497B">
        <w:rPr>
          <w:iCs/>
        </w:rPr>
        <w:t>FERC-725K</w:t>
      </w:r>
      <w:r w:rsidR="00C9673E">
        <w:rPr>
          <w:iCs/>
        </w:rPr>
        <w:t xml:space="preserve"> </w:t>
      </w:r>
      <w:r w:rsidRPr="00607236">
        <w:t>to the Commission.</w:t>
      </w:r>
      <w:r w:rsidR="007978AD">
        <w:t xml:space="preserve">  </w:t>
      </w:r>
      <w:r w:rsidRPr="00607236">
        <w:t>You may submit copies of your comments by one of the following methods:</w:t>
      </w:r>
    </w:p>
    <w:p w:rsidRPr="00607236" w:rsidR="00077098" w:rsidP="00077098" w:rsidRDefault="00077098" w14:paraId="0435D769" w14:textId="77777777">
      <w:pPr>
        <w:spacing w:line="480" w:lineRule="auto"/>
      </w:pPr>
      <w:r w:rsidRPr="00607236">
        <w:t xml:space="preserve">Electronic filing through </w:t>
      </w:r>
      <w:hyperlink w:history="1" r:id="rId12">
        <w:r w:rsidRPr="00607236">
          <w:rPr>
            <w:rStyle w:val="Hyperlink"/>
            <w:color w:val="auto"/>
          </w:rPr>
          <w:t>http://www.ferc.gov</w:t>
        </w:r>
      </w:hyperlink>
      <w:r w:rsidRPr="00607236">
        <w:t>, is preferred.</w:t>
      </w:r>
    </w:p>
    <w:p w:rsidRPr="00607236" w:rsidR="00077098" w:rsidP="00077098" w:rsidRDefault="00077098" w14:paraId="20959BA2" w14:textId="19C04BC4">
      <w:pPr>
        <w:numPr>
          <w:ilvl w:val="0"/>
          <w:numId w:val="2"/>
        </w:numPr>
        <w:spacing w:line="480" w:lineRule="auto"/>
      </w:pPr>
      <w:r w:rsidRPr="00607236">
        <w:t xml:space="preserve">Electronic Filing: </w:t>
      </w:r>
      <w:r w:rsidR="00072BBE">
        <w:t xml:space="preserve"> </w:t>
      </w:r>
      <w:r w:rsidRPr="00607236">
        <w:t xml:space="preserve">Documents must be filed in acceptable native applications and print-to-PDF, but not in scanned or picture format. </w:t>
      </w:r>
    </w:p>
    <w:p w:rsidRPr="00607236" w:rsidR="00077098" w:rsidP="00077098" w:rsidRDefault="00077098" w14:paraId="26804A14" w14:textId="77777777">
      <w:pPr>
        <w:numPr>
          <w:ilvl w:val="0"/>
          <w:numId w:val="2"/>
        </w:numPr>
        <w:spacing w:line="480" w:lineRule="auto"/>
      </w:pPr>
      <w:r w:rsidRPr="00607236">
        <w:t>For those unable to file electronically, comments may be filed by USPS mail or by hand (including courier) delivery.</w:t>
      </w:r>
    </w:p>
    <w:p w:rsidRPr="00607236" w:rsidR="00077098" w:rsidP="00077098" w:rsidRDefault="00077098" w14:paraId="22A6ABE5" w14:textId="36E7F828">
      <w:pPr>
        <w:numPr>
          <w:ilvl w:val="1"/>
          <w:numId w:val="2"/>
        </w:numPr>
        <w:spacing w:line="480" w:lineRule="auto"/>
      </w:pPr>
      <w:r w:rsidRPr="00607236">
        <w:lastRenderedPageBreak/>
        <w:t>Mail via U.S. Postal Service Only Addressed to: Federal Energy Regulatory Commission, Secretary of the Commission, 888 First Street, N.E., Washington, DC 20426.</w:t>
      </w:r>
    </w:p>
    <w:p w:rsidRPr="00607236" w:rsidR="00077098" w:rsidP="00077098" w:rsidRDefault="00077098" w14:paraId="6F1D46BB" w14:textId="7C27E7AD">
      <w:pPr>
        <w:numPr>
          <w:ilvl w:val="1"/>
          <w:numId w:val="2"/>
        </w:numPr>
        <w:spacing w:line="480" w:lineRule="auto"/>
      </w:pPr>
      <w:r w:rsidRPr="00607236">
        <w:t>Hand (including courier) delivery to: Federal Energy Regulatory Commission, 12225 Wilkins Avenue, Rockville, MD 20852.</w:t>
      </w:r>
    </w:p>
    <w:p w:rsidRPr="00607236" w:rsidR="00077098" w:rsidP="00077098" w:rsidRDefault="00077098" w14:paraId="2359621E" w14:textId="601C089F">
      <w:pPr>
        <w:spacing w:line="480" w:lineRule="auto"/>
      </w:pPr>
      <w:bookmarkStart w:name="OLE_LINK1" w:id="0"/>
      <w:r w:rsidRPr="00607236">
        <w:rPr>
          <w:i/>
        </w:rPr>
        <w:t>Instructions</w:t>
      </w:r>
      <w:r w:rsidRPr="00607236">
        <w:rPr>
          <w:iCs/>
        </w:rPr>
        <w:t>:</w:t>
      </w:r>
      <w:r w:rsidRPr="00607236">
        <w:rPr>
          <w:i/>
        </w:rPr>
        <w:t xml:space="preserve">  </w:t>
      </w:r>
      <w:r w:rsidRPr="00607236">
        <w:rPr>
          <w:i/>
          <w:iCs/>
        </w:rPr>
        <w:t>FERC submissions</w:t>
      </w:r>
      <w:r w:rsidRPr="00607236">
        <w:t xml:space="preserve"> </w:t>
      </w:r>
      <w:bookmarkStart w:name="_Hlk38028397" w:id="1"/>
      <w:r w:rsidRPr="00607236">
        <w:t>must be formatted and filed in accordance with submission guidelines at</w:t>
      </w:r>
      <w:bookmarkEnd w:id="1"/>
      <w:r w:rsidRPr="00607236">
        <w:t xml:space="preserve">: </w:t>
      </w:r>
      <w:hyperlink w:history="1" r:id="rId13">
        <w:r w:rsidRPr="00607236">
          <w:rPr>
            <w:rStyle w:val="Hyperlink"/>
            <w:color w:val="auto"/>
          </w:rPr>
          <w:t>http://www.ferc.gov</w:t>
        </w:r>
      </w:hyperlink>
      <w:r w:rsidRPr="00607236">
        <w:t>.  For user assistance, contact FERC Online Support by e-mail at ferconlinesupport@ferc.gov, or by phone at: (866) 208-3676 (toll-free).</w:t>
      </w:r>
    </w:p>
    <w:p w:rsidRPr="00607236" w:rsidR="00077098" w:rsidP="00077098" w:rsidRDefault="00077098" w14:paraId="3715E494" w14:textId="77777777">
      <w:pPr>
        <w:spacing w:line="480" w:lineRule="auto"/>
      </w:pPr>
      <w:r w:rsidRPr="00607236">
        <w:rPr>
          <w:i/>
        </w:rPr>
        <w:t>Docket</w:t>
      </w:r>
      <w:r w:rsidRPr="00607236">
        <w:rPr>
          <w:iCs/>
        </w:rPr>
        <w:t xml:space="preserve">:  </w:t>
      </w:r>
      <w:r w:rsidRPr="00607236">
        <w:t xml:space="preserve">Users interested in receiving automatic notification of activity in this docket or in viewing/downloading comments and issuances in this docket may do so at </w:t>
      </w:r>
      <w:hyperlink w:history="1" r:id="rId14">
        <w:r w:rsidRPr="00607236">
          <w:rPr>
            <w:rStyle w:val="Hyperlink"/>
            <w:color w:val="auto"/>
          </w:rPr>
          <w:t>https://www.ferc.gov/ferc-online/overview</w:t>
        </w:r>
      </w:hyperlink>
      <w:r w:rsidRPr="00607236">
        <w:t xml:space="preserve">. </w:t>
      </w:r>
    </w:p>
    <w:bookmarkEnd w:id="0"/>
    <w:p w:rsidRPr="00607236" w:rsidR="00077098" w:rsidP="00077098" w:rsidRDefault="00077098" w14:paraId="5DEEC6C6" w14:textId="7CC2D7F3">
      <w:pPr>
        <w:spacing w:line="480" w:lineRule="auto"/>
      </w:pPr>
      <w:r w:rsidRPr="00607236">
        <w:rPr>
          <w:b/>
        </w:rPr>
        <w:t>FOR FURTHER INFORMATION CONTACT:</w:t>
      </w:r>
      <w:r w:rsidRPr="00607236">
        <w:t xml:space="preserve">  </w:t>
      </w:r>
      <w:r w:rsidR="006610E0">
        <w:t xml:space="preserve">Please contact </w:t>
      </w:r>
      <w:r w:rsidRPr="00607236">
        <w:t>Ellen Brown</w:t>
      </w:r>
      <w:r w:rsidR="006610E0">
        <w:t xml:space="preserve"> who</w:t>
      </w:r>
      <w:r w:rsidRPr="00607236">
        <w:t xml:space="preserve"> may be reached by e-mail at </w:t>
      </w:r>
      <w:hyperlink w:history="1" r:id="rId15">
        <w:r w:rsidRPr="00607236">
          <w:rPr>
            <w:rStyle w:val="Hyperlink"/>
            <w:color w:val="auto"/>
          </w:rPr>
          <w:t>DataClearance@FERC.gov</w:t>
        </w:r>
      </w:hyperlink>
      <w:r w:rsidRPr="00607236">
        <w:t xml:space="preserve">, </w:t>
      </w:r>
      <w:r w:rsidR="00C6668E">
        <w:t xml:space="preserve">or </w:t>
      </w:r>
      <w:r w:rsidRPr="00607236">
        <w:t xml:space="preserve">telephone at (202) 502-8663. </w:t>
      </w:r>
    </w:p>
    <w:p w:rsidRPr="00607236" w:rsidR="0056417B" w:rsidP="0056417B" w:rsidRDefault="0056417B" w14:paraId="12D6C7C2" w14:textId="77777777">
      <w:pPr>
        <w:spacing w:line="480" w:lineRule="auto"/>
      </w:pPr>
      <w:r w:rsidRPr="00607236">
        <w:rPr>
          <w:b/>
        </w:rPr>
        <w:t>SUPPLEMENTARY INFORMATION:</w:t>
      </w:r>
      <w:r w:rsidRPr="00607236">
        <w:t xml:space="preserve">  </w:t>
      </w:r>
    </w:p>
    <w:p w:rsidRPr="00607236" w:rsidR="0056417B" w:rsidP="008C3E0A" w:rsidRDefault="0056417B" w14:paraId="54BA1C44" w14:textId="0BF6205F">
      <w:pPr>
        <w:spacing w:line="480" w:lineRule="auto"/>
        <w:rPr>
          <w:i/>
        </w:rPr>
      </w:pPr>
      <w:r w:rsidRPr="00607236">
        <w:rPr>
          <w:i/>
        </w:rPr>
        <w:t>Title:</w:t>
      </w:r>
      <w:r w:rsidRPr="00607236">
        <w:t xml:space="preserve"> </w:t>
      </w:r>
      <w:r w:rsidR="00C6668E">
        <w:t xml:space="preserve">FERC-725K, </w:t>
      </w:r>
      <w:r w:rsidRPr="00BD5A42" w:rsidR="00BD5A42">
        <w:t>Mandatory Reliability Standard for the SERC Region</w:t>
      </w:r>
    </w:p>
    <w:p w:rsidRPr="00607236" w:rsidR="0056417B" w:rsidP="0056417B" w:rsidRDefault="0056417B" w14:paraId="02DB3ECA" w14:textId="77777777">
      <w:pPr>
        <w:spacing w:line="480" w:lineRule="auto"/>
      </w:pPr>
      <w:r w:rsidRPr="00607236">
        <w:rPr>
          <w:i/>
        </w:rPr>
        <w:t>OMB Control No.:</w:t>
      </w:r>
      <w:r w:rsidRPr="00607236">
        <w:t xml:space="preserve"> </w:t>
      </w:r>
      <w:r w:rsidRPr="00D84E00">
        <w:t>1902-0260</w:t>
      </w:r>
    </w:p>
    <w:p w:rsidRPr="00607236" w:rsidR="0056417B" w:rsidP="0056417B" w:rsidRDefault="0056417B" w14:paraId="300475F2" w14:textId="69B329D8">
      <w:pPr>
        <w:spacing w:line="480" w:lineRule="auto"/>
      </w:pPr>
      <w:r w:rsidRPr="00607236">
        <w:rPr>
          <w:i/>
        </w:rPr>
        <w:t>Type of Request:</w:t>
      </w:r>
      <w:r w:rsidRPr="00607236">
        <w:t xml:space="preserve"> </w:t>
      </w:r>
      <w:r w:rsidRPr="00607236" w:rsidR="008C3E0A">
        <w:t xml:space="preserve">Request for comment on the </w:t>
      </w:r>
      <w:r w:rsidR="000C794F">
        <w:t>revised</w:t>
      </w:r>
      <w:r w:rsidR="00C9673E">
        <w:t xml:space="preserve"> </w:t>
      </w:r>
      <w:r w:rsidRPr="00607236" w:rsidR="008C3E0A">
        <w:t xml:space="preserve">information collection requirements </w:t>
      </w:r>
      <w:r w:rsidR="00DE55ED">
        <w:t xml:space="preserve">resulting from </w:t>
      </w:r>
      <w:r w:rsidR="009E3938">
        <w:t xml:space="preserve">Docket No. </w:t>
      </w:r>
      <w:r w:rsidRPr="00607236" w:rsidR="008C3E0A">
        <w:t>RD22-1-000</w:t>
      </w:r>
      <w:r w:rsidR="0084281F">
        <w:rPr>
          <w:rStyle w:val="FootnoteReference"/>
        </w:rPr>
        <w:footnoteReference w:id="1"/>
      </w:r>
      <w:r w:rsidR="00364715">
        <w:t xml:space="preserve"> and the three</w:t>
      </w:r>
      <w:r w:rsidR="00007FFB">
        <w:t>-</w:t>
      </w:r>
      <w:r w:rsidR="00364715">
        <w:t>year extension of FERC</w:t>
      </w:r>
      <w:r w:rsidR="00D217D3">
        <w:t>-</w:t>
      </w:r>
      <w:r w:rsidR="00364715">
        <w:t xml:space="preserve">725K. </w:t>
      </w:r>
      <w:r w:rsidRPr="00607236" w:rsidR="00364715">
        <w:t xml:space="preserve"> </w:t>
      </w:r>
    </w:p>
    <w:p w:rsidRPr="00607236" w:rsidR="0056417B" w:rsidP="0056417B" w:rsidRDefault="0056417B" w14:paraId="362D7EFD" w14:textId="75461372">
      <w:pPr>
        <w:spacing w:line="480" w:lineRule="auto"/>
      </w:pPr>
      <w:r w:rsidRPr="00607236">
        <w:rPr>
          <w:i/>
        </w:rPr>
        <w:lastRenderedPageBreak/>
        <w:t>Abstract:</w:t>
      </w:r>
      <w:r w:rsidR="00072BBE">
        <w:rPr>
          <w:i/>
        </w:rPr>
        <w:t xml:space="preserve"> </w:t>
      </w:r>
      <w:r w:rsidRPr="00607236">
        <w:rPr>
          <w:i/>
        </w:rPr>
        <w:t xml:space="preserve"> </w:t>
      </w:r>
      <w:r w:rsidRPr="00607236">
        <w:t>Section 215 of the Federal Power Act (FPA)</w:t>
      </w:r>
      <w:r w:rsidR="0084281F">
        <w:rPr>
          <w:rStyle w:val="FootnoteReference"/>
        </w:rPr>
        <w:footnoteReference w:id="2"/>
      </w:r>
      <w:r w:rsidR="0084281F">
        <w:t xml:space="preserve"> </w:t>
      </w:r>
      <w:r w:rsidRPr="00607236">
        <w:t xml:space="preserve">requires a Commission-certified Electric Reliability Organization (ERO) to develop mandatory and enforceable Reliability Standards, which are subject to Commission review and approval.  Once approved, the Reliability Standards may be enforced by NERC, subject to Commission oversight, or by the Commission independently.   </w:t>
      </w:r>
    </w:p>
    <w:p w:rsidRPr="00607236" w:rsidR="0056417B" w:rsidP="0092639F" w:rsidRDefault="0056417B" w14:paraId="0A6D71A0" w14:textId="77777777">
      <w:pPr>
        <w:spacing w:line="480" w:lineRule="auto"/>
        <w:ind w:firstLine="720"/>
      </w:pPr>
      <w:r w:rsidRPr="00607236">
        <w:t>Reliability Standards that NERC proposes to the Commission may include Reliability Standards that are proposed by a Regional Entity to be effective in that region.   In Order No. 672, the Commission noted that:</w:t>
      </w:r>
    </w:p>
    <w:p w:rsidR="0056417B" w:rsidP="009874CA" w:rsidRDefault="0056417B" w14:paraId="23ACC611" w14:textId="321ACFEA">
      <w:pPr>
        <w:ind w:left="720"/>
      </w:pPr>
      <w:r w:rsidRPr="00607236">
        <w:t>As a general matter, we will accept the following two types of regional differences, provided they are otherwise just, reasonable, not unduly discriminatory or preferential and in the public interest, as required under the statute:  (1) a regional difference that is more stringent than the continent-wide Reliability Standard, including a regional difference that addresses matters that the continent-wide Reliability Standard does not; and (2) a regional Reliability Standard that is necessitated by a physical difference in the Bulk-Power System.</w:t>
      </w:r>
    </w:p>
    <w:p w:rsidRPr="00607236" w:rsidR="009874CA" w:rsidP="009D0AF3" w:rsidRDefault="009874CA" w14:paraId="49A71528" w14:textId="77777777">
      <w:pPr>
        <w:ind w:left="720"/>
      </w:pPr>
    </w:p>
    <w:p w:rsidR="0092639F" w:rsidP="0092639F" w:rsidRDefault="0092639F" w14:paraId="7A64ACC5" w14:textId="3204B017">
      <w:pPr>
        <w:spacing w:line="480" w:lineRule="auto"/>
        <w:ind w:firstLine="720"/>
        <w:rPr>
          <w:iCs/>
          <w:szCs w:val="26"/>
        </w:rPr>
      </w:pPr>
      <w:r w:rsidRPr="008B7562">
        <w:rPr>
          <w:iCs/>
          <w:szCs w:val="26"/>
        </w:rPr>
        <w:t>When NERC reviews a regional Reliability Standard that would be applicable on an interconnection-wide basis and that has been proposed by a Regional Entity organized on an interconnection-wide basis, NERC must rebuttably presume that the regional Reliability Standard is just, reasonable, not unduly discriminatory or preferential, and in the public interest.</w:t>
      </w:r>
      <w:r w:rsidRPr="008B7562">
        <w:rPr>
          <w:b/>
          <w:iCs/>
          <w:szCs w:val="26"/>
          <w:vertAlign w:val="superscript"/>
        </w:rPr>
        <w:footnoteReference w:id="3"/>
      </w:r>
      <w:r w:rsidRPr="008B7562">
        <w:rPr>
          <w:iCs/>
          <w:szCs w:val="26"/>
        </w:rPr>
        <w:t xml:space="preserve">  In turn, the Commission must give “due weight” to the technical expertise of NERC and of a Regional Entity organized on an interconnection-wide basis.</w:t>
      </w:r>
      <w:r w:rsidRPr="008B7562">
        <w:rPr>
          <w:b/>
          <w:iCs/>
          <w:szCs w:val="26"/>
          <w:vertAlign w:val="superscript"/>
        </w:rPr>
        <w:footnoteReference w:id="4"/>
      </w:r>
    </w:p>
    <w:p w:rsidR="00D76243" w:rsidP="0092639F" w:rsidRDefault="00C9673E" w14:paraId="3A6AD494" w14:textId="77777777">
      <w:pPr>
        <w:spacing w:line="480" w:lineRule="auto"/>
        <w:ind w:firstLine="720"/>
        <w:rPr>
          <w:iCs/>
          <w:szCs w:val="26"/>
        </w:rPr>
      </w:pPr>
      <w:r>
        <w:rPr>
          <w:iCs/>
          <w:szCs w:val="26"/>
        </w:rPr>
        <w:lastRenderedPageBreak/>
        <w:t>As stated in the NERC Petition, i</w:t>
      </w:r>
      <w:r w:rsidRPr="001333BD" w:rsidR="0092639F">
        <w:rPr>
          <w:iCs/>
          <w:szCs w:val="26"/>
        </w:rPr>
        <w:t xml:space="preserve">n 2008, SERC commenced work on </w:t>
      </w:r>
      <w:r>
        <w:rPr>
          <w:iCs/>
          <w:szCs w:val="26"/>
        </w:rPr>
        <w:t xml:space="preserve">Reliability Standard </w:t>
      </w:r>
      <w:r w:rsidRPr="001333BD" w:rsidR="0092639F">
        <w:rPr>
          <w:iCs/>
          <w:szCs w:val="26"/>
        </w:rPr>
        <w:t xml:space="preserve">PRC-006-SERC-01. </w:t>
      </w:r>
      <w:r w:rsidR="0092639F">
        <w:rPr>
          <w:iCs/>
          <w:szCs w:val="26"/>
        </w:rPr>
        <w:t xml:space="preserve"> </w:t>
      </w:r>
      <w:r w:rsidRPr="001333BD" w:rsidR="0092639F">
        <w:rPr>
          <w:iCs/>
          <w:szCs w:val="26"/>
        </w:rPr>
        <w:t>NERC also began work on revising PRC-006-0 at a continent-wide level.</w:t>
      </w:r>
      <w:r w:rsidR="00072BBE">
        <w:rPr>
          <w:iCs/>
          <w:szCs w:val="26"/>
        </w:rPr>
        <w:t xml:space="preserve"> </w:t>
      </w:r>
      <w:r w:rsidRPr="001333BD" w:rsidR="0092639F">
        <w:rPr>
          <w:iCs/>
          <w:szCs w:val="26"/>
        </w:rPr>
        <w:t xml:space="preserve"> The SERC standard has been developed to be consistent with the NERC UFLS standard. </w:t>
      </w:r>
      <w:r w:rsidR="0092639F">
        <w:rPr>
          <w:iCs/>
          <w:szCs w:val="26"/>
        </w:rPr>
        <w:t xml:space="preserve"> </w:t>
      </w:r>
      <w:r w:rsidRPr="001333BD" w:rsidR="0092639F">
        <w:rPr>
          <w:iCs/>
          <w:szCs w:val="26"/>
        </w:rPr>
        <w:t xml:space="preserve">PRC-006-SERC-02 was developed </w:t>
      </w:r>
      <w:r>
        <w:rPr>
          <w:iCs/>
          <w:szCs w:val="26"/>
        </w:rPr>
        <w:t xml:space="preserve">due to </w:t>
      </w:r>
      <w:r w:rsidRPr="001333BD" w:rsidR="0092639F">
        <w:rPr>
          <w:iCs/>
          <w:szCs w:val="26"/>
        </w:rPr>
        <w:t>periodic review of the standard</w:t>
      </w:r>
      <w:r w:rsidR="00E620EC">
        <w:rPr>
          <w:iCs/>
          <w:szCs w:val="26"/>
        </w:rPr>
        <w:t xml:space="preserve"> and </w:t>
      </w:r>
      <w:r w:rsidRPr="001333BD" w:rsidR="0092639F">
        <w:rPr>
          <w:iCs/>
          <w:szCs w:val="26"/>
        </w:rPr>
        <w:t>PRC-006-1 clearly defines the roles and responsibilities of parties to whom the standard applies.</w:t>
      </w:r>
    </w:p>
    <w:p w:rsidRPr="00291B98" w:rsidR="00291B98" w:rsidP="00291B98" w:rsidRDefault="005F5584" w14:paraId="1C16A05B" w14:textId="04B59B33">
      <w:pPr>
        <w:spacing w:line="480" w:lineRule="auto"/>
        <w:ind w:firstLine="720"/>
        <w:rPr>
          <w:iCs/>
          <w:szCs w:val="26"/>
        </w:rPr>
      </w:pPr>
      <w:r>
        <w:rPr>
          <w:iCs/>
          <w:szCs w:val="26"/>
        </w:rPr>
        <w:t>On February 18,</w:t>
      </w:r>
      <w:r w:rsidR="00291B98">
        <w:rPr>
          <w:iCs/>
          <w:szCs w:val="26"/>
        </w:rPr>
        <w:t xml:space="preserve"> 2022 FERC issued the </w:t>
      </w:r>
      <w:r w:rsidR="006D3328">
        <w:rPr>
          <w:iCs/>
          <w:szCs w:val="26"/>
        </w:rPr>
        <w:t>Delegated L</w:t>
      </w:r>
      <w:r w:rsidR="00291B98">
        <w:rPr>
          <w:iCs/>
          <w:szCs w:val="26"/>
        </w:rPr>
        <w:t xml:space="preserve">etter </w:t>
      </w:r>
      <w:r w:rsidR="004F6E97">
        <w:rPr>
          <w:iCs/>
          <w:szCs w:val="26"/>
        </w:rPr>
        <w:t>O</w:t>
      </w:r>
      <w:r w:rsidR="00291B98">
        <w:rPr>
          <w:iCs/>
          <w:szCs w:val="26"/>
        </w:rPr>
        <w:t xml:space="preserve">rder </w:t>
      </w:r>
      <w:r w:rsidR="006D3328">
        <w:rPr>
          <w:iCs/>
          <w:szCs w:val="26"/>
        </w:rPr>
        <w:t xml:space="preserve">in </w:t>
      </w:r>
      <w:r w:rsidRPr="00291B98" w:rsidR="00291B98">
        <w:rPr>
          <w:iCs/>
          <w:szCs w:val="26"/>
        </w:rPr>
        <w:t xml:space="preserve">Docket No.  RD22-1-000 </w:t>
      </w:r>
      <w:r w:rsidR="006D3328">
        <w:rPr>
          <w:iCs/>
          <w:szCs w:val="26"/>
        </w:rPr>
        <w:t xml:space="preserve">approving </w:t>
      </w:r>
      <w:r w:rsidR="00291B98">
        <w:rPr>
          <w:iCs/>
          <w:szCs w:val="26"/>
        </w:rPr>
        <w:t>the NERC petition</w:t>
      </w:r>
      <w:r w:rsidR="004F6E97">
        <w:rPr>
          <w:iCs/>
          <w:szCs w:val="26"/>
        </w:rPr>
        <w:t>’s request</w:t>
      </w:r>
      <w:r w:rsidR="00291B98">
        <w:rPr>
          <w:iCs/>
          <w:szCs w:val="26"/>
        </w:rPr>
        <w:t xml:space="preserve"> </w:t>
      </w:r>
      <w:r w:rsidRPr="00291B98" w:rsidR="00291B98">
        <w:rPr>
          <w:iCs/>
          <w:szCs w:val="26"/>
        </w:rPr>
        <w:t>(</w:t>
      </w:r>
      <w:r w:rsidRPr="00291B98" w:rsidR="00291B98">
        <w:rPr>
          <w:i/>
          <w:iCs/>
          <w:szCs w:val="26"/>
        </w:rPr>
        <w:t>Joint Petition of the North American Electric Reliability Corporation and SERC Reliability Corporation for Approval of Proposed Regional Reliability Standard PRC-006-SERC-03</w:t>
      </w:r>
      <w:r w:rsidR="00291B98">
        <w:rPr>
          <w:iCs/>
          <w:szCs w:val="26"/>
        </w:rPr>
        <w:t xml:space="preserve">), which modifies the </w:t>
      </w:r>
      <w:r w:rsidRPr="00291B98" w:rsidR="00291B98">
        <w:rPr>
          <w:iCs/>
          <w:szCs w:val="26"/>
        </w:rPr>
        <w:t>information collection of FERC-725K.</w:t>
      </w:r>
      <w:r w:rsidR="00291B98">
        <w:rPr>
          <w:iCs/>
          <w:szCs w:val="26"/>
        </w:rPr>
        <w:t xml:space="preserve"> </w:t>
      </w:r>
      <w:r w:rsidRPr="00291B98" w:rsidR="00291B98">
        <w:rPr>
          <w:iCs/>
          <w:szCs w:val="26"/>
        </w:rPr>
        <w:t xml:space="preserve">The collection follows the NERC Petition request in Docket No. RD22-1-000 which proposes to update the reliability standard for the SERC region from PRC-006-SERC-02 to PRC-006-SERC-03.  As stated in the NERC Petition submitted on December 14, 2021, the updated reliability standard provides additional flexibility for planning coordinators to adjust island boundaries to perform more accurate studies; address the transition of the Florida Reliability Coordinating Council (FRCC) registered entities to SERC following the dissolution of the FRCC on July 1, 2019; and to clarify technical requirements within the UFLS settings that are unique to the Florida peninsula.  When FRCC was dissolved and the registered entities located in the Florida peninsula would eventually became subject to SERC’s regional Reliability Standard PRC-006-SERC-02. </w:t>
      </w:r>
    </w:p>
    <w:p w:rsidR="009874CA" w:rsidP="0092639F" w:rsidRDefault="0092639F" w14:paraId="314BFAEA" w14:textId="26D3880A">
      <w:pPr>
        <w:spacing w:line="480" w:lineRule="auto"/>
        <w:ind w:firstLine="720"/>
        <w:rPr>
          <w:iCs/>
          <w:szCs w:val="26"/>
        </w:rPr>
      </w:pPr>
      <w:r w:rsidRPr="001333BD">
        <w:rPr>
          <w:iCs/>
          <w:szCs w:val="26"/>
        </w:rPr>
        <w:lastRenderedPageBreak/>
        <w:t>The</w:t>
      </w:r>
      <w:r w:rsidR="00E620EC">
        <w:rPr>
          <w:iCs/>
          <w:szCs w:val="26"/>
        </w:rPr>
        <w:t xml:space="preserve"> PRC-006-1</w:t>
      </w:r>
      <w:r w:rsidRPr="001333BD">
        <w:rPr>
          <w:iCs/>
          <w:szCs w:val="26"/>
        </w:rPr>
        <w:t xml:space="preserve"> standard identifies the Planning Coordinator (PC) as the entity responsible for developing </w:t>
      </w:r>
      <w:r w:rsidR="00D76243">
        <w:rPr>
          <w:iCs/>
          <w:szCs w:val="26"/>
        </w:rPr>
        <w:t>underfrequency load shedding (</w:t>
      </w:r>
      <w:r w:rsidRPr="001333BD">
        <w:rPr>
          <w:iCs/>
          <w:szCs w:val="26"/>
        </w:rPr>
        <w:t>UFLS</w:t>
      </w:r>
      <w:r w:rsidR="00D76243">
        <w:rPr>
          <w:iCs/>
          <w:szCs w:val="26"/>
        </w:rPr>
        <w:t>)</w:t>
      </w:r>
      <w:r w:rsidRPr="001333BD">
        <w:rPr>
          <w:iCs/>
          <w:szCs w:val="26"/>
        </w:rPr>
        <w:t xml:space="preserve"> schemes within their PC area. </w:t>
      </w:r>
      <w:r>
        <w:rPr>
          <w:iCs/>
          <w:szCs w:val="26"/>
        </w:rPr>
        <w:t xml:space="preserve"> </w:t>
      </w:r>
      <w:r w:rsidRPr="001333BD">
        <w:rPr>
          <w:iCs/>
          <w:szCs w:val="26"/>
        </w:rPr>
        <w:t>The regional standard</w:t>
      </w:r>
      <w:r w:rsidR="00E620EC">
        <w:rPr>
          <w:iCs/>
          <w:szCs w:val="26"/>
        </w:rPr>
        <w:t xml:space="preserve"> (PRC-006-SERC-03)</w:t>
      </w:r>
      <w:r w:rsidRPr="001333BD">
        <w:rPr>
          <w:iCs/>
          <w:szCs w:val="26"/>
        </w:rPr>
        <w:t xml:space="preserve"> adds specificity not contained in the NERC standard for a UFLS scheme in the SERC Region</w:t>
      </w:r>
      <w:r w:rsidR="00E620EC">
        <w:rPr>
          <w:iCs/>
          <w:szCs w:val="26"/>
        </w:rPr>
        <w:t>.</w:t>
      </w:r>
      <w:r w:rsidRPr="001333BD">
        <w:rPr>
          <w:iCs/>
          <w:szCs w:val="26"/>
        </w:rPr>
        <w:t xml:space="preserve"> </w:t>
      </w:r>
      <w:r w:rsidR="00E620EC">
        <w:rPr>
          <w:iCs/>
          <w:szCs w:val="26"/>
        </w:rPr>
        <w:t xml:space="preserve">The added specificity that PRC-006-SERC-03 provides </w:t>
      </w:r>
      <w:r w:rsidRPr="001333BD">
        <w:rPr>
          <w:iCs/>
          <w:szCs w:val="26"/>
        </w:rPr>
        <w:t>effectively mitigates the consequences of an underfrequency event.</w:t>
      </w:r>
    </w:p>
    <w:p w:rsidR="0092639F" w:rsidP="0092639F" w:rsidRDefault="0092639F" w14:paraId="37923FD1" w14:textId="4452006B">
      <w:pPr>
        <w:spacing w:line="480" w:lineRule="auto"/>
        <w:ind w:firstLine="720"/>
        <w:rPr>
          <w:iCs/>
          <w:szCs w:val="26"/>
        </w:rPr>
      </w:pPr>
      <w:r w:rsidRPr="005038DC">
        <w:rPr>
          <w:iCs/>
          <w:szCs w:val="26"/>
        </w:rPr>
        <w:t xml:space="preserve">The purpose of regional Reliability Standard PRC-006-SERC-03 is to establish consistent and coordinated requirements for the design, implementation, and analysis of automatic UFLS programs among all SERC applicable entities. </w:t>
      </w:r>
      <w:r w:rsidR="002F5B93">
        <w:rPr>
          <w:iCs/>
          <w:szCs w:val="26"/>
        </w:rPr>
        <w:t xml:space="preserve"> </w:t>
      </w:r>
      <w:r w:rsidR="000C794F">
        <w:rPr>
          <w:iCs/>
          <w:szCs w:val="26"/>
        </w:rPr>
        <w:t xml:space="preserve">The </w:t>
      </w:r>
      <w:r w:rsidRPr="005038DC">
        <w:rPr>
          <w:iCs/>
          <w:szCs w:val="26"/>
        </w:rPr>
        <w:t>regional Reliability Standard PRC</w:t>
      </w:r>
      <w:r>
        <w:rPr>
          <w:iCs/>
          <w:szCs w:val="26"/>
        </w:rPr>
        <w:t>-</w:t>
      </w:r>
      <w:r w:rsidRPr="005038DC">
        <w:rPr>
          <w:iCs/>
          <w:szCs w:val="26"/>
        </w:rPr>
        <w:t xml:space="preserve">006-SERC-03 incorporates revisions to: </w:t>
      </w:r>
      <w:r>
        <w:rPr>
          <w:iCs/>
          <w:szCs w:val="26"/>
        </w:rPr>
        <w:t xml:space="preserve"> </w:t>
      </w:r>
      <w:r w:rsidRPr="005038DC">
        <w:rPr>
          <w:iCs/>
          <w:szCs w:val="26"/>
        </w:rPr>
        <w:t>(i) provide more flexibility for Planning Coordinators to adjust island boundaries in order to perform more accurate and complete studies;</w:t>
      </w:r>
      <w:r>
        <w:rPr>
          <w:iCs/>
          <w:szCs w:val="26"/>
        </w:rPr>
        <w:t xml:space="preserve"> </w:t>
      </w:r>
      <w:r w:rsidRPr="005038DC">
        <w:rPr>
          <w:iCs/>
          <w:szCs w:val="26"/>
        </w:rPr>
        <w:t xml:space="preserve"> (ii) address the transition of Florida Reliability Coordinating Council (“FRCC”) registered entities to SERC following the dissolution of FRCC as a regional entity on July 1, 2019;</w:t>
      </w:r>
      <w:r>
        <w:rPr>
          <w:rStyle w:val="FootnoteReference"/>
          <w:iCs/>
        </w:rPr>
        <w:footnoteReference w:id="5"/>
      </w:r>
      <w:r w:rsidRPr="005038DC">
        <w:rPr>
          <w:iCs/>
          <w:szCs w:val="26"/>
        </w:rPr>
        <w:t xml:space="preserve"> </w:t>
      </w:r>
      <w:r>
        <w:rPr>
          <w:iCs/>
          <w:szCs w:val="26"/>
        </w:rPr>
        <w:t xml:space="preserve">  </w:t>
      </w:r>
      <w:r w:rsidRPr="005038DC">
        <w:rPr>
          <w:iCs/>
          <w:szCs w:val="26"/>
        </w:rPr>
        <w:t>(iii) clarify a technical term used in the regional Reliability Standar</w:t>
      </w:r>
      <w:r>
        <w:rPr>
          <w:iCs/>
          <w:szCs w:val="26"/>
        </w:rPr>
        <w:t>d</w:t>
      </w:r>
      <w:r w:rsidRPr="005038DC">
        <w:rPr>
          <w:iCs/>
          <w:szCs w:val="26"/>
        </w:rPr>
        <w:t>;</w:t>
      </w:r>
      <w:r>
        <w:rPr>
          <w:iCs/>
          <w:szCs w:val="26"/>
        </w:rPr>
        <w:t xml:space="preserve"> </w:t>
      </w:r>
      <w:r w:rsidRPr="005038DC">
        <w:rPr>
          <w:iCs/>
          <w:szCs w:val="26"/>
        </w:rPr>
        <w:t xml:space="preserve">and </w:t>
      </w:r>
      <w:r>
        <w:rPr>
          <w:iCs/>
          <w:szCs w:val="26"/>
        </w:rPr>
        <w:t xml:space="preserve"> </w:t>
      </w:r>
      <w:r w:rsidRPr="005038DC">
        <w:rPr>
          <w:iCs/>
          <w:szCs w:val="26"/>
        </w:rPr>
        <w:t>(iv) align requirement language with the current continent-wide NERC Reliability Standard, PRC-006-5.</w:t>
      </w:r>
    </w:p>
    <w:p w:rsidRPr="002B2530" w:rsidR="0092639F" w:rsidP="0092639F" w:rsidRDefault="0092639F" w14:paraId="00A70B8A" w14:textId="509660EE">
      <w:pPr>
        <w:spacing w:line="480" w:lineRule="auto"/>
        <w:ind w:firstLine="720"/>
        <w:rPr>
          <w:iCs/>
          <w:szCs w:val="26"/>
        </w:rPr>
      </w:pPr>
      <w:r w:rsidRPr="005038DC">
        <w:rPr>
          <w:iCs/>
          <w:szCs w:val="26"/>
        </w:rPr>
        <w:t>Currently effective regional Reliability Standard PRC-006-SERC-02 was approved by the</w:t>
      </w:r>
      <w:r>
        <w:rPr>
          <w:iCs/>
          <w:szCs w:val="26"/>
        </w:rPr>
        <w:t xml:space="preserve"> </w:t>
      </w:r>
      <w:r w:rsidRPr="005038DC">
        <w:rPr>
          <w:iCs/>
          <w:szCs w:val="26"/>
        </w:rPr>
        <w:t>Commission on October 16, 2017</w:t>
      </w:r>
      <w:r>
        <w:rPr>
          <w:rStyle w:val="FootnoteReference"/>
          <w:iCs/>
        </w:rPr>
        <w:footnoteReference w:id="6"/>
      </w:r>
      <w:r w:rsidRPr="005038DC">
        <w:rPr>
          <w:iCs/>
          <w:szCs w:val="26"/>
        </w:rPr>
        <w:t xml:space="preserve"> and became effective </w:t>
      </w:r>
      <w:r w:rsidR="005C4A04">
        <w:rPr>
          <w:iCs/>
          <w:szCs w:val="26"/>
        </w:rPr>
        <w:t>for</w:t>
      </w:r>
      <w:r w:rsidRPr="005038DC" w:rsidR="005C4A04">
        <w:rPr>
          <w:iCs/>
          <w:szCs w:val="26"/>
        </w:rPr>
        <w:t xml:space="preserve"> </w:t>
      </w:r>
      <w:r w:rsidRPr="005038DC">
        <w:rPr>
          <w:iCs/>
          <w:szCs w:val="26"/>
        </w:rPr>
        <w:t xml:space="preserve">registered entities in the SERC region on January 1, 2018. </w:t>
      </w:r>
      <w:r>
        <w:rPr>
          <w:iCs/>
          <w:szCs w:val="26"/>
        </w:rPr>
        <w:t xml:space="preserve"> </w:t>
      </w:r>
      <w:r w:rsidRPr="005038DC">
        <w:rPr>
          <w:iCs/>
          <w:szCs w:val="26"/>
        </w:rPr>
        <w:t xml:space="preserve">Following the addition of FRCC’s </w:t>
      </w:r>
      <w:r w:rsidRPr="005038DC">
        <w:rPr>
          <w:iCs/>
          <w:szCs w:val="26"/>
        </w:rPr>
        <w:lastRenderedPageBreak/>
        <w:t xml:space="preserve">registered entities to SERC in 2019, SERC initiated a project to review PRC-006-SERC-02. SERC’s Dynamics Working Group identified the need to revise the regional Reliability Standard to account for UFLS settings that are unique to the Florida peninsula. </w:t>
      </w:r>
      <w:r>
        <w:rPr>
          <w:iCs/>
          <w:szCs w:val="26"/>
        </w:rPr>
        <w:t xml:space="preserve"> </w:t>
      </w:r>
      <w:r w:rsidRPr="005038DC">
        <w:rPr>
          <w:iCs/>
          <w:szCs w:val="26"/>
        </w:rPr>
        <w:t xml:space="preserve">As part of this project, SERC also identified other opportunities to enhance the regional </w:t>
      </w:r>
      <w:r w:rsidRPr="00D75F56">
        <w:rPr>
          <w:iCs/>
          <w:szCs w:val="26"/>
        </w:rPr>
        <w:t>standard.</w:t>
      </w:r>
    </w:p>
    <w:p w:rsidRPr="00D75F56" w:rsidR="002F5B93" w:rsidP="00D84E00" w:rsidRDefault="002F5B93" w14:paraId="4E07CA85" w14:textId="1B1170A1">
      <w:pPr>
        <w:spacing w:line="480" w:lineRule="auto"/>
        <w:ind w:firstLine="720"/>
        <w:rPr>
          <w:iCs/>
          <w:szCs w:val="26"/>
        </w:rPr>
      </w:pPr>
      <w:r w:rsidRPr="00D84E00">
        <w:rPr>
          <w:iCs/>
          <w:szCs w:val="26"/>
        </w:rPr>
        <w:t xml:space="preserve">SERC </w:t>
      </w:r>
      <w:r w:rsidR="00DE55ED">
        <w:rPr>
          <w:iCs/>
          <w:szCs w:val="26"/>
        </w:rPr>
        <w:t>proposed</w:t>
      </w:r>
      <w:r w:rsidRPr="00D84E00">
        <w:rPr>
          <w:iCs/>
          <w:szCs w:val="26"/>
        </w:rPr>
        <w:t xml:space="preserve"> to modify its UFLS Standard, PRC-006-SERC-02.  Requirements R1 and R7 of the currently effective standard are r</w:t>
      </w:r>
      <w:r w:rsidR="000C794F">
        <w:rPr>
          <w:iCs/>
          <w:szCs w:val="26"/>
        </w:rPr>
        <w:t>emoved</w:t>
      </w:r>
      <w:r w:rsidRPr="00D84E00">
        <w:rPr>
          <w:iCs/>
          <w:szCs w:val="26"/>
        </w:rPr>
        <w:t xml:space="preserve"> in </w:t>
      </w:r>
      <w:r w:rsidR="000C794F">
        <w:rPr>
          <w:iCs/>
          <w:szCs w:val="26"/>
        </w:rPr>
        <w:t xml:space="preserve">the updated </w:t>
      </w:r>
      <w:r w:rsidRPr="00D84E00">
        <w:rPr>
          <w:iCs/>
          <w:szCs w:val="26"/>
        </w:rPr>
        <w:t>regional Reliability PRC-006-SERC-03, but the numbering for the remaining Requirements is unchanged in the interest of administrative convenience.</w:t>
      </w:r>
      <w:r w:rsidRPr="00D84E00">
        <w:rPr>
          <w:rStyle w:val="FootnoteReference"/>
          <w:iCs/>
        </w:rPr>
        <w:footnoteReference w:id="7"/>
      </w:r>
    </w:p>
    <w:p w:rsidR="00D76243" w:rsidP="00D84E00" w:rsidRDefault="002F5B93" w14:paraId="3162FBD6" w14:textId="77777777">
      <w:pPr>
        <w:spacing w:line="480" w:lineRule="auto"/>
        <w:ind w:firstLine="720"/>
        <w:rPr>
          <w:iCs/>
          <w:szCs w:val="26"/>
        </w:rPr>
      </w:pPr>
      <w:r w:rsidRPr="002B2530">
        <w:rPr>
          <w:iCs/>
          <w:szCs w:val="26"/>
        </w:rPr>
        <w:t>SERC propose</w:t>
      </w:r>
      <w:r w:rsidR="00DE55ED">
        <w:rPr>
          <w:iCs/>
          <w:szCs w:val="26"/>
        </w:rPr>
        <w:t xml:space="preserve">d </w:t>
      </w:r>
      <w:r w:rsidRPr="002B2530">
        <w:rPr>
          <w:iCs/>
          <w:szCs w:val="26"/>
        </w:rPr>
        <w:t xml:space="preserve">to </w:t>
      </w:r>
      <w:r w:rsidRPr="00D84E00">
        <w:rPr>
          <w:iCs/>
          <w:szCs w:val="26"/>
        </w:rPr>
        <w:t>remove</w:t>
      </w:r>
      <w:r w:rsidRPr="00D75F56">
        <w:rPr>
          <w:iCs/>
          <w:szCs w:val="26"/>
        </w:rPr>
        <w:t xml:space="preserve"> </w:t>
      </w:r>
      <w:r w:rsidR="00DE55ED">
        <w:rPr>
          <w:iCs/>
          <w:szCs w:val="26"/>
        </w:rPr>
        <w:t xml:space="preserve">Requirement </w:t>
      </w:r>
      <w:r w:rsidRPr="00D75F56">
        <w:rPr>
          <w:iCs/>
          <w:szCs w:val="26"/>
        </w:rPr>
        <w:t>R1</w:t>
      </w:r>
      <w:r w:rsidRPr="002B2530">
        <w:rPr>
          <w:iCs/>
          <w:szCs w:val="26"/>
        </w:rPr>
        <w:t>, which says:</w:t>
      </w:r>
    </w:p>
    <w:p w:rsidR="002F5B93" w:rsidP="00D76243" w:rsidRDefault="002F5B93" w14:paraId="15C1BE8A" w14:textId="068AE749">
      <w:pPr>
        <w:ind w:left="720" w:right="720"/>
        <w:rPr>
          <w:iCs/>
          <w:szCs w:val="26"/>
        </w:rPr>
      </w:pPr>
      <w:r w:rsidRPr="002B2530">
        <w:rPr>
          <w:iCs/>
          <w:szCs w:val="26"/>
        </w:rPr>
        <w:t xml:space="preserve">Each Planning Coordinator shall include its </w:t>
      </w:r>
      <w:r w:rsidRPr="00A24443">
        <w:rPr>
          <w:iCs/>
          <w:szCs w:val="26"/>
        </w:rPr>
        <w:t>SERC subregion as an identified island in the criteria (required by the NERC PRC standard on UFLS) for selecting portions of the BPS that may form islands</w:t>
      </w:r>
      <w:r w:rsidRPr="00A24443" w:rsidR="007974E6">
        <w:rPr>
          <w:iCs/>
          <w:szCs w:val="26"/>
        </w:rPr>
        <w:t>.</w:t>
      </w:r>
      <w:r w:rsidRPr="00D75F56">
        <w:rPr>
          <w:rStyle w:val="FootnoteReference"/>
          <w:iCs/>
        </w:rPr>
        <w:footnoteReference w:id="8"/>
      </w:r>
    </w:p>
    <w:p w:rsidRPr="00D75F56" w:rsidR="00D76243" w:rsidP="009D0AF3" w:rsidRDefault="00D76243" w14:paraId="27C7C5CC" w14:textId="77777777">
      <w:pPr>
        <w:ind w:left="720" w:right="720"/>
        <w:rPr>
          <w:iCs/>
          <w:szCs w:val="26"/>
        </w:rPr>
      </w:pPr>
    </w:p>
    <w:p w:rsidR="002F5B93" w:rsidRDefault="002F5B93" w14:paraId="5DEE03CB" w14:textId="23E7E4CC">
      <w:pPr>
        <w:spacing w:line="480" w:lineRule="auto"/>
        <w:ind w:firstLine="720"/>
        <w:rPr>
          <w:iCs/>
          <w:szCs w:val="26"/>
        </w:rPr>
      </w:pPr>
      <w:r w:rsidRPr="00D75F56">
        <w:rPr>
          <w:iCs/>
          <w:szCs w:val="26"/>
        </w:rPr>
        <w:t xml:space="preserve">SERC </w:t>
      </w:r>
      <w:r w:rsidR="00DE55ED">
        <w:rPr>
          <w:iCs/>
          <w:szCs w:val="26"/>
        </w:rPr>
        <w:t>proposed the</w:t>
      </w:r>
      <w:r w:rsidRPr="00D75F56">
        <w:rPr>
          <w:iCs/>
          <w:szCs w:val="26"/>
        </w:rPr>
        <w:t xml:space="preserve"> </w:t>
      </w:r>
      <w:r w:rsidRPr="00D84E00">
        <w:rPr>
          <w:iCs/>
          <w:szCs w:val="26"/>
        </w:rPr>
        <w:t>retire</w:t>
      </w:r>
      <w:r w:rsidR="00DE55ED">
        <w:rPr>
          <w:iCs/>
          <w:szCs w:val="26"/>
        </w:rPr>
        <w:t>ment of</w:t>
      </w:r>
      <w:r w:rsidRPr="00D75F56">
        <w:rPr>
          <w:iCs/>
          <w:szCs w:val="26"/>
        </w:rPr>
        <w:t xml:space="preserve"> Requirement R7</w:t>
      </w:r>
      <w:r w:rsidRPr="002B2530">
        <w:rPr>
          <w:iCs/>
          <w:szCs w:val="26"/>
        </w:rPr>
        <w:t>, which sets specific data requirements for Planning Coordinators</w:t>
      </w:r>
      <w:r w:rsidRPr="00A24443" w:rsidR="007974E6">
        <w:rPr>
          <w:iCs/>
          <w:szCs w:val="26"/>
        </w:rPr>
        <w:t xml:space="preserve"> (PCs)</w:t>
      </w:r>
      <w:r w:rsidRPr="00A24443">
        <w:rPr>
          <w:iCs/>
          <w:szCs w:val="26"/>
        </w:rPr>
        <w:t xml:space="preserve"> to provide SERC.  SERC no longer plans to maintain a database of this information; therefore, it propose</w:t>
      </w:r>
      <w:r w:rsidR="00DE55ED">
        <w:rPr>
          <w:iCs/>
          <w:szCs w:val="26"/>
        </w:rPr>
        <w:t>d</w:t>
      </w:r>
      <w:r w:rsidRPr="00A24443">
        <w:rPr>
          <w:iCs/>
          <w:szCs w:val="26"/>
        </w:rPr>
        <w:t xml:space="preserve"> to retire R7,</w:t>
      </w:r>
      <w:r w:rsidRPr="00A24443" w:rsidR="007974E6">
        <w:rPr>
          <w:iCs/>
          <w:szCs w:val="26"/>
        </w:rPr>
        <w:t xml:space="preserve"> that </w:t>
      </w:r>
      <w:r w:rsidRPr="00A24443">
        <w:rPr>
          <w:iCs/>
          <w:szCs w:val="26"/>
        </w:rPr>
        <w:t>remove</w:t>
      </w:r>
      <w:r w:rsidR="00DE55ED">
        <w:rPr>
          <w:iCs/>
          <w:szCs w:val="26"/>
        </w:rPr>
        <w:t>s</w:t>
      </w:r>
      <w:r w:rsidRPr="00A24443">
        <w:rPr>
          <w:iCs/>
          <w:szCs w:val="26"/>
        </w:rPr>
        <w:t xml:space="preserve"> the requirement for SERC to maintain a UFLS database.  SERC notes that this requirement is no longer needed because the continent-wide UFLS standard requires PCs to maintain a UFLS database.</w:t>
      </w:r>
    </w:p>
    <w:p w:rsidRPr="00607236" w:rsidR="00077098" w:rsidP="0056417B" w:rsidRDefault="0056417B" w14:paraId="3D26A86B" w14:textId="1D32CDC3">
      <w:pPr>
        <w:spacing w:line="480" w:lineRule="auto"/>
      </w:pPr>
      <w:r w:rsidRPr="00607236">
        <w:rPr>
          <w:i/>
        </w:rPr>
        <w:t xml:space="preserve">Type of Respondents: </w:t>
      </w:r>
      <w:r w:rsidRPr="00607236">
        <w:t>Entities registered with the North American Electric Reliability Corporation within the SERC region.</w:t>
      </w:r>
    </w:p>
    <w:p w:rsidRPr="00607236" w:rsidR="00DF11CA" w:rsidP="00D84E00" w:rsidRDefault="0056417B" w14:paraId="61EC56BC" w14:textId="176EC150">
      <w:pPr>
        <w:spacing w:line="480" w:lineRule="auto"/>
      </w:pPr>
      <w:r w:rsidRPr="00607236">
        <w:rPr>
          <w:i/>
        </w:rPr>
        <w:lastRenderedPageBreak/>
        <w:t>Estimate of Annual Burden</w:t>
      </w:r>
      <w:r w:rsidRPr="00607236" w:rsidR="00077098">
        <w:rPr>
          <w:i/>
        </w:rPr>
        <w:t>:</w:t>
      </w:r>
      <w:r w:rsidRPr="00607236">
        <w:rPr>
          <w:rStyle w:val="FootnoteReference"/>
          <w:i/>
        </w:rPr>
        <w:footnoteReference w:id="9"/>
      </w:r>
      <w:r w:rsidR="00317A63">
        <w:t xml:space="preserve"> </w:t>
      </w:r>
      <w:r w:rsidRPr="00607236" w:rsidR="00DF11CA">
        <w:t xml:space="preserve">Our estimate below regarding the number of respondents is based on the NERC compliance registry as of </w:t>
      </w:r>
      <w:r w:rsidRPr="00607236" w:rsidR="00AD7280">
        <w:t xml:space="preserve">January </w:t>
      </w:r>
      <w:r w:rsidR="002B2530">
        <w:t>7</w:t>
      </w:r>
      <w:r w:rsidRPr="00607236" w:rsidR="00DF11CA">
        <w:t xml:space="preserve">, </w:t>
      </w:r>
      <w:r w:rsidRPr="00607236" w:rsidR="00646408">
        <w:t>202</w:t>
      </w:r>
      <w:r w:rsidR="00646408">
        <w:t>2</w:t>
      </w:r>
      <w:r w:rsidRPr="00607236" w:rsidR="00DF11CA">
        <w:t xml:space="preserve">. </w:t>
      </w:r>
      <w:r w:rsidR="00D84E00">
        <w:t xml:space="preserve"> </w:t>
      </w:r>
      <w:r w:rsidRPr="00607236" w:rsidR="00DF11CA">
        <w:t xml:space="preserve">According to the NERC compliance registry, there are </w:t>
      </w:r>
      <w:r w:rsidRPr="00607236" w:rsidR="00AD7280">
        <w:t>28</w:t>
      </w:r>
      <w:r w:rsidRPr="00607236" w:rsidR="00DF11CA">
        <w:t xml:space="preserve"> planning coordinators</w:t>
      </w:r>
      <w:r w:rsidR="007974E6">
        <w:t xml:space="preserve"> (PC)</w:t>
      </w:r>
      <w:r w:rsidRPr="00607236" w:rsidR="00DF11CA">
        <w:t xml:space="preserve"> and 1</w:t>
      </w:r>
      <w:r w:rsidRPr="00607236" w:rsidR="00AD7280">
        <w:t xml:space="preserve">75 </w:t>
      </w:r>
      <w:r w:rsidRPr="00607236" w:rsidR="00DF11CA">
        <w:t>generator owners</w:t>
      </w:r>
      <w:r w:rsidRPr="00607236" w:rsidR="00AD7280">
        <w:t xml:space="preserve"> (GO)</w:t>
      </w:r>
      <w:r w:rsidRPr="00607236" w:rsidR="00DF11CA">
        <w:t xml:space="preserve"> within the SERC Region. The individual burden estimates are based on the time needed for planning coordinators</w:t>
      </w:r>
      <w:r w:rsidR="00AC3BB6">
        <w:t xml:space="preserve"> </w:t>
      </w:r>
      <w:r w:rsidR="00AC2DC9">
        <w:t xml:space="preserve">and generator operators to meet the requirements of both the </w:t>
      </w:r>
      <w:r w:rsidR="008C3A70">
        <w:t>regional</w:t>
      </w:r>
      <w:r w:rsidR="00AC2DC9">
        <w:t xml:space="preserve"> SERC requirement and the national reliability requirements.  The estimates include the costs to </w:t>
      </w:r>
      <w:r w:rsidR="007974E6">
        <w:t>document</w:t>
      </w:r>
      <w:r w:rsidR="007E6DCC">
        <w:t xml:space="preserve"> and store</w:t>
      </w:r>
      <w:r w:rsidRPr="00607236" w:rsidR="00DF11CA">
        <w:t xml:space="preserve"> data, run studies,</w:t>
      </w:r>
      <w:r w:rsidR="007E6DCC">
        <w:t xml:space="preserve"> assess UFLS design,</w:t>
      </w:r>
      <w:r w:rsidRPr="00607236" w:rsidR="00DF11CA">
        <w:t xml:space="preserve"> </w:t>
      </w:r>
      <w:r w:rsidR="00030FD4">
        <w:t>and</w:t>
      </w:r>
      <w:r w:rsidR="00AC2DC9">
        <w:t xml:space="preserve"> </w:t>
      </w:r>
      <w:r w:rsidRPr="00607236" w:rsidR="00DF11CA">
        <w:t>analyze</w:t>
      </w:r>
      <w:r w:rsidR="007E6DCC">
        <w:t xml:space="preserve"> </w:t>
      </w:r>
      <w:r w:rsidRPr="00607236" w:rsidR="00DF11CA">
        <w:t xml:space="preserve">results </w:t>
      </w:r>
      <w:r w:rsidR="007E6DCC">
        <w:t>from</w:t>
      </w:r>
      <w:r w:rsidRPr="00607236" w:rsidR="00DF11CA">
        <w:t xml:space="preserve"> design</w:t>
      </w:r>
      <w:r w:rsidR="007E6DCC">
        <w:t>, development, and</w:t>
      </w:r>
      <w:r w:rsidRPr="00607236" w:rsidR="00DF11CA">
        <w:t xml:space="preserve"> updat</w:t>
      </w:r>
      <w:r w:rsidR="007E6DCC">
        <w:t>ing of</w:t>
      </w:r>
      <w:r w:rsidRPr="00607236" w:rsidR="00DF11CA">
        <w:t xml:space="preserve"> the UFLS programs</w:t>
      </w:r>
      <w:r w:rsidR="00AC2DC9">
        <w:t xml:space="preserve"> to be compliant with the SERC and NERC standards. </w:t>
      </w:r>
      <w:r w:rsidRPr="00607236" w:rsidR="00BD5A42">
        <w:rPr>
          <w:rStyle w:val="CommentReference"/>
        </w:rPr>
        <w:t xml:space="preserve"> </w:t>
      </w:r>
      <w:r w:rsidRPr="00607236" w:rsidR="00DF11CA">
        <w:t xml:space="preserve">Additionally, generator owners must provide a detailed set of data and documentation to SERC within 30 days of a request to facilitate post event analysis of frequency disturbances. </w:t>
      </w:r>
      <w:r w:rsidR="007E6DCC">
        <w:t xml:space="preserve"> </w:t>
      </w:r>
      <w:r w:rsidRPr="00607236" w:rsidR="00DF11CA">
        <w:t>These burden estimates are consistent with estimates for similar tasks in other Commission-approved Reliability Standards.</w:t>
      </w:r>
    </w:p>
    <w:p w:rsidRPr="00607236" w:rsidR="00AA79D4" w:rsidP="00AA79D4" w:rsidRDefault="005A2A03" w14:paraId="15753883" w14:textId="4EA042DE">
      <w:pPr>
        <w:spacing w:line="480" w:lineRule="auto"/>
        <w:ind w:firstLine="720"/>
      </w:pPr>
      <w:r>
        <w:t xml:space="preserve">There are two burden tables below, the first showing the reduction in burden following RD22-1-000, and the second showing the estimated burden of the collection.  </w:t>
      </w:r>
      <w:r w:rsidRPr="00607236" w:rsidR="0056417B">
        <w:t>The Commission estimates the annual reporting burden and cost for the</w:t>
      </w:r>
      <w:r w:rsidR="005C4A04">
        <w:t xml:space="preserve"> Reliability Standard PRC-006-SERC-3</w:t>
      </w:r>
      <w:r w:rsidRPr="00607236" w:rsidR="0056417B">
        <w:t xml:space="preserve"> as:</w:t>
      </w:r>
    </w:p>
    <w:tbl>
      <w:tblPr>
        <w:tblW w:w="5330"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07"/>
        <w:gridCol w:w="1439"/>
        <w:gridCol w:w="1621"/>
        <w:gridCol w:w="92"/>
        <w:gridCol w:w="1437"/>
        <w:gridCol w:w="1172"/>
        <w:gridCol w:w="1439"/>
        <w:gridCol w:w="1260"/>
      </w:tblGrid>
      <w:tr w:rsidRPr="006034F8" w:rsidR="00C90EAD" w:rsidTr="00AA79D4" w14:paraId="0B1DA4E4" w14:textId="77777777">
        <w:trPr>
          <w:cantSplit/>
        </w:trPr>
        <w:tc>
          <w:tcPr>
            <w:tcW w:w="5000" w:type="pct"/>
            <w:gridSpan w:val="8"/>
            <w:tcBorders>
              <w:top w:val="single" w:color="auto" w:sz="4" w:space="0"/>
              <w:left w:val="single" w:color="auto" w:sz="4" w:space="0"/>
              <w:bottom w:val="single" w:color="auto" w:sz="4" w:space="0"/>
              <w:right w:val="single" w:color="auto" w:sz="4" w:space="0"/>
            </w:tcBorders>
            <w:shd w:val="clear" w:color="auto" w:fill="D9D9D9"/>
            <w:hideMark/>
          </w:tcPr>
          <w:p w:rsidRPr="006034F8" w:rsidR="00C90EAD" w:rsidP="00946195" w:rsidRDefault="00C90EAD" w14:paraId="3EDEF9B0" w14:textId="77777777">
            <w:pPr>
              <w:widowControl w:val="0"/>
              <w:autoSpaceDE w:val="0"/>
              <w:autoSpaceDN w:val="0"/>
              <w:adjustRightInd w:val="0"/>
              <w:jc w:val="center"/>
              <w:rPr>
                <w:rFonts w:eastAsia="Calibri"/>
                <w:b/>
                <w:sz w:val="24"/>
              </w:rPr>
            </w:pPr>
            <w:r w:rsidRPr="006034F8">
              <w:rPr>
                <w:rFonts w:eastAsia="Calibri"/>
                <w:b/>
                <w:sz w:val="24"/>
              </w:rPr>
              <w:t>FERC-725</w:t>
            </w:r>
            <w:r>
              <w:rPr>
                <w:rFonts w:eastAsia="Calibri"/>
                <w:b/>
                <w:sz w:val="24"/>
              </w:rPr>
              <w:t>K</w:t>
            </w:r>
            <w:r w:rsidRPr="006034F8">
              <w:rPr>
                <w:rFonts w:eastAsia="Calibri"/>
                <w:b/>
                <w:sz w:val="24"/>
              </w:rPr>
              <w:t xml:space="preserve">, modifications due to </w:t>
            </w:r>
            <w:r>
              <w:rPr>
                <w:rFonts w:eastAsia="Calibri"/>
                <w:b/>
                <w:sz w:val="24"/>
              </w:rPr>
              <w:t>DLO</w:t>
            </w:r>
            <w:r w:rsidRPr="006034F8">
              <w:rPr>
                <w:rFonts w:eastAsia="Calibri"/>
                <w:b/>
                <w:sz w:val="24"/>
              </w:rPr>
              <w:t xml:space="preserve"> in Docket No. </w:t>
            </w:r>
            <w:r>
              <w:rPr>
                <w:rFonts w:eastAsia="Calibri"/>
                <w:b/>
                <w:sz w:val="24"/>
              </w:rPr>
              <w:t>RD22-1 (reduction in burden)</w:t>
            </w:r>
          </w:p>
        </w:tc>
      </w:tr>
      <w:tr w:rsidRPr="006034F8" w:rsidR="00AA79D4" w:rsidTr="00AA79D4" w14:paraId="718EFCC9" w14:textId="77777777">
        <w:trPr>
          <w:cantSplit/>
        </w:trPr>
        <w:tc>
          <w:tcPr>
            <w:tcW w:w="756" w:type="pct"/>
            <w:tcBorders>
              <w:top w:val="single" w:color="auto" w:sz="4" w:space="0"/>
              <w:left w:val="single" w:color="auto" w:sz="4" w:space="0"/>
              <w:bottom w:val="single" w:color="auto" w:sz="4" w:space="0"/>
              <w:right w:val="single" w:color="auto" w:sz="4" w:space="0"/>
            </w:tcBorders>
            <w:shd w:val="clear" w:color="auto" w:fill="D9D9D9"/>
            <w:hideMark/>
          </w:tcPr>
          <w:p w:rsidRPr="00D84E00" w:rsidR="00C90EAD" w:rsidP="00814C03" w:rsidRDefault="00814C03" w14:paraId="0B4B6B0A" w14:textId="49BC3CBF">
            <w:pPr>
              <w:widowControl w:val="0"/>
              <w:autoSpaceDE w:val="0"/>
              <w:autoSpaceDN w:val="0"/>
              <w:adjustRightInd w:val="0"/>
              <w:jc w:val="center"/>
              <w:rPr>
                <w:rFonts w:eastAsia="Calibri"/>
                <w:b/>
                <w:sz w:val="20"/>
                <w:szCs w:val="20"/>
              </w:rPr>
            </w:pPr>
            <w:r w:rsidRPr="00D84E00">
              <w:rPr>
                <w:rFonts w:eastAsia="Calibri"/>
                <w:b/>
                <w:sz w:val="20"/>
                <w:szCs w:val="20"/>
              </w:rPr>
              <w:lastRenderedPageBreak/>
              <w:br/>
            </w:r>
            <w:r w:rsidRPr="00D84E00">
              <w:rPr>
                <w:rFonts w:eastAsia="Calibri"/>
                <w:b/>
                <w:sz w:val="20"/>
                <w:szCs w:val="20"/>
              </w:rPr>
              <w:br/>
            </w:r>
            <w:r w:rsidRPr="00D84E00" w:rsidR="00C90EAD">
              <w:rPr>
                <w:rFonts w:eastAsia="Calibri"/>
                <w:b/>
                <w:sz w:val="20"/>
                <w:szCs w:val="20"/>
              </w:rPr>
              <w:t>Reliability Standard and Associated Requirement</w:t>
            </w:r>
          </w:p>
        </w:tc>
        <w:tc>
          <w:tcPr>
            <w:tcW w:w="722"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D84E00" w:rsidR="00C90EAD" w:rsidP="001A7F64" w:rsidRDefault="00C90EAD" w14:paraId="6756188D" w14:textId="77777777">
            <w:pPr>
              <w:widowControl w:val="0"/>
              <w:autoSpaceDE w:val="0"/>
              <w:autoSpaceDN w:val="0"/>
              <w:adjustRightInd w:val="0"/>
              <w:jc w:val="center"/>
              <w:rPr>
                <w:rFonts w:eastAsia="Calibri"/>
                <w:b/>
                <w:sz w:val="20"/>
                <w:szCs w:val="20"/>
              </w:rPr>
            </w:pPr>
            <w:r w:rsidRPr="00D84E00">
              <w:rPr>
                <w:rFonts w:eastAsia="Calibri"/>
                <w:b/>
                <w:sz w:val="20"/>
                <w:szCs w:val="20"/>
              </w:rPr>
              <w:t>Number of Respondents</w:t>
            </w:r>
            <w:r w:rsidRPr="00D84E00">
              <w:rPr>
                <w:rFonts w:eastAsia="Calibri"/>
                <w:b/>
                <w:sz w:val="20"/>
                <w:szCs w:val="20"/>
              </w:rPr>
              <w:br/>
              <w:t>(1)</w:t>
            </w:r>
          </w:p>
        </w:tc>
        <w:tc>
          <w:tcPr>
            <w:tcW w:w="813"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D84E00" w:rsidR="00C90EAD" w:rsidP="00D75F56" w:rsidRDefault="00C90EAD" w14:paraId="6CF8C2B8" w14:textId="77777777">
            <w:pPr>
              <w:widowControl w:val="0"/>
              <w:autoSpaceDE w:val="0"/>
              <w:autoSpaceDN w:val="0"/>
              <w:adjustRightInd w:val="0"/>
              <w:jc w:val="center"/>
              <w:rPr>
                <w:rFonts w:eastAsia="Calibri"/>
                <w:b/>
                <w:sz w:val="20"/>
                <w:szCs w:val="20"/>
              </w:rPr>
            </w:pPr>
            <w:r w:rsidRPr="00D84E00">
              <w:rPr>
                <w:rFonts w:eastAsia="Calibri"/>
                <w:b/>
                <w:sz w:val="20"/>
                <w:szCs w:val="20"/>
              </w:rPr>
              <w:t>Annual Number of Responses per Respondent</w:t>
            </w:r>
          </w:p>
          <w:p w:rsidRPr="00D84E00" w:rsidR="00C90EAD" w:rsidP="002B2530" w:rsidRDefault="00C90EAD" w14:paraId="1E530375" w14:textId="77777777">
            <w:pPr>
              <w:widowControl w:val="0"/>
              <w:autoSpaceDE w:val="0"/>
              <w:autoSpaceDN w:val="0"/>
              <w:adjustRightInd w:val="0"/>
              <w:jc w:val="center"/>
              <w:rPr>
                <w:rFonts w:eastAsia="Calibri"/>
                <w:b/>
                <w:sz w:val="20"/>
                <w:szCs w:val="20"/>
              </w:rPr>
            </w:pPr>
            <w:r w:rsidRPr="00D84E00">
              <w:rPr>
                <w:rFonts w:eastAsia="Calibri"/>
                <w:b/>
                <w:sz w:val="20"/>
                <w:szCs w:val="20"/>
              </w:rPr>
              <w:t>(2)</w:t>
            </w:r>
          </w:p>
        </w:tc>
        <w:tc>
          <w:tcPr>
            <w:tcW w:w="767" w:type="pct"/>
            <w:gridSpan w:val="2"/>
            <w:tcBorders>
              <w:top w:val="single" w:color="auto" w:sz="4" w:space="0"/>
              <w:left w:val="single" w:color="auto" w:sz="4" w:space="0"/>
              <w:bottom w:val="single" w:color="auto" w:sz="4" w:space="0"/>
              <w:right w:val="single" w:color="auto" w:sz="4" w:space="0"/>
            </w:tcBorders>
            <w:shd w:val="clear" w:color="auto" w:fill="D9D9D9"/>
            <w:vAlign w:val="bottom"/>
            <w:hideMark/>
          </w:tcPr>
          <w:p w:rsidRPr="00D84E00" w:rsidR="00C90EAD" w:rsidRDefault="00C90EAD" w14:paraId="71B867A8" w14:textId="77777777">
            <w:pPr>
              <w:widowControl w:val="0"/>
              <w:autoSpaceDE w:val="0"/>
              <w:autoSpaceDN w:val="0"/>
              <w:adjustRightInd w:val="0"/>
              <w:jc w:val="center"/>
              <w:rPr>
                <w:rFonts w:eastAsia="Calibri"/>
                <w:b/>
                <w:sz w:val="20"/>
                <w:szCs w:val="20"/>
              </w:rPr>
            </w:pPr>
            <w:r w:rsidRPr="00D84E00">
              <w:rPr>
                <w:rFonts w:eastAsia="Calibri"/>
                <w:b/>
                <w:sz w:val="20"/>
                <w:szCs w:val="20"/>
              </w:rPr>
              <w:t>Total Number of Responses (1)*(2)=(3)</w:t>
            </w:r>
          </w:p>
        </w:tc>
        <w:tc>
          <w:tcPr>
            <w:tcW w:w="588"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D84E00" w:rsidR="00C90EAD" w:rsidRDefault="00C90EAD" w14:paraId="4A6D9529" w14:textId="77777777">
            <w:pPr>
              <w:widowControl w:val="0"/>
              <w:autoSpaceDE w:val="0"/>
              <w:autoSpaceDN w:val="0"/>
              <w:adjustRightInd w:val="0"/>
              <w:jc w:val="center"/>
              <w:rPr>
                <w:rFonts w:eastAsia="Calibri"/>
                <w:b/>
                <w:sz w:val="20"/>
                <w:szCs w:val="20"/>
              </w:rPr>
            </w:pPr>
            <w:r w:rsidRPr="00D84E00">
              <w:rPr>
                <w:rFonts w:eastAsia="Calibri"/>
                <w:b/>
                <w:sz w:val="20"/>
                <w:szCs w:val="20"/>
              </w:rPr>
              <w:t>Average Burden &amp; Cost Per Response</w:t>
            </w:r>
          </w:p>
          <w:p w:rsidRPr="00D84E00" w:rsidR="00C90EAD" w:rsidRDefault="00C90EAD" w14:paraId="69002CEB" w14:textId="77777777">
            <w:pPr>
              <w:widowControl w:val="0"/>
              <w:autoSpaceDE w:val="0"/>
              <w:autoSpaceDN w:val="0"/>
              <w:adjustRightInd w:val="0"/>
              <w:jc w:val="center"/>
              <w:rPr>
                <w:rFonts w:eastAsia="Calibri"/>
                <w:b/>
                <w:sz w:val="20"/>
                <w:szCs w:val="20"/>
              </w:rPr>
            </w:pPr>
            <w:r w:rsidRPr="00D84E00">
              <w:rPr>
                <w:rFonts w:eastAsia="Calibri"/>
                <w:b/>
                <w:sz w:val="20"/>
                <w:szCs w:val="20"/>
              </w:rPr>
              <w:t>(4)</w:t>
            </w:r>
          </w:p>
        </w:tc>
        <w:tc>
          <w:tcPr>
            <w:tcW w:w="722"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D84E00" w:rsidR="00C90EAD" w:rsidRDefault="00C90EAD" w14:paraId="46C82A35" w14:textId="77777777">
            <w:pPr>
              <w:widowControl w:val="0"/>
              <w:autoSpaceDE w:val="0"/>
              <w:autoSpaceDN w:val="0"/>
              <w:adjustRightInd w:val="0"/>
              <w:jc w:val="center"/>
              <w:rPr>
                <w:rFonts w:eastAsia="Calibri"/>
                <w:b/>
                <w:sz w:val="20"/>
                <w:szCs w:val="20"/>
              </w:rPr>
            </w:pPr>
            <w:r w:rsidRPr="00D84E00">
              <w:rPr>
                <w:rFonts w:eastAsia="Calibri"/>
                <w:b/>
                <w:sz w:val="20"/>
                <w:szCs w:val="20"/>
              </w:rPr>
              <w:t>Total Annual Burden &amp; Total Annual Cost</w:t>
            </w:r>
          </w:p>
          <w:p w:rsidRPr="00D84E00" w:rsidR="00C90EAD" w:rsidRDefault="00C90EAD" w14:paraId="0808103E" w14:textId="77777777">
            <w:pPr>
              <w:widowControl w:val="0"/>
              <w:autoSpaceDE w:val="0"/>
              <w:autoSpaceDN w:val="0"/>
              <w:adjustRightInd w:val="0"/>
              <w:jc w:val="center"/>
              <w:rPr>
                <w:rFonts w:eastAsia="Calibri"/>
                <w:b/>
                <w:sz w:val="20"/>
                <w:szCs w:val="20"/>
              </w:rPr>
            </w:pPr>
            <w:r w:rsidRPr="00D84E00">
              <w:rPr>
                <w:rFonts w:eastAsia="Calibri"/>
                <w:b/>
                <w:sz w:val="20"/>
                <w:szCs w:val="20"/>
              </w:rPr>
              <w:t>(3)*(4)=(5)</w:t>
            </w:r>
          </w:p>
        </w:tc>
        <w:tc>
          <w:tcPr>
            <w:tcW w:w="632"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D84E00" w:rsidR="00C90EAD" w:rsidP="00D84E00" w:rsidRDefault="00C90EAD" w14:paraId="3863DDF6" w14:textId="77777777">
            <w:pPr>
              <w:widowControl w:val="0"/>
              <w:autoSpaceDE w:val="0"/>
              <w:autoSpaceDN w:val="0"/>
              <w:adjustRightInd w:val="0"/>
              <w:jc w:val="center"/>
              <w:rPr>
                <w:rFonts w:eastAsia="Calibri"/>
                <w:b/>
                <w:sz w:val="20"/>
                <w:szCs w:val="20"/>
              </w:rPr>
            </w:pPr>
            <w:r w:rsidRPr="00D84E00">
              <w:rPr>
                <w:rFonts w:eastAsia="Calibri"/>
                <w:b/>
                <w:sz w:val="20"/>
                <w:szCs w:val="20"/>
              </w:rPr>
              <w:t>Cost per Respondent</w:t>
            </w:r>
          </w:p>
          <w:p w:rsidRPr="00D84E00" w:rsidR="00C90EAD" w:rsidP="00D84E00" w:rsidRDefault="00C90EAD" w14:paraId="6A46EC20" w14:textId="2FF72512">
            <w:pPr>
              <w:widowControl w:val="0"/>
              <w:autoSpaceDE w:val="0"/>
              <w:autoSpaceDN w:val="0"/>
              <w:adjustRightInd w:val="0"/>
              <w:jc w:val="center"/>
              <w:rPr>
                <w:rFonts w:eastAsia="Calibri"/>
                <w:b/>
                <w:sz w:val="20"/>
                <w:szCs w:val="20"/>
              </w:rPr>
            </w:pPr>
            <w:r w:rsidRPr="00D84E00">
              <w:rPr>
                <w:rFonts w:eastAsia="Calibri"/>
                <w:b/>
                <w:sz w:val="20"/>
                <w:szCs w:val="20"/>
              </w:rPr>
              <w:t>($)</w:t>
            </w:r>
          </w:p>
          <w:p w:rsidRPr="00D84E00" w:rsidR="00C90EAD" w:rsidP="00D84E00" w:rsidRDefault="00C90EAD" w14:paraId="3DDD6596" w14:textId="77777777">
            <w:pPr>
              <w:widowControl w:val="0"/>
              <w:autoSpaceDE w:val="0"/>
              <w:autoSpaceDN w:val="0"/>
              <w:adjustRightInd w:val="0"/>
              <w:jc w:val="center"/>
              <w:rPr>
                <w:rFonts w:eastAsia="Calibri"/>
                <w:b/>
                <w:sz w:val="20"/>
                <w:szCs w:val="20"/>
              </w:rPr>
            </w:pPr>
            <w:r w:rsidRPr="00D84E00">
              <w:rPr>
                <w:rFonts w:eastAsia="Calibri"/>
                <w:b/>
                <w:sz w:val="20"/>
                <w:szCs w:val="20"/>
              </w:rPr>
              <w:t>(5)÷(1)</w:t>
            </w:r>
          </w:p>
        </w:tc>
      </w:tr>
      <w:tr w:rsidRPr="006034F8" w:rsidR="00511329" w:rsidTr="00AA79D4" w14:paraId="33360725" w14:textId="77777777">
        <w:trPr>
          <w:cantSplit/>
        </w:trPr>
        <w:tc>
          <w:tcPr>
            <w:tcW w:w="5000" w:type="pct"/>
            <w:gridSpan w:val="8"/>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D84E00" w:rsidR="00511329" w:rsidP="00D84E00" w:rsidRDefault="00511329" w14:paraId="1E1F5614" w14:textId="221B09C2">
            <w:pPr>
              <w:widowControl w:val="0"/>
              <w:autoSpaceDE w:val="0"/>
              <w:autoSpaceDN w:val="0"/>
              <w:adjustRightInd w:val="0"/>
              <w:jc w:val="center"/>
              <w:rPr>
                <w:rFonts w:eastAsia="Calibri"/>
                <w:sz w:val="20"/>
                <w:szCs w:val="20"/>
              </w:rPr>
            </w:pPr>
            <w:r w:rsidRPr="00D84E00">
              <w:rPr>
                <w:rFonts w:eastAsia="Calibri"/>
                <w:b/>
                <w:sz w:val="20"/>
                <w:szCs w:val="20"/>
              </w:rPr>
              <w:t>PRC-006-SERC-3</w:t>
            </w:r>
          </w:p>
        </w:tc>
      </w:tr>
      <w:tr w:rsidRPr="006034F8" w:rsidR="00AA79D4" w:rsidTr="00AA79D4" w14:paraId="620D3F99" w14:textId="77777777">
        <w:trPr>
          <w:cantSplit/>
        </w:trPr>
        <w:tc>
          <w:tcPr>
            <w:tcW w:w="756" w:type="pct"/>
            <w:tcBorders>
              <w:top w:val="single" w:color="auto" w:sz="4" w:space="0"/>
              <w:left w:val="single" w:color="auto" w:sz="4" w:space="0"/>
              <w:bottom w:val="single" w:color="auto" w:sz="4" w:space="0"/>
              <w:right w:val="single" w:color="auto" w:sz="4" w:space="0"/>
            </w:tcBorders>
            <w:hideMark/>
          </w:tcPr>
          <w:p w:rsidRPr="00D84E00" w:rsidR="00C90EAD" w:rsidP="00946195" w:rsidRDefault="00C90EAD" w14:paraId="3ABCF407" w14:textId="150C65EF">
            <w:pPr>
              <w:widowControl w:val="0"/>
              <w:autoSpaceDE w:val="0"/>
              <w:autoSpaceDN w:val="0"/>
              <w:adjustRightInd w:val="0"/>
              <w:rPr>
                <w:rFonts w:eastAsia="Calibri"/>
                <w:sz w:val="20"/>
                <w:szCs w:val="20"/>
              </w:rPr>
            </w:pPr>
            <w:r w:rsidRPr="00D84E00">
              <w:rPr>
                <w:rFonts w:eastAsia="Calibri"/>
                <w:sz w:val="20"/>
                <w:szCs w:val="20"/>
              </w:rPr>
              <w:t>PC</w:t>
            </w:r>
            <w:r w:rsidRPr="00D84E00" w:rsidR="008A64C8">
              <w:rPr>
                <w:rFonts w:eastAsia="Calibri"/>
                <w:sz w:val="20"/>
                <w:szCs w:val="20"/>
              </w:rPr>
              <w:t>s: Provide Documentation and Data to SERC</w:t>
            </w:r>
          </w:p>
        </w:tc>
        <w:tc>
          <w:tcPr>
            <w:tcW w:w="722" w:type="pct"/>
            <w:tcBorders>
              <w:top w:val="single" w:color="auto" w:sz="4" w:space="0"/>
              <w:left w:val="single" w:color="auto" w:sz="4" w:space="0"/>
              <w:bottom w:val="single" w:color="auto" w:sz="4" w:space="0"/>
              <w:right w:val="single" w:color="auto" w:sz="4" w:space="0"/>
            </w:tcBorders>
          </w:tcPr>
          <w:p w:rsidRPr="00D84E00" w:rsidR="00C90EAD" w:rsidP="00946195" w:rsidRDefault="00C90EAD" w14:paraId="7DEA855C" w14:textId="01E4ABCD">
            <w:pPr>
              <w:widowControl w:val="0"/>
              <w:autoSpaceDE w:val="0"/>
              <w:autoSpaceDN w:val="0"/>
              <w:adjustRightInd w:val="0"/>
              <w:jc w:val="right"/>
              <w:rPr>
                <w:rFonts w:eastAsia="Calibri"/>
                <w:sz w:val="20"/>
                <w:szCs w:val="20"/>
              </w:rPr>
            </w:pPr>
            <w:r w:rsidRPr="00D84E00">
              <w:rPr>
                <w:rFonts w:eastAsia="Calibri"/>
                <w:sz w:val="20"/>
                <w:szCs w:val="20"/>
              </w:rPr>
              <w:t>28</w:t>
            </w:r>
          </w:p>
        </w:tc>
        <w:tc>
          <w:tcPr>
            <w:tcW w:w="859" w:type="pct"/>
            <w:gridSpan w:val="2"/>
            <w:tcBorders>
              <w:top w:val="single" w:color="auto" w:sz="4" w:space="0"/>
              <w:left w:val="single" w:color="auto" w:sz="4" w:space="0"/>
              <w:bottom w:val="single" w:color="auto" w:sz="4" w:space="0"/>
              <w:right w:val="single" w:color="auto" w:sz="4" w:space="0"/>
            </w:tcBorders>
            <w:hideMark/>
          </w:tcPr>
          <w:p w:rsidRPr="00D84E00" w:rsidR="00C90EAD" w:rsidP="00946195" w:rsidRDefault="00C90EAD" w14:paraId="290B0BF1" w14:textId="77777777">
            <w:pPr>
              <w:widowControl w:val="0"/>
              <w:autoSpaceDE w:val="0"/>
              <w:autoSpaceDN w:val="0"/>
              <w:adjustRightInd w:val="0"/>
              <w:jc w:val="right"/>
              <w:rPr>
                <w:rFonts w:eastAsia="Calibri"/>
                <w:sz w:val="20"/>
                <w:szCs w:val="20"/>
              </w:rPr>
            </w:pPr>
            <w:r w:rsidRPr="00D84E00">
              <w:rPr>
                <w:rFonts w:eastAsia="Calibri"/>
                <w:sz w:val="20"/>
                <w:szCs w:val="20"/>
              </w:rPr>
              <w:t>1</w:t>
            </w:r>
          </w:p>
        </w:tc>
        <w:tc>
          <w:tcPr>
            <w:tcW w:w="721" w:type="pct"/>
            <w:tcBorders>
              <w:top w:val="single" w:color="auto" w:sz="4" w:space="0"/>
              <w:left w:val="single" w:color="auto" w:sz="4" w:space="0"/>
              <w:bottom w:val="single" w:color="auto" w:sz="4" w:space="0"/>
              <w:right w:val="single" w:color="auto" w:sz="4" w:space="0"/>
            </w:tcBorders>
          </w:tcPr>
          <w:p w:rsidRPr="00D84E00" w:rsidR="00C90EAD" w:rsidP="00946195" w:rsidRDefault="00C90EAD" w14:paraId="27D5D739" w14:textId="77777777">
            <w:pPr>
              <w:widowControl w:val="0"/>
              <w:autoSpaceDE w:val="0"/>
              <w:autoSpaceDN w:val="0"/>
              <w:adjustRightInd w:val="0"/>
              <w:jc w:val="right"/>
              <w:rPr>
                <w:rFonts w:eastAsia="Calibri"/>
                <w:sz w:val="20"/>
                <w:szCs w:val="20"/>
              </w:rPr>
            </w:pPr>
          </w:p>
        </w:tc>
        <w:tc>
          <w:tcPr>
            <w:tcW w:w="588" w:type="pct"/>
            <w:tcBorders>
              <w:top w:val="single" w:color="auto" w:sz="4" w:space="0"/>
              <w:left w:val="single" w:color="auto" w:sz="4" w:space="0"/>
              <w:bottom w:val="single" w:color="auto" w:sz="4" w:space="0"/>
              <w:right w:val="single" w:color="auto" w:sz="4" w:space="0"/>
            </w:tcBorders>
            <w:hideMark/>
          </w:tcPr>
          <w:p w:rsidRPr="00D84E00" w:rsidR="00C90EAD" w:rsidP="00946195" w:rsidRDefault="00044E05" w14:paraId="51AE61CC" w14:textId="4B27624B">
            <w:pPr>
              <w:widowControl w:val="0"/>
              <w:autoSpaceDE w:val="0"/>
              <w:autoSpaceDN w:val="0"/>
              <w:adjustRightInd w:val="0"/>
              <w:jc w:val="right"/>
              <w:rPr>
                <w:rFonts w:eastAsia="Calibri"/>
                <w:sz w:val="20"/>
                <w:szCs w:val="20"/>
              </w:rPr>
            </w:pPr>
            <w:r w:rsidRPr="00D84E00">
              <w:rPr>
                <w:rFonts w:eastAsia="Calibri"/>
                <w:sz w:val="20"/>
                <w:szCs w:val="20"/>
              </w:rPr>
              <w:t xml:space="preserve">16 </w:t>
            </w:r>
            <w:r w:rsidRPr="00D84E00" w:rsidR="00160E87">
              <w:rPr>
                <w:rFonts w:eastAsia="Calibri"/>
                <w:sz w:val="20"/>
                <w:szCs w:val="20"/>
              </w:rPr>
              <w:t>hrs</w:t>
            </w:r>
            <w:r w:rsidR="00160E87">
              <w:rPr>
                <w:rFonts w:eastAsia="Calibri"/>
                <w:sz w:val="20"/>
                <w:szCs w:val="20"/>
              </w:rPr>
              <w:t>.;</w:t>
            </w:r>
          </w:p>
          <w:p w:rsidRPr="00D84E00" w:rsidR="00C90EAD" w:rsidP="00946195" w:rsidRDefault="00C90EAD" w14:paraId="29EAC2E0" w14:textId="5D21FCB3">
            <w:pPr>
              <w:widowControl w:val="0"/>
              <w:autoSpaceDE w:val="0"/>
              <w:autoSpaceDN w:val="0"/>
              <w:adjustRightInd w:val="0"/>
              <w:jc w:val="right"/>
              <w:rPr>
                <w:rFonts w:eastAsia="Calibri"/>
                <w:sz w:val="20"/>
                <w:szCs w:val="20"/>
              </w:rPr>
            </w:pPr>
            <w:r w:rsidRPr="00D84E00">
              <w:rPr>
                <w:rFonts w:eastAsia="Calibri"/>
                <w:sz w:val="20"/>
                <w:szCs w:val="20"/>
              </w:rPr>
              <w:t>$</w:t>
            </w:r>
            <w:r w:rsidRPr="00D84E00" w:rsidR="009C1155">
              <w:rPr>
                <w:rFonts w:eastAsia="Calibri"/>
                <w:sz w:val="20"/>
                <w:szCs w:val="20"/>
              </w:rPr>
              <w:t>1,392</w:t>
            </w:r>
          </w:p>
          <w:p w:rsidRPr="00D84E00" w:rsidR="00C90EAD" w:rsidP="00946195" w:rsidRDefault="00C90EAD" w14:paraId="2E42D734" w14:textId="77777777">
            <w:pPr>
              <w:widowControl w:val="0"/>
              <w:autoSpaceDE w:val="0"/>
              <w:autoSpaceDN w:val="0"/>
              <w:adjustRightInd w:val="0"/>
              <w:jc w:val="right"/>
              <w:rPr>
                <w:rFonts w:eastAsia="Calibri"/>
                <w:sz w:val="20"/>
                <w:szCs w:val="20"/>
              </w:rPr>
            </w:pPr>
          </w:p>
        </w:tc>
        <w:tc>
          <w:tcPr>
            <w:tcW w:w="722" w:type="pct"/>
            <w:tcBorders>
              <w:top w:val="single" w:color="auto" w:sz="4" w:space="0"/>
              <w:left w:val="single" w:color="auto" w:sz="4" w:space="0"/>
              <w:bottom w:val="single" w:color="auto" w:sz="4" w:space="0"/>
              <w:right w:val="single" w:color="auto" w:sz="4" w:space="0"/>
            </w:tcBorders>
            <w:hideMark/>
          </w:tcPr>
          <w:p w:rsidRPr="00D84E00" w:rsidR="009C1155" w:rsidP="00946195" w:rsidRDefault="009C1155" w14:paraId="70349E56" w14:textId="77777777">
            <w:pPr>
              <w:widowControl w:val="0"/>
              <w:autoSpaceDE w:val="0"/>
              <w:autoSpaceDN w:val="0"/>
              <w:adjustRightInd w:val="0"/>
              <w:jc w:val="right"/>
              <w:rPr>
                <w:rFonts w:eastAsia="Calibri"/>
                <w:sz w:val="20"/>
                <w:szCs w:val="20"/>
              </w:rPr>
            </w:pPr>
            <w:r w:rsidRPr="00D84E00">
              <w:rPr>
                <w:rFonts w:eastAsia="Calibri"/>
                <w:sz w:val="20"/>
                <w:szCs w:val="20"/>
              </w:rPr>
              <w:t xml:space="preserve">448 </w:t>
            </w:r>
            <w:r w:rsidRPr="00D84E00" w:rsidR="00C90EAD">
              <w:rPr>
                <w:rFonts w:eastAsia="Calibri"/>
                <w:sz w:val="20"/>
                <w:szCs w:val="20"/>
              </w:rPr>
              <w:t xml:space="preserve">hrs.; </w:t>
            </w:r>
          </w:p>
          <w:p w:rsidRPr="00D84E00" w:rsidR="00C90EAD" w:rsidP="00946195" w:rsidRDefault="00C90EAD" w14:paraId="5546B8D6" w14:textId="7EFCE5D8">
            <w:pPr>
              <w:widowControl w:val="0"/>
              <w:autoSpaceDE w:val="0"/>
              <w:autoSpaceDN w:val="0"/>
              <w:adjustRightInd w:val="0"/>
              <w:jc w:val="right"/>
              <w:rPr>
                <w:rFonts w:eastAsia="Calibri"/>
                <w:sz w:val="20"/>
                <w:szCs w:val="20"/>
              </w:rPr>
            </w:pPr>
            <w:r w:rsidRPr="00D84E00">
              <w:rPr>
                <w:rFonts w:eastAsia="Calibri"/>
                <w:sz w:val="20"/>
                <w:szCs w:val="20"/>
              </w:rPr>
              <w:t>$</w:t>
            </w:r>
            <w:r w:rsidRPr="00D84E00" w:rsidR="009C1155">
              <w:rPr>
                <w:rFonts w:eastAsia="Calibri"/>
                <w:sz w:val="20"/>
                <w:szCs w:val="20"/>
              </w:rPr>
              <w:t>38,976</w:t>
            </w:r>
            <w:r w:rsidRPr="00D84E00">
              <w:rPr>
                <w:rFonts w:eastAsia="Calibri"/>
                <w:sz w:val="20"/>
                <w:szCs w:val="20"/>
              </w:rPr>
              <w:t xml:space="preserve"> </w:t>
            </w:r>
          </w:p>
          <w:p w:rsidRPr="00D84E00" w:rsidR="00C90EAD" w:rsidP="00946195" w:rsidRDefault="00C90EAD" w14:paraId="152DC682" w14:textId="77777777">
            <w:pPr>
              <w:widowControl w:val="0"/>
              <w:autoSpaceDE w:val="0"/>
              <w:autoSpaceDN w:val="0"/>
              <w:adjustRightInd w:val="0"/>
              <w:jc w:val="right"/>
              <w:rPr>
                <w:rFonts w:eastAsia="Calibri"/>
                <w:sz w:val="20"/>
                <w:szCs w:val="20"/>
              </w:rPr>
            </w:pPr>
          </w:p>
        </w:tc>
        <w:tc>
          <w:tcPr>
            <w:tcW w:w="632" w:type="pct"/>
            <w:tcBorders>
              <w:top w:val="single" w:color="auto" w:sz="4" w:space="0"/>
              <w:left w:val="single" w:color="auto" w:sz="4" w:space="0"/>
              <w:bottom w:val="single" w:color="auto" w:sz="4" w:space="0"/>
              <w:right w:val="single" w:color="auto" w:sz="4" w:space="0"/>
            </w:tcBorders>
          </w:tcPr>
          <w:p w:rsidRPr="00D84E00" w:rsidR="00C90EAD" w:rsidP="00946195" w:rsidRDefault="00C90EAD" w14:paraId="182517C3" w14:textId="44156455">
            <w:pPr>
              <w:widowControl w:val="0"/>
              <w:autoSpaceDE w:val="0"/>
              <w:autoSpaceDN w:val="0"/>
              <w:adjustRightInd w:val="0"/>
              <w:jc w:val="right"/>
              <w:rPr>
                <w:rFonts w:eastAsia="Calibri"/>
                <w:sz w:val="20"/>
                <w:szCs w:val="20"/>
              </w:rPr>
            </w:pPr>
            <w:r w:rsidRPr="00D84E00">
              <w:rPr>
                <w:rFonts w:eastAsia="Calibri"/>
                <w:sz w:val="20"/>
                <w:szCs w:val="20"/>
              </w:rPr>
              <w:t>$</w:t>
            </w:r>
            <w:r w:rsidRPr="00D84E00" w:rsidR="009C1155">
              <w:rPr>
                <w:rFonts w:eastAsia="Calibri"/>
                <w:sz w:val="20"/>
                <w:szCs w:val="20"/>
              </w:rPr>
              <w:t>1,392</w:t>
            </w:r>
          </w:p>
        </w:tc>
      </w:tr>
      <w:tr w:rsidRPr="006034F8" w:rsidR="003C6A98" w:rsidTr="00AA79D4" w14:paraId="551B9359" w14:textId="77777777">
        <w:trPr>
          <w:cantSplit/>
        </w:trPr>
        <w:tc>
          <w:tcPr>
            <w:tcW w:w="756" w:type="pct"/>
            <w:tcBorders>
              <w:top w:val="single" w:color="auto" w:sz="4" w:space="0"/>
              <w:left w:val="single" w:color="auto" w:sz="4" w:space="0"/>
              <w:bottom w:val="single" w:color="auto" w:sz="4" w:space="0"/>
              <w:right w:val="single" w:color="auto" w:sz="4" w:space="0"/>
            </w:tcBorders>
            <w:hideMark/>
          </w:tcPr>
          <w:p w:rsidRPr="00D84E00" w:rsidR="003C6A98" w:rsidP="00946195" w:rsidRDefault="003C6A98" w14:paraId="30CA7831" w14:textId="065214A0">
            <w:pPr>
              <w:widowControl w:val="0"/>
              <w:autoSpaceDE w:val="0"/>
              <w:autoSpaceDN w:val="0"/>
              <w:adjustRightInd w:val="0"/>
              <w:rPr>
                <w:rFonts w:eastAsia="Calibri"/>
                <w:b/>
                <w:sz w:val="20"/>
                <w:szCs w:val="20"/>
              </w:rPr>
            </w:pPr>
            <w:r w:rsidRPr="00D84E00">
              <w:rPr>
                <w:rFonts w:eastAsia="Calibri"/>
                <w:b/>
                <w:sz w:val="20"/>
                <w:szCs w:val="20"/>
              </w:rPr>
              <w:t xml:space="preserve">Total </w:t>
            </w:r>
            <w:r w:rsidR="004F6E97">
              <w:rPr>
                <w:rFonts w:eastAsia="Calibri"/>
                <w:b/>
                <w:sz w:val="20"/>
                <w:szCs w:val="20"/>
              </w:rPr>
              <w:t>Reduction due to RD22-1</w:t>
            </w:r>
          </w:p>
        </w:tc>
        <w:tc>
          <w:tcPr>
            <w:tcW w:w="2890" w:type="pct"/>
            <w:gridSpan w:val="5"/>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D84E00" w:rsidR="003C6A98" w:rsidP="00946195" w:rsidRDefault="003C6A98" w14:paraId="31944A84" w14:textId="77777777">
            <w:pPr>
              <w:widowControl w:val="0"/>
              <w:autoSpaceDE w:val="0"/>
              <w:autoSpaceDN w:val="0"/>
              <w:adjustRightInd w:val="0"/>
              <w:jc w:val="right"/>
              <w:rPr>
                <w:rFonts w:eastAsia="Calibri"/>
                <w:b/>
                <w:bCs/>
                <w:sz w:val="20"/>
                <w:szCs w:val="20"/>
              </w:rPr>
            </w:pPr>
          </w:p>
          <w:p w:rsidRPr="00D84E00" w:rsidR="003C6A98" w:rsidP="00946195" w:rsidRDefault="003C6A98" w14:paraId="3DEC6966" w14:textId="77777777">
            <w:pPr>
              <w:widowControl w:val="0"/>
              <w:autoSpaceDE w:val="0"/>
              <w:autoSpaceDN w:val="0"/>
              <w:adjustRightInd w:val="0"/>
              <w:jc w:val="right"/>
              <w:rPr>
                <w:rFonts w:eastAsia="Calibri"/>
                <w:b/>
                <w:bCs/>
                <w:sz w:val="20"/>
                <w:szCs w:val="20"/>
              </w:rPr>
            </w:pPr>
          </w:p>
          <w:p w:rsidRPr="00D84E00" w:rsidR="003C6A98" w:rsidP="00946195" w:rsidRDefault="003C6A98" w14:paraId="123A8618" w14:textId="03B6F117">
            <w:pPr>
              <w:widowControl w:val="0"/>
              <w:autoSpaceDE w:val="0"/>
              <w:autoSpaceDN w:val="0"/>
              <w:adjustRightInd w:val="0"/>
              <w:jc w:val="right"/>
              <w:rPr>
                <w:rFonts w:eastAsia="Calibri"/>
                <w:b/>
                <w:bCs/>
                <w:sz w:val="20"/>
                <w:szCs w:val="20"/>
              </w:rPr>
            </w:pPr>
          </w:p>
        </w:tc>
        <w:tc>
          <w:tcPr>
            <w:tcW w:w="722" w:type="pct"/>
            <w:tcBorders>
              <w:top w:val="single" w:color="auto" w:sz="4" w:space="0"/>
              <w:left w:val="single" w:color="auto" w:sz="4" w:space="0"/>
              <w:bottom w:val="single" w:color="auto" w:sz="4" w:space="0"/>
              <w:right w:val="single" w:color="auto" w:sz="4" w:space="0"/>
            </w:tcBorders>
            <w:shd w:val="clear" w:color="auto" w:fill="FFFFFF" w:themeFill="background1"/>
          </w:tcPr>
          <w:p w:rsidRPr="00D84E00" w:rsidR="003C6A98" w:rsidP="00946195" w:rsidRDefault="003C6A98" w14:paraId="6A36FF70" w14:textId="77777777">
            <w:pPr>
              <w:widowControl w:val="0"/>
              <w:autoSpaceDE w:val="0"/>
              <w:autoSpaceDN w:val="0"/>
              <w:adjustRightInd w:val="0"/>
              <w:jc w:val="right"/>
              <w:rPr>
                <w:rFonts w:eastAsia="Calibri"/>
                <w:b/>
                <w:bCs/>
                <w:sz w:val="20"/>
                <w:szCs w:val="20"/>
              </w:rPr>
            </w:pPr>
          </w:p>
          <w:p w:rsidRPr="00D84E00" w:rsidR="003C6A98" w:rsidP="00D84E00" w:rsidRDefault="003C6A98" w14:paraId="5AF258C8" w14:textId="640DDBCB">
            <w:pPr>
              <w:widowControl w:val="0"/>
              <w:autoSpaceDE w:val="0"/>
              <w:autoSpaceDN w:val="0"/>
              <w:adjustRightInd w:val="0"/>
              <w:jc w:val="right"/>
              <w:rPr>
                <w:rFonts w:eastAsia="Calibri"/>
                <w:b/>
                <w:bCs/>
                <w:sz w:val="20"/>
                <w:szCs w:val="20"/>
              </w:rPr>
            </w:pPr>
            <w:r w:rsidRPr="00D84E00">
              <w:rPr>
                <w:rFonts w:eastAsia="Calibri"/>
                <w:b/>
                <w:bCs/>
                <w:sz w:val="20"/>
                <w:szCs w:val="20"/>
              </w:rPr>
              <w:t xml:space="preserve">     448</w:t>
            </w:r>
            <w:r w:rsidR="004F6E97">
              <w:rPr>
                <w:rFonts w:eastAsia="Calibri"/>
                <w:b/>
                <w:bCs/>
                <w:sz w:val="20"/>
                <w:szCs w:val="20"/>
              </w:rPr>
              <w:t xml:space="preserve"> </w:t>
            </w:r>
            <w:r w:rsidRPr="00D84E00">
              <w:rPr>
                <w:rFonts w:eastAsia="Calibri"/>
                <w:b/>
                <w:bCs/>
                <w:sz w:val="20"/>
                <w:szCs w:val="20"/>
              </w:rPr>
              <w:t>hrs.;</w:t>
            </w:r>
          </w:p>
          <w:p w:rsidRPr="00D84E00" w:rsidR="003C6A98" w:rsidP="00946195" w:rsidRDefault="003C6A98" w14:paraId="1E44DC7B" w14:textId="5ACDFBFE">
            <w:pPr>
              <w:widowControl w:val="0"/>
              <w:autoSpaceDE w:val="0"/>
              <w:autoSpaceDN w:val="0"/>
              <w:adjustRightInd w:val="0"/>
              <w:jc w:val="right"/>
              <w:rPr>
                <w:rFonts w:eastAsia="Calibri"/>
                <w:b/>
                <w:bCs/>
                <w:sz w:val="20"/>
                <w:szCs w:val="20"/>
              </w:rPr>
            </w:pPr>
            <w:r w:rsidRPr="00D84E00">
              <w:rPr>
                <w:rFonts w:eastAsia="Calibri"/>
                <w:b/>
                <w:bCs/>
                <w:sz w:val="20"/>
                <w:szCs w:val="20"/>
              </w:rPr>
              <w:t>$38,976</w:t>
            </w:r>
          </w:p>
        </w:tc>
        <w:tc>
          <w:tcPr>
            <w:tcW w:w="632" w:type="pct"/>
            <w:shd w:val="clear" w:color="auto" w:fill="FFFFFF" w:themeFill="background1"/>
          </w:tcPr>
          <w:p w:rsidRPr="00D84E00" w:rsidR="003C6A98" w:rsidP="00946195" w:rsidRDefault="003C6A98" w14:paraId="52CB1CC5" w14:textId="77777777">
            <w:pPr>
              <w:widowControl w:val="0"/>
              <w:autoSpaceDE w:val="0"/>
              <w:autoSpaceDN w:val="0"/>
              <w:adjustRightInd w:val="0"/>
              <w:jc w:val="right"/>
              <w:rPr>
                <w:rFonts w:eastAsia="Calibri"/>
                <w:sz w:val="20"/>
                <w:szCs w:val="20"/>
              </w:rPr>
            </w:pPr>
          </w:p>
        </w:tc>
      </w:tr>
    </w:tbl>
    <w:p w:rsidRPr="001F3FC3" w:rsidR="003C6A98" w:rsidP="00C90EAD" w:rsidRDefault="003C6A98" w14:paraId="126D95A6" w14:textId="77777777">
      <w:pPr>
        <w:spacing w:line="480" w:lineRule="auto"/>
        <w:rPr>
          <w:iCs/>
          <w:szCs w:val="26"/>
        </w:rPr>
      </w:pPr>
    </w:p>
    <w:tbl>
      <w:tblPr>
        <w:tblW w:w="5342" w:type="pct"/>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28"/>
        <w:gridCol w:w="1530"/>
        <w:gridCol w:w="1532"/>
        <w:gridCol w:w="1439"/>
        <w:gridCol w:w="1261"/>
        <w:gridCol w:w="1471"/>
        <w:gridCol w:w="1229"/>
      </w:tblGrid>
      <w:tr w:rsidRPr="00D77538" w:rsidR="00270092" w:rsidTr="00AA79D4" w14:paraId="3162F621" w14:textId="77777777">
        <w:trPr>
          <w:cantSplit/>
        </w:trPr>
        <w:tc>
          <w:tcPr>
            <w:tcW w:w="5000" w:type="pct"/>
            <w:gridSpan w:val="7"/>
            <w:tcBorders>
              <w:top w:val="single" w:color="auto" w:sz="4" w:space="0"/>
              <w:left w:val="single" w:color="auto" w:sz="4" w:space="0"/>
              <w:bottom w:val="single" w:color="auto" w:sz="4" w:space="0"/>
              <w:right w:val="single" w:color="auto" w:sz="4" w:space="0"/>
            </w:tcBorders>
            <w:shd w:val="clear" w:color="auto" w:fill="D9D9D9"/>
            <w:hideMark/>
          </w:tcPr>
          <w:p w:rsidRPr="00270092" w:rsidR="00270092" w:rsidP="00D84E00" w:rsidRDefault="00270092" w14:paraId="2B748D71" w14:textId="0AE82FF3">
            <w:pPr>
              <w:spacing w:line="480" w:lineRule="auto"/>
              <w:jc w:val="center"/>
              <w:rPr>
                <w:rFonts w:eastAsia="Calibri"/>
                <w:b/>
                <w:sz w:val="24"/>
              </w:rPr>
            </w:pPr>
            <w:r w:rsidRPr="00270092">
              <w:rPr>
                <w:rFonts w:eastAsia="Calibri"/>
                <w:b/>
                <w:sz w:val="24"/>
              </w:rPr>
              <w:t>FERC-725K: Mandatory Reliability Standard for the SERC Region</w:t>
            </w:r>
            <w:r w:rsidR="00FA218C">
              <w:rPr>
                <w:rFonts w:eastAsia="Calibri"/>
                <w:b/>
                <w:sz w:val="24"/>
              </w:rPr>
              <w:t xml:space="preserve"> (renewal)</w:t>
            </w:r>
          </w:p>
        </w:tc>
      </w:tr>
      <w:tr w:rsidRPr="00D77538" w:rsidR="00AA79D4" w:rsidTr="00AA79D4" w14:paraId="61EB8208" w14:textId="77777777">
        <w:trPr>
          <w:cantSplit/>
        </w:trPr>
        <w:tc>
          <w:tcPr>
            <w:tcW w:w="765" w:type="pct"/>
            <w:shd w:val="clear" w:color="auto" w:fill="D9D9D9"/>
          </w:tcPr>
          <w:p w:rsidRPr="006A60CF" w:rsidR="00270092" w:rsidP="00083081" w:rsidRDefault="00270092" w14:paraId="3C890DCE" w14:textId="77777777">
            <w:pPr>
              <w:jc w:val="center"/>
              <w:rPr>
                <w:rFonts w:eastAsia="Calibri"/>
                <w:b/>
                <w:sz w:val="20"/>
                <w:szCs w:val="20"/>
              </w:rPr>
            </w:pPr>
          </w:p>
        </w:tc>
        <w:tc>
          <w:tcPr>
            <w:tcW w:w="766" w:type="pct"/>
            <w:shd w:val="clear" w:color="auto" w:fill="D9D9D9"/>
            <w:vAlign w:val="bottom"/>
          </w:tcPr>
          <w:p w:rsidRPr="006A60CF" w:rsidR="00270092" w:rsidP="00083081" w:rsidRDefault="00270092" w14:paraId="70E36C0D" w14:textId="2773420D">
            <w:pPr>
              <w:jc w:val="center"/>
              <w:rPr>
                <w:rFonts w:eastAsia="Calibri"/>
                <w:b/>
                <w:sz w:val="20"/>
                <w:szCs w:val="20"/>
              </w:rPr>
            </w:pPr>
            <w:r w:rsidRPr="006A60CF">
              <w:rPr>
                <w:rFonts w:eastAsia="Calibri"/>
                <w:b/>
                <w:sz w:val="20"/>
                <w:szCs w:val="20"/>
              </w:rPr>
              <w:t>Number of Respondents</w:t>
            </w:r>
            <w:r w:rsidRPr="005A2A03" w:rsidR="00FA218C">
              <w:rPr>
                <w:rStyle w:val="FootnoteReference"/>
                <w:rFonts w:eastAsia="Calibri"/>
                <w:b w:val="0"/>
                <w:sz w:val="20"/>
                <w:szCs w:val="20"/>
              </w:rPr>
              <w:footnoteReference w:id="10"/>
            </w:r>
            <w:r w:rsidRPr="006A60CF">
              <w:rPr>
                <w:rFonts w:eastAsia="Calibri"/>
                <w:b/>
                <w:sz w:val="20"/>
                <w:szCs w:val="20"/>
              </w:rPr>
              <w:br/>
              <w:t>(1)</w:t>
            </w:r>
          </w:p>
        </w:tc>
        <w:tc>
          <w:tcPr>
            <w:tcW w:w="767" w:type="pct"/>
            <w:shd w:val="clear" w:color="auto" w:fill="D9D9D9"/>
            <w:vAlign w:val="bottom"/>
          </w:tcPr>
          <w:p w:rsidRPr="006A60CF" w:rsidR="00270092" w:rsidP="00083081" w:rsidRDefault="00270092" w14:paraId="5FB53538" w14:textId="77777777">
            <w:pPr>
              <w:jc w:val="center"/>
              <w:rPr>
                <w:rFonts w:eastAsia="Calibri"/>
                <w:b/>
                <w:sz w:val="20"/>
                <w:szCs w:val="20"/>
              </w:rPr>
            </w:pPr>
            <w:r w:rsidRPr="006A60CF">
              <w:rPr>
                <w:rFonts w:eastAsia="Calibri"/>
                <w:b/>
                <w:sz w:val="20"/>
                <w:szCs w:val="20"/>
              </w:rPr>
              <w:t>Annual Number of Responses per Respondent</w:t>
            </w:r>
          </w:p>
          <w:p w:rsidRPr="006A60CF" w:rsidR="00270092" w:rsidP="00083081" w:rsidRDefault="00270092" w14:paraId="45C780FB" w14:textId="77777777">
            <w:pPr>
              <w:jc w:val="center"/>
              <w:rPr>
                <w:rFonts w:eastAsia="Calibri"/>
                <w:b/>
                <w:sz w:val="20"/>
                <w:szCs w:val="20"/>
              </w:rPr>
            </w:pPr>
            <w:r w:rsidRPr="006A60CF">
              <w:rPr>
                <w:rFonts w:eastAsia="Calibri"/>
                <w:b/>
                <w:sz w:val="20"/>
                <w:szCs w:val="20"/>
              </w:rPr>
              <w:t>(2)</w:t>
            </w:r>
          </w:p>
        </w:tc>
        <w:tc>
          <w:tcPr>
            <w:tcW w:w="720" w:type="pct"/>
            <w:shd w:val="clear" w:color="auto" w:fill="D9D9D9"/>
            <w:vAlign w:val="bottom"/>
          </w:tcPr>
          <w:p w:rsidRPr="006A60CF" w:rsidR="00270092" w:rsidP="00083081" w:rsidRDefault="00270092" w14:paraId="11ABFCA5" w14:textId="77777777">
            <w:pPr>
              <w:jc w:val="center"/>
              <w:rPr>
                <w:rFonts w:eastAsia="Calibri"/>
                <w:b/>
                <w:sz w:val="20"/>
                <w:szCs w:val="20"/>
              </w:rPr>
            </w:pPr>
            <w:r w:rsidRPr="006A60CF">
              <w:rPr>
                <w:rFonts w:eastAsia="Calibri"/>
                <w:b/>
                <w:sz w:val="20"/>
                <w:szCs w:val="20"/>
              </w:rPr>
              <w:t>Total Number of Responses (1)*(2)=(3)</w:t>
            </w:r>
          </w:p>
        </w:tc>
        <w:tc>
          <w:tcPr>
            <w:tcW w:w="631" w:type="pct"/>
            <w:shd w:val="clear" w:color="auto" w:fill="D9D9D9"/>
            <w:vAlign w:val="bottom"/>
          </w:tcPr>
          <w:p w:rsidRPr="006A60CF" w:rsidR="00270092" w:rsidP="00083081" w:rsidRDefault="00270092" w14:paraId="0E080928" w14:textId="77777777">
            <w:pPr>
              <w:jc w:val="center"/>
              <w:rPr>
                <w:rFonts w:eastAsia="Calibri"/>
                <w:b/>
                <w:sz w:val="20"/>
                <w:szCs w:val="20"/>
              </w:rPr>
            </w:pPr>
            <w:r w:rsidRPr="006A60CF">
              <w:rPr>
                <w:rFonts w:eastAsia="Calibri"/>
                <w:b/>
                <w:sz w:val="20"/>
                <w:szCs w:val="20"/>
              </w:rPr>
              <w:t>Average Burden</w:t>
            </w:r>
            <w:r>
              <w:rPr>
                <w:rFonts w:eastAsia="Calibri"/>
                <w:b/>
                <w:sz w:val="20"/>
                <w:szCs w:val="20"/>
              </w:rPr>
              <w:t xml:space="preserve"> &amp; </w:t>
            </w:r>
            <w:r w:rsidRPr="006A60CF">
              <w:rPr>
                <w:rFonts w:eastAsia="Calibri"/>
                <w:b/>
                <w:sz w:val="20"/>
                <w:szCs w:val="20"/>
              </w:rPr>
              <w:t>Cost Per Response</w:t>
            </w:r>
            <w:r w:rsidRPr="004E17C5">
              <w:rPr>
                <w:rFonts w:eastAsia="Calibri"/>
                <w:b/>
                <w:sz w:val="20"/>
                <w:szCs w:val="20"/>
                <w:vertAlign w:val="superscript"/>
              </w:rPr>
              <w:footnoteReference w:id="11"/>
            </w:r>
          </w:p>
          <w:p w:rsidRPr="006A60CF" w:rsidR="00270092" w:rsidP="00083081" w:rsidRDefault="00270092" w14:paraId="6553F462" w14:textId="77777777">
            <w:pPr>
              <w:jc w:val="center"/>
              <w:rPr>
                <w:rFonts w:eastAsia="Calibri"/>
                <w:b/>
                <w:sz w:val="20"/>
                <w:szCs w:val="20"/>
              </w:rPr>
            </w:pPr>
            <w:r w:rsidRPr="006A60CF">
              <w:rPr>
                <w:rFonts w:eastAsia="Calibri"/>
                <w:b/>
                <w:sz w:val="20"/>
                <w:szCs w:val="20"/>
              </w:rPr>
              <w:t>(4)</w:t>
            </w:r>
          </w:p>
        </w:tc>
        <w:tc>
          <w:tcPr>
            <w:tcW w:w="736" w:type="pct"/>
            <w:shd w:val="clear" w:color="auto" w:fill="D9D9D9"/>
            <w:vAlign w:val="bottom"/>
          </w:tcPr>
          <w:p w:rsidRPr="006A60CF" w:rsidR="00270092" w:rsidP="00083081" w:rsidRDefault="00270092" w14:paraId="60D33DEC" w14:textId="77777777">
            <w:pPr>
              <w:jc w:val="center"/>
              <w:rPr>
                <w:rFonts w:eastAsia="Calibri"/>
                <w:b/>
                <w:sz w:val="20"/>
                <w:szCs w:val="20"/>
              </w:rPr>
            </w:pPr>
            <w:r w:rsidRPr="006A60CF">
              <w:rPr>
                <w:rFonts w:eastAsia="Calibri"/>
                <w:b/>
                <w:sz w:val="20"/>
                <w:szCs w:val="20"/>
              </w:rPr>
              <w:t>Total Annual B</w:t>
            </w:r>
            <w:r>
              <w:rPr>
                <w:rFonts w:eastAsia="Calibri"/>
                <w:b/>
                <w:sz w:val="20"/>
                <w:szCs w:val="20"/>
              </w:rPr>
              <w:t xml:space="preserve">urden Hours &amp; </w:t>
            </w:r>
            <w:r w:rsidRPr="006A60CF">
              <w:rPr>
                <w:rFonts w:eastAsia="Calibri"/>
                <w:b/>
                <w:sz w:val="20"/>
                <w:szCs w:val="20"/>
              </w:rPr>
              <w:t>Total Annual Cost</w:t>
            </w:r>
          </w:p>
          <w:p w:rsidRPr="006A60CF" w:rsidR="00270092" w:rsidP="00083081" w:rsidRDefault="00270092" w14:paraId="22FB7D46" w14:textId="77777777">
            <w:pPr>
              <w:jc w:val="center"/>
              <w:rPr>
                <w:rFonts w:eastAsia="Calibri"/>
                <w:b/>
                <w:sz w:val="20"/>
                <w:szCs w:val="20"/>
              </w:rPr>
            </w:pPr>
            <w:r w:rsidRPr="006A60CF">
              <w:rPr>
                <w:rFonts w:eastAsia="Calibri"/>
                <w:b/>
                <w:sz w:val="20"/>
                <w:szCs w:val="20"/>
              </w:rPr>
              <w:t>(3)*(4)=(5)</w:t>
            </w:r>
          </w:p>
        </w:tc>
        <w:tc>
          <w:tcPr>
            <w:tcW w:w="615" w:type="pct"/>
            <w:shd w:val="clear" w:color="auto" w:fill="D9D9D9"/>
            <w:vAlign w:val="bottom"/>
          </w:tcPr>
          <w:p w:rsidRPr="006A60CF" w:rsidR="00270092" w:rsidP="00083081" w:rsidRDefault="00270092" w14:paraId="2501A78B" w14:textId="77777777">
            <w:pPr>
              <w:jc w:val="center"/>
              <w:rPr>
                <w:rFonts w:eastAsia="Calibri"/>
                <w:b/>
                <w:sz w:val="20"/>
                <w:szCs w:val="20"/>
              </w:rPr>
            </w:pPr>
            <w:r w:rsidRPr="006A60CF">
              <w:rPr>
                <w:rFonts w:eastAsia="Calibri"/>
                <w:b/>
                <w:sz w:val="20"/>
                <w:szCs w:val="20"/>
              </w:rPr>
              <w:t>Cost per Respondent</w:t>
            </w:r>
          </w:p>
          <w:p w:rsidRPr="006A60CF" w:rsidR="00270092" w:rsidP="00083081" w:rsidRDefault="00270092" w14:paraId="4B85536A" w14:textId="77777777">
            <w:pPr>
              <w:jc w:val="center"/>
              <w:rPr>
                <w:rFonts w:eastAsia="Calibri"/>
                <w:b/>
                <w:sz w:val="20"/>
                <w:szCs w:val="20"/>
              </w:rPr>
            </w:pPr>
            <w:r w:rsidRPr="006A60CF">
              <w:rPr>
                <w:rFonts w:eastAsia="Calibri"/>
                <w:b/>
                <w:sz w:val="20"/>
                <w:szCs w:val="20"/>
              </w:rPr>
              <w:t xml:space="preserve"> ($)</w:t>
            </w:r>
          </w:p>
          <w:p w:rsidRPr="006A60CF" w:rsidR="00270092" w:rsidP="00083081" w:rsidRDefault="00270092" w14:paraId="54DDF421" w14:textId="77777777">
            <w:pPr>
              <w:jc w:val="center"/>
              <w:rPr>
                <w:rFonts w:eastAsia="Calibri"/>
                <w:b/>
                <w:sz w:val="20"/>
                <w:szCs w:val="20"/>
              </w:rPr>
            </w:pPr>
            <w:r w:rsidRPr="006A60CF">
              <w:rPr>
                <w:rFonts w:eastAsia="Calibri"/>
                <w:b/>
                <w:sz w:val="20"/>
                <w:szCs w:val="20"/>
              </w:rPr>
              <w:t>(5)÷(1)</w:t>
            </w:r>
          </w:p>
        </w:tc>
      </w:tr>
      <w:tr w:rsidRPr="00D77538" w:rsidR="00FA218C" w:rsidTr="00AA79D4" w14:paraId="27DA3A01" w14:textId="77777777">
        <w:trPr>
          <w:cantSplit/>
        </w:trPr>
        <w:tc>
          <w:tcPr>
            <w:tcW w:w="765" w:type="pct"/>
          </w:tcPr>
          <w:p w:rsidRPr="006A60CF" w:rsidR="00270092" w:rsidP="00083081" w:rsidRDefault="00270092" w14:paraId="22E86A43" w14:textId="77777777">
            <w:pPr>
              <w:rPr>
                <w:rFonts w:eastAsia="Calibri"/>
                <w:sz w:val="20"/>
                <w:szCs w:val="20"/>
              </w:rPr>
            </w:pPr>
            <w:r>
              <w:rPr>
                <w:rFonts w:eastAsia="Calibri"/>
                <w:sz w:val="20"/>
                <w:szCs w:val="20"/>
              </w:rPr>
              <w:t>PCs: Design and Document Automatic UFLS Program</w:t>
            </w:r>
          </w:p>
        </w:tc>
        <w:tc>
          <w:tcPr>
            <w:tcW w:w="766" w:type="pct"/>
          </w:tcPr>
          <w:p w:rsidRPr="009E2D36" w:rsidR="00270092" w:rsidP="00083081" w:rsidRDefault="00270092" w14:paraId="494161C2" w14:textId="5AB9B1ED">
            <w:pPr>
              <w:jc w:val="right"/>
              <w:rPr>
                <w:rFonts w:eastAsia="Calibri"/>
                <w:sz w:val="20"/>
                <w:szCs w:val="20"/>
              </w:rPr>
            </w:pPr>
            <w:r w:rsidRPr="009E2D36">
              <w:rPr>
                <w:rFonts w:eastAsia="Calibri"/>
                <w:sz w:val="20"/>
                <w:szCs w:val="20"/>
              </w:rPr>
              <w:t>2</w:t>
            </w:r>
            <w:r w:rsidR="00FA218C">
              <w:rPr>
                <w:rFonts w:eastAsia="Calibri"/>
                <w:sz w:val="20"/>
                <w:szCs w:val="20"/>
              </w:rPr>
              <w:t>8</w:t>
            </w:r>
          </w:p>
          <w:p w:rsidRPr="006A60CF" w:rsidR="00270092" w:rsidP="00083081" w:rsidRDefault="00270092" w14:paraId="6C502C03" w14:textId="77777777">
            <w:pPr>
              <w:jc w:val="right"/>
              <w:rPr>
                <w:rFonts w:eastAsia="Calibri"/>
                <w:sz w:val="20"/>
                <w:szCs w:val="20"/>
              </w:rPr>
            </w:pPr>
          </w:p>
        </w:tc>
        <w:tc>
          <w:tcPr>
            <w:tcW w:w="767" w:type="pct"/>
          </w:tcPr>
          <w:p w:rsidRPr="006A60CF" w:rsidR="00270092" w:rsidP="00083081" w:rsidRDefault="00270092" w14:paraId="5AB55571" w14:textId="77777777">
            <w:pPr>
              <w:jc w:val="right"/>
              <w:rPr>
                <w:rFonts w:eastAsia="Calibri"/>
                <w:sz w:val="20"/>
                <w:szCs w:val="20"/>
              </w:rPr>
            </w:pPr>
            <w:r>
              <w:rPr>
                <w:rFonts w:eastAsia="Calibri"/>
                <w:sz w:val="20"/>
                <w:szCs w:val="20"/>
              </w:rPr>
              <w:t>1</w:t>
            </w:r>
          </w:p>
        </w:tc>
        <w:tc>
          <w:tcPr>
            <w:tcW w:w="720" w:type="pct"/>
          </w:tcPr>
          <w:p w:rsidRPr="006A60CF" w:rsidR="00270092" w:rsidP="00083081" w:rsidRDefault="00270092" w14:paraId="799BAEAF" w14:textId="34E33257">
            <w:pPr>
              <w:jc w:val="right"/>
              <w:rPr>
                <w:rFonts w:eastAsia="Calibri"/>
                <w:sz w:val="20"/>
                <w:szCs w:val="20"/>
              </w:rPr>
            </w:pPr>
            <w:r>
              <w:rPr>
                <w:rFonts w:eastAsia="Calibri"/>
                <w:sz w:val="20"/>
                <w:szCs w:val="20"/>
              </w:rPr>
              <w:t>2</w:t>
            </w:r>
            <w:r w:rsidR="00FA218C">
              <w:rPr>
                <w:rFonts w:eastAsia="Calibri"/>
                <w:sz w:val="20"/>
                <w:szCs w:val="20"/>
              </w:rPr>
              <w:t>8</w:t>
            </w:r>
          </w:p>
        </w:tc>
        <w:tc>
          <w:tcPr>
            <w:tcW w:w="631" w:type="pct"/>
          </w:tcPr>
          <w:p w:rsidRPr="006A60CF" w:rsidR="00270092" w:rsidP="00083081" w:rsidRDefault="00270092" w14:paraId="64895939" w14:textId="04F465F7">
            <w:pPr>
              <w:jc w:val="right"/>
              <w:rPr>
                <w:rFonts w:eastAsia="Calibri"/>
                <w:sz w:val="20"/>
                <w:szCs w:val="20"/>
              </w:rPr>
            </w:pPr>
            <w:r>
              <w:rPr>
                <w:rFonts w:eastAsia="Calibri"/>
                <w:sz w:val="20"/>
                <w:szCs w:val="20"/>
              </w:rPr>
              <w:t>8</w:t>
            </w:r>
            <w:r w:rsidR="008065A4">
              <w:rPr>
                <w:rFonts w:eastAsia="Calibri"/>
                <w:sz w:val="20"/>
                <w:szCs w:val="20"/>
              </w:rPr>
              <w:t xml:space="preserve"> hrs.</w:t>
            </w:r>
            <w:r w:rsidR="0059440A">
              <w:rPr>
                <w:rFonts w:eastAsia="Calibri"/>
                <w:sz w:val="20"/>
                <w:szCs w:val="20"/>
              </w:rPr>
              <w:t>;</w:t>
            </w:r>
          </w:p>
          <w:p w:rsidRPr="006A60CF" w:rsidR="00270092" w:rsidP="00083081" w:rsidRDefault="00270092" w14:paraId="0430BE0C" w14:textId="443D9141">
            <w:pPr>
              <w:jc w:val="right"/>
              <w:rPr>
                <w:rFonts w:eastAsia="Calibri"/>
                <w:sz w:val="20"/>
                <w:szCs w:val="20"/>
              </w:rPr>
            </w:pPr>
            <w:r>
              <w:rPr>
                <w:rFonts w:eastAsia="Calibri"/>
                <w:sz w:val="20"/>
                <w:szCs w:val="20"/>
              </w:rPr>
              <w:t>$</w:t>
            </w:r>
            <w:r w:rsidR="003C6A98">
              <w:rPr>
                <w:rFonts w:eastAsia="Calibri"/>
                <w:sz w:val="20"/>
                <w:szCs w:val="20"/>
              </w:rPr>
              <w:t>696.00</w:t>
            </w:r>
          </w:p>
        </w:tc>
        <w:tc>
          <w:tcPr>
            <w:tcW w:w="736" w:type="pct"/>
          </w:tcPr>
          <w:p w:rsidRPr="006A60CF" w:rsidR="00270092" w:rsidP="00083081" w:rsidRDefault="00270092" w14:paraId="5CF779C5" w14:textId="2A4AB4A3">
            <w:pPr>
              <w:jc w:val="right"/>
              <w:rPr>
                <w:rFonts w:eastAsia="Calibri"/>
                <w:sz w:val="20"/>
                <w:szCs w:val="20"/>
              </w:rPr>
            </w:pPr>
            <w:r>
              <w:rPr>
                <w:rFonts w:eastAsia="Calibri"/>
                <w:sz w:val="20"/>
                <w:szCs w:val="20"/>
              </w:rPr>
              <w:t xml:space="preserve"> </w:t>
            </w:r>
            <w:r w:rsidR="00FA218C">
              <w:rPr>
                <w:rFonts w:eastAsia="Calibri"/>
                <w:sz w:val="20"/>
                <w:szCs w:val="20"/>
              </w:rPr>
              <w:t>224</w:t>
            </w:r>
            <w:r w:rsidR="008065A4">
              <w:rPr>
                <w:rFonts w:eastAsia="Calibri"/>
                <w:sz w:val="20"/>
                <w:szCs w:val="20"/>
              </w:rPr>
              <w:t xml:space="preserve"> hrs.</w:t>
            </w:r>
            <w:r w:rsidR="0059440A">
              <w:rPr>
                <w:rFonts w:eastAsia="Calibri"/>
                <w:sz w:val="20"/>
                <w:szCs w:val="20"/>
              </w:rPr>
              <w:t>;</w:t>
            </w:r>
          </w:p>
          <w:p w:rsidRPr="006A60CF" w:rsidR="00270092" w:rsidP="00083081" w:rsidRDefault="00270092" w14:paraId="1D07693D" w14:textId="5879F604">
            <w:pPr>
              <w:jc w:val="right"/>
              <w:rPr>
                <w:rFonts w:eastAsia="Calibri"/>
                <w:sz w:val="20"/>
                <w:szCs w:val="20"/>
              </w:rPr>
            </w:pPr>
            <w:r>
              <w:rPr>
                <w:rFonts w:eastAsia="Calibri"/>
                <w:sz w:val="20"/>
                <w:szCs w:val="20"/>
              </w:rPr>
              <w:t>$</w:t>
            </w:r>
            <w:r w:rsidR="003C6A98">
              <w:rPr>
                <w:rFonts w:eastAsia="Calibri"/>
                <w:sz w:val="20"/>
                <w:szCs w:val="20"/>
              </w:rPr>
              <w:t>19,488.00</w:t>
            </w:r>
            <w:r w:rsidRPr="006A60CF">
              <w:rPr>
                <w:rFonts w:eastAsia="Calibri"/>
                <w:sz w:val="20"/>
                <w:szCs w:val="20"/>
              </w:rPr>
              <w:t xml:space="preserve"> </w:t>
            </w:r>
          </w:p>
        </w:tc>
        <w:tc>
          <w:tcPr>
            <w:tcW w:w="615" w:type="pct"/>
          </w:tcPr>
          <w:p w:rsidRPr="006A60CF" w:rsidR="00270092" w:rsidP="00083081" w:rsidRDefault="00270092" w14:paraId="405D0780" w14:textId="764F4563">
            <w:pPr>
              <w:jc w:val="right"/>
              <w:rPr>
                <w:rFonts w:eastAsia="Calibri"/>
                <w:sz w:val="20"/>
                <w:szCs w:val="20"/>
              </w:rPr>
            </w:pPr>
            <w:r>
              <w:rPr>
                <w:rFonts w:eastAsia="Calibri"/>
                <w:sz w:val="20"/>
                <w:szCs w:val="20"/>
              </w:rPr>
              <w:t>$</w:t>
            </w:r>
            <w:r w:rsidR="003C6A98">
              <w:rPr>
                <w:rFonts w:eastAsia="Calibri"/>
                <w:sz w:val="20"/>
                <w:szCs w:val="20"/>
              </w:rPr>
              <w:t>696.00</w:t>
            </w:r>
            <w:r w:rsidRPr="006A60CF">
              <w:rPr>
                <w:rFonts w:eastAsia="Calibri"/>
                <w:sz w:val="20"/>
                <w:szCs w:val="20"/>
              </w:rPr>
              <w:t xml:space="preserve"> </w:t>
            </w:r>
          </w:p>
          <w:p w:rsidRPr="006A60CF" w:rsidR="00270092" w:rsidP="00083081" w:rsidRDefault="00270092" w14:paraId="4BF59822" w14:textId="77777777">
            <w:pPr>
              <w:jc w:val="right"/>
              <w:rPr>
                <w:rFonts w:eastAsia="Calibri"/>
                <w:sz w:val="20"/>
                <w:szCs w:val="20"/>
              </w:rPr>
            </w:pPr>
          </w:p>
        </w:tc>
      </w:tr>
      <w:tr w:rsidRPr="00D77538" w:rsidR="00FA218C" w:rsidTr="00AA79D4" w14:paraId="6BA2C39D" w14:textId="77777777">
        <w:trPr>
          <w:cantSplit/>
          <w:trHeight w:val="800"/>
        </w:trPr>
        <w:tc>
          <w:tcPr>
            <w:tcW w:w="765" w:type="pct"/>
          </w:tcPr>
          <w:p w:rsidRPr="006A60CF" w:rsidR="00270092" w:rsidP="00083081" w:rsidRDefault="00270092" w14:paraId="37324561" w14:textId="77777777">
            <w:pPr>
              <w:rPr>
                <w:rFonts w:eastAsia="Calibri"/>
                <w:sz w:val="20"/>
                <w:szCs w:val="20"/>
              </w:rPr>
            </w:pPr>
            <w:r>
              <w:rPr>
                <w:rFonts w:eastAsia="Calibri"/>
                <w:sz w:val="20"/>
                <w:szCs w:val="20"/>
              </w:rPr>
              <w:t>GOs: Provide Documentation and Data to SERC</w:t>
            </w:r>
          </w:p>
        </w:tc>
        <w:tc>
          <w:tcPr>
            <w:tcW w:w="766" w:type="pct"/>
          </w:tcPr>
          <w:p w:rsidRPr="009E2D36" w:rsidR="00270092" w:rsidP="00083081" w:rsidRDefault="00270092" w14:paraId="1E9C5AD4" w14:textId="23239301">
            <w:pPr>
              <w:jc w:val="right"/>
              <w:rPr>
                <w:rFonts w:eastAsia="Calibri"/>
                <w:sz w:val="20"/>
                <w:szCs w:val="20"/>
              </w:rPr>
            </w:pPr>
            <w:r w:rsidRPr="009E2D36">
              <w:rPr>
                <w:rFonts w:eastAsia="Calibri"/>
                <w:sz w:val="20"/>
                <w:szCs w:val="20"/>
              </w:rPr>
              <w:t>1</w:t>
            </w:r>
            <w:r w:rsidR="00FA218C">
              <w:rPr>
                <w:rFonts w:eastAsia="Calibri"/>
                <w:sz w:val="20"/>
                <w:szCs w:val="20"/>
              </w:rPr>
              <w:t>75</w:t>
            </w:r>
          </w:p>
        </w:tc>
        <w:tc>
          <w:tcPr>
            <w:tcW w:w="767" w:type="pct"/>
          </w:tcPr>
          <w:p w:rsidRPr="006A60CF" w:rsidR="00270092" w:rsidP="00083081" w:rsidRDefault="00270092" w14:paraId="6F554085" w14:textId="77777777">
            <w:pPr>
              <w:jc w:val="right"/>
              <w:rPr>
                <w:rFonts w:eastAsia="Calibri"/>
                <w:sz w:val="20"/>
                <w:szCs w:val="20"/>
              </w:rPr>
            </w:pPr>
            <w:r>
              <w:rPr>
                <w:rFonts w:eastAsia="Calibri"/>
                <w:sz w:val="20"/>
                <w:szCs w:val="20"/>
              </w:rPr>
              <w:t>1</w:t>
            </w:r>
          </w:p>
        </w:tc>
        <w:tc>
          <w:tcPr>
            <w:tcW w:w="720" w:type="pct"/>
          </w:tcPr>
          <w:p w:rsidRPr="006A60CF" w:rsidR="00270092" w:rsidP="00083081" w:rsidRDefault="00270092" w14:paraId="34990F6D" w14:textId="0C07E304">
            <w:pPr>
              <w:jc w:val="right"/>
              <w:rPr>
                <w:rFonts w:eastAsia="Calibri"/>
                <w:sz w:val="20"/>
                <w:szCs w:val="20"/>
              </w:rPr>
            </w:pPr>
            <w:r>
              <w:rPr>
                <w:rFonts w:eastAsia="Calibri"/>
                <w:sz w:val="20"/>
                <w:szCs w:val="20"/>
              </w:rPr>
              <w:t>1</w:t>
            </w:r>
            <w:r w:rsidR="00FA218C">
              <w:rPr>
                <w:rFonts w:eastAsia="Calibri"/>
                <w:sz w:val="20"/>
                <w:szCs w:val="20"/>
              </w:rPr>
              <w:t>75</w:t>
            </w:r>
          </w:p>
        </w:tc>
        <w:tc>
          <w:tcPr>
            <w:tcW w:w="631" w:type="pct"/>
          </w:tcPr>
          <w:p w:rsidR="00270092" w:rsidP="00083081" w:rsidRDefault="00270092" w14:paraId="6EF18BA8" w14:textId="604C7D25">
            <w:pPr>
              <w:jc w:val="right"/>
              <w:rPr>
                <w:rFonts w:eastAsia="Calibri"/>
                <w:sz w:val="20"/>
                <w:szCs w:val="20"/>
              </w:rPr>
            </w:pPr>
            <w:r>
              <w:rPr>
                <w:rFonts w:eastAsia="Calibri"/>
                <w:sz w:val="20"/>
                <w:szCs w:val="20"/>
              </w:rPr>
              <w:t>16</w:t>
            </w:r>
            <w:r w:rsidR="008065A4">
              <w:rPr>
                <w:rFonts w:eastAsia="Calibri"/>
                <w:sz w:val="20"/>
                <w:szCs w:val="20"/>
              </w:rPr>
              <w:t xml:space="preserve"> hrs</w:t>
            </w:r>
            <w:r w:rsidR="0059440A">
              <w:rPr>
                <w:rFonts w:eastAsia="Calibri"/>
                <w:sz w:val="20"/>
                <w:szCs w:val="20"/>
              </w:rPr>
              <w:t>.;</w:t>
            </w:r>
            <w:r w:rsidR="008065A4">
              <w:rPr>
                <w:rFonts w:eastAsia="Calibri"/>
                <w:sz w:val="20"/>
                <w:szCs w:val="20"/>
              </w:rPr>
              <w:t xml:space="preserve"> </w:t>
            </w:r>
          </w:p>
          <w:p w:rsidRPr="006A60CF" w:rsidR="00270092" w:rsidP="00083081" w:rsidRDefault="00270092" w14:paraId="43879BAD" w14:textId="1DC6B7EA">
            <w:pPr>
              <w:jc w:val="right"/>
              <w:rPr>
                <w:rFonts w:eastAsia="Calibri"/>
                <w:sz w:val="20"/>
                <w:szCs w:val="20"/>
              </w:rPr>
            </w:pPr>
            <w:r>
              <w:rPr>
                <w:rFonts w:eastAsia="Calibri"/>
                <w:sz w:val="20"/>
                <w:szCs w:val="20"/>
              </w:rPr>
              <w:t>$</w:t>
            </w:r>
            <w:r w:rsidR="003C6A98">
              <w:rPr>
                <w:rFonts w:eastAsia="Calibri"/>
                <w:sz w:val="20"/>
                <w:szCs w:val="20"/>
              </w:rPr>
              <w:t>1,392.00</w:t>
            </w:r>
          </w:p>
        </w:tc>
        <w:tc>
          <w:tcPr>
            <w:tcW w:w="736" w:type="pct"/>
          </w:tcPr>
          <w:p w:rsidR="00270092" w:rsidP="00083081" w:rsidRDefault="00FA218C" w14:paraId="446C0833" w14:textId="2EF86C8E">
            <w:pPr>
              <w:jc w:val="right"/>
              <w:rPr>
                <w:rFonts w:eastAsia="Calibri"/>
                <w:sz w:val="20"/>
                <w:szCs w:val="20"/>
              </w:rPr>
            </w:pPr>
            <w:r>
              <w:rPr>
                <w:rFonts w:eastAsia="Calibri"/>
                <w:sz w:val="20"/>
                <w:szCs w:val="20"/>
              </w:rPr>
              <w:t>2800</w:t>
            </w:r>
            <w:r w:rsidR="008065A4">
              <w:rPr>
                <w:rFonts w:eastAsia="Calibri"/>
                <w:sz w:val="20"/>
                <w:szCs w:val="20"/>
              </w:rPr>
              <w:t xml:space="preserve"> hrs.</w:t>
            </w:r>
            <w:r w:rsidR="0059440A">
              <w:rPr>
                <w:rFonts w:eastAsia="Calibri"/>
                <w:sz w:val="20"/>
                <w:szCs w:val="20"/>
              </w:rPr>
              <w:t>;</w:t>
            </w:r>
            <w:r w:rsidR="008065A4">
              <w:rPr>
                <w:rFonts w:eastAsia="Calibri"/>
                <w:sz w:val="20"/>
                <w:szCs w:val="20"/>
              </w:rPr>
              <w:t xml:space="preserve"> </w:t>
            </w:r>
          </w:p>
          <w:p w:rsidRPr="006A60CF" w:rsidR="00270092" w:rsidP="00083081" w:rsidRDefault="00270092" w14:paraId="7F8369E2" w14:textId="0593FF46">
            <w:pPr>
              <w:jc w:val="right"/>
              <w:rPr>
                <w:rFonts w:eastAsia="Calibri"/>
                <w:sz w:val="20"/>
                <w:szCs w:val="20"/>
              </w:rPr>
            </w:pPr>
            <w:r>
              <w:rPr>
                <w:rFonts w:eastAsia="Calibri"/>
                <w:sz w:val="20"/>
                <w:szCs w:val="20"/>
              </w:rPr>
              <w:t>$</w:t>
            </w:r>
            <w:r w:rsidR="003C6A98">
              <w:rPr>
                <w:rFonts w:eastAsia="Calibri"/>
                <w:sz w:val="20"/>
                <w:szCs w:val="20"/>
              </w:rPr>
              <w:t>243,600.00</w:t>
            </w:r>
          </w:p>
        </w:tc>
        <w:tc>
          <w:tcPr>
            <w:tcW w:w="615" w:type="pct"/>
          </w:tcPr>
          <w:p w:rsidRPr="006A60CF" w:rsidR="00270092" w:rsidP="00083081" w:rsidRDefault="00270092" w14:paraId="6F820FBD" w14:textId="177D3C50">
            <w:pPr>
              <w:jc w:val="right"/>
              <w:rPr>
                <w:rFonts w:eastAsia="Calibri"/>
                <w:sz w:val="20"/>
                <w:szCs w:val="20"/>
              </w:rPr>
            </w:pPr>
            <w:r>
              <w:rPr>
                <w:rFonts w:eastAsia="Calibri"/>
                <w:sz w:val="20"/>
                <w:szCs w:val="20"/>
              </w:rPr>
              <w:t>$</w:t>
            </w:r>
            <w:r w:rsidR="003C6A98">
              <w:rPr>
                <w:rFonts w:eastAsia="Calibri"/>
                <w:sz w:val="20"/>
                <w:szCs w:val="20"/>
              </w:rPr>
              <w:t>1,392.00</w:t>
            </w:r>
          </w:p>
        </w:tc>
      </w:tr>
      <w:tr w:rsidRPr="00D77538" w:rsidR="00FA218C" w:rsidTr="00AA79D4" w14:paraId="1EA37DB9" w14:textId="77777777">
        <w:trPr>
          <w:cantSplit/>
        </w:trPr>
        <w:tc>
          <w:tcPr>
            <w:tcW w:w="765" w:type="pct"/>
          </w:tcPr>
          <w:p w:rsidRPr="006A60CF" w:rsidR="00270092" w:rsidP="00083081" w:rsidRDefault="00270092" w14:paraId="5E3744E9" w14:textId="77777777">
            <w:pPr>
              <w:rPr>
                <w:rFonts w:eastAsia="Calibri"/>
                <w:sz w:val="20"/>
                <w:szCs w:val="20"/>
              </w:rPr>
            </w:pPr>
            <w:r>
              <w:rPr>
                <w:rFonts w:eastAsia="Calibri"/>
                <w:sz w:val="20"/>
                <w:szCs w:val="20"/>
              </w:rPr>
              <w:t>GOs: Record Retention</w:t>
            </w:r>
          </w:p>
        </w:tc>
        <w:tc>
          <w:tcPr>
            <w:tcW w:w="766" w:type="pct"/>
          </w:tcPr>
          <w:p w:rsidRPr="006A60CF" w:rsidR="00270092" w:rsidP="00083081" w:rsidRDefault="00270092" w14:paraId="095B879F" w14:textId="71730503">
            <w:pPr>
              <w:jc w:val="right"/>
              <w:rPr>
                <w:rFonts w:eastAsia="Calibri"/>
                <w:sz w:val="20"/>
                <w:szCs w:val="20"/>
              </w:rPr>
            </w:pPr>
            <w:r>
              <w:rPr>
                <w:rFonts w:eastAsia="Calibri"/>
                <w:sz w:val="20"/>
                <w:szCs w:val="20"/>
              </w:rPr>
              <w:t>1</w:t>
            </w:r>
            <w:r w:rsidR="00FA218C">
              <w:rPr>
                <w:rFonts w:eastAsia="Calibri"/>
                <w:sz w:val="20"/>
                <w:szCs w:val="20"/>
              </w:rPr>
              <w:t>75</w:t>
            </w:r>
          </w:p>
        </w:tc>
        <w:tc>
          <w:tcPr>
            <w:tcW w:w="767" w:type="pct"/>
          </w:tcPr>
          <w:p w:rsidRPr="006A60CF" w:rsidR="00270092" w:rsidP="00083081" w:rsidRDefault="00270092" w14:paraId="176EA499" w14:textId="77777777">
            <w:pPr>
              <w:jc w:val="right"/>
              <w:rPr>
                <w:rFonts w:eastAsia="Calibri"/>
                <w:sz w:val="20"/>
                <w:szCs w:val="20"/>
              </w:rPr>
            </w:pPr>
            <w:r>
              <w:rPr>
                <w:rFonts w:eastAsia="Calibri"/>
                <w:sz w:val="20"/>
                <w:szCs w:val="20"/>
              </w:rPr>
              <w:t>1</w:t>
            </w:r>
          </w:p>
        </w:tc>
        <w:tc>
          <w:tcPr>
            <w:tcW w:w="720" w:type="pct"/>
          </w:tcPr>
          <w:p w:rsidRPr="006A60CF" w:rsidR="00270092" w:rsidP="00083081" w:rsidRDefault="00270092" w14:paraId="0AAD4027" w14:textId="0361D391">
            <w:pPr>
              <w:jc w:val="right"/>
              <w:rPr>
                <w:rFonts w:eastAsia="Calibri"/>
                <w:sz w:val="20"/>
                <w:szCs w:val="20"/>
              </w:rPr>
            </w:pPr>
            <w:r>
              <w:rPr>
                <w:rFonts w:eastAsia="Calibri"/>
                <w:sz w:val="20"/>
                <w:szCs w:val="20"/>
              </w:rPr>
              <w:t>1</w:t>
            </w:r>
            <w:r w:rsidR="00FA218C">
              <w:rPr>
                <w:rFonts w:eastAsia="Calibri"/>
                <w:sz w:val="20"/>
                <w:szCs w:val="20"/>
              </w:rPr>
              <w:t>75</w:t>
            </w:r>
          </w:p>
        </w:tc>
        <w:tc>
          <w:tcPr>
            <w:tcW w:w="631" w:type="pct"/>
          </w:tcPr>
          <w:p w:rsidR="00270092" w:rsidP="00083081" w:rsidRDefault="00270092" w14:paraId="3382BEFB" w14:textId="7169D865">
            <w:pPr>
              <w:jc w:val="right"/>
              <w:rPr>
                <w:rFonts w:eastAsia="Calibri"/>
                <w:sz w:val="20"/>
                <w:szCs w:val="20"/>
              </w:rPr>
            </w:pPr>
            <w:r>
              <w:rPr>
                <w:rFonts w:eastAsia="Calibri"/>
                <w:sz w:val="20"/>
                <w:szCs w:val="20"/>
              </w:rPr>
              <w:t>4</w:t>
            </w:r>
            <w:r w:rsidR="008065A4">
              <w:rPr>
                <w:rFonts w:eastAsia="Calibri"/>
                <w:sz w:val="20"/>
                <w:szCs w:val="20"/>
              </w:rPr>
              <w:t xml:space="preserve"> hrs.</w:t>
            </w:r>
            <w:r w:rsidR="0059440A">
              <w:rPr>
                <w:rFonts w:eastAsia="Calibri"/>
                <w:sz w:val="20"/>
                <w:szCs w:val="20"/>
              </w:rPr>
              <w:t>;</w:t>
            </w:r>
            <w:r w:rsidR="008065A4">
              <w:rPr>
                <w:rFonts w:eastAsia="Calibri"/>
                <w:sz w:val="20"/>
                <w:szCs w:val="20"/>
              </w:rPr>
              <w:t xml:space="preserve"> </w:t>
            </w:r>
          </w:p>
          <w:p w:rsidRPr="006A60CF" w:rsidR="00270092" w:rsidP="00083081" w:rsidRDefault="00270092" w14:paraId="39E58078" w14:textId="423C4173">
            <w:pPr>
              <w:jc w:val="right"/>
              <w:rPr>
                <w:rFonts w:eastAsia="Calibri"/>
                <w:sz w:val="20"/>
                <w:szCs w:val="20"/>
              </w:rPr>
            </w:pPr>
            <w:r>
              <w:rPr>
                <w:rFonts w:eastAsia="Calibri"/>
                <w:sz w:val="20"/>
                <w:szCs w:val="20"/>
              </w:rPr>
              <w:t>$</w:t>
            </w:r>
            <w:r w:rsidR="003C6A98">
              <w:rPr>
                <w:rFonts w:eastAsia="Calibri"/>
                <w:sz w:val="20"/>
                <w:szCs w:val="20"/>
              </w:rPr>
              <w:t>348.00</w:t>
            </w:r>
          </w:p>
        </w:tc>
        <w:tc>
          <w:tcPr>
            <w:tcW w:w="736" w:type="pct"/>
          </w:tcPr>
          <w:p w:rsidR="00270092" w:rsidP="00083081" w:rsidRDefault="00FA218C" w14:paraId="347E5AE7" w14:textId="049F8060">
            <w:pPr>
              <w:jc w:val="right"/>
              <w:rPr>
                <w:rFonts w:eastAsia="Calibri"/>
                <w:sz w:val="20"/>
                <w:szCs w:val="20"/>
              </w:rPr>
            </w:pPr>
            <w:r>
              <w:rPr>
                <w:rFonts w:eastAsia="Calibri"/>
                <w:sz w:val="20"/>
                <w:szCs w:val="20"/>
              </w:rPr>
              <w:t>700</w:t>
            </w:r>
            <w:r w:rsidR="008065A4">
              <w:rPr>
                <w:rFonts w:eastAsia="Calibri"/>
                <w:sz w:val="20"/>
                <w:szCs w:val="20"/>
              </w:rPr>
              <w:t xml:space="preserve"> hrs.</w:t>
            </w:r>
            <w:r w:rsidR="0059440A">
              <w:rPr>
                <w:rFonts w:eastAsia="Calibri"/>
                <w:sz w:val="20"/>
                <w:szCs w:val="20"/>
              </w:rPr>
              <w:t>;</w:t>
            </w:r>
            <w:r w:rsidR="008065A4">
              <w:rPr>
                <w:rFonts w:eastAsia="Calibri"/>
                <w:sz w:val="20"/>
                <w:szCs w:val="20"/>
              </w:rPr>
              <w:t xml:space="preserve"> </w:t>
            </w:r>
          </w:p>
          <w:p w:rsidRPr="006A60CF" w:rsidR="00270092" w:rsidP="00083081" w:rsidRDefault="00270092" w14:paraId="6E722B8E" w14:textId="197671FA">
            <w:pPr>
              <w:jc w:val="right"/>
              <w:rPr>
                <w:rFonts w:eastAsia="Calibri"/>
                <w:sz w:val="20"/>
                <w:szCs w:val="20"/>
              </w:rPr>
            </w:pPr>
            <w:r>
              <w:rPr>
                <w:rFonts w:eastAsia="Calibri"/>
                <w:sz w:val="20"/>
                <w:szCs w:val="20"/>
              </w:rPr>
              <w:t>$</w:t>
            </w:r>
            <w:r w:rsidR="003C6A98">
              <w:rPr>
                <w:rFonts w:eastAsia="Calibri"/>
                <w:sz w:val="20"/>
                <w:szCs w:val="20"/>
              </w:rPr>
              <w:t>60,900</w:t>
            </w:r>
          </w:p>
        </w:tc>
        <w:tc>
          <w:tcPr>
            <w:tcW w:w="615" w:type="pct"/>
          </w:tcPr>
          <w:p w:rsidRPr="006A60CF" w:rsidR="00270092" w:rsidP="00083081" w:rsidRDefault="00270092" w14:paraId="2CFDC60C" w14:textId="60B0132E">
            <w:pPr>
              <w:jc w:val="right"/>
              <w:rPr>
                <w:rFonts w:eastAsia="Calibri"/>
                <w:sz w:val="20"/>
                <w:szCs w:val="20"/>
              </w:rPr>
            </w:pPr>
            <w:r>
              <w:rPr>
                <w:rFonts w:eastAsia="Calibri"/>
                <w:sz w:val="20"/>
                <w:szCs w:val="20"/>
              </w:rPr>
              <w:t>$</w:t>
            </w:r>
            <w:r w:rsidR="003C6A98">
              <w:rPr>
                <w:rFonts w:eastAsia="Calibri"/>
                <w:sz w:val="20"/>
                <w:szCs w:val="20"/>
              </w:rPr>
              <w:t>348.00</w:t>
            </w:r>
          </w:p>
        </w:tc>
      </w:tr>
      <w:tr w:rsidRPr="00D77538" w:rsidR="003C6A98" w:rsidTr="00AA79D4" w14:paraId="5A9543F9" w14:textId="77777777">
        <w:trPr>
          <w:cantSplit/>
          <w:trHeight w:val="485"/>
        </w:trPr>
        <w:tc>
          <w:tcPr>
            <w:tcW w:w="765" w:type="pct"/>
            <w:tcBorders>
              <w:bottom w:val="single" w:color="auto" w:sz="4" w:space="0"/>
            </w:tcBorders>
          </w:tcPr>
          <w:p w:rsidRPr="006A60CF" w:rsidR="003C6A98" w:rsidP="00083081" w:rsidRDefault="003C6A98" w14:paraId="011AE100" w14:textId="77777777">
            <w:pPr>
              <w:rPr>
                <w:rFonts w:eastAsia="Calibri"/>
                <w:b/>
                <w:sz w:val="20"/>
                <w:szCs w:val="20"/>
              </w:rPr>
            </w:pPr>
            <w:r w:rsidRPr="006A60CF">
              <w:rPr>
                <w:rFonts w:eastAsia="Calibri"/>
                <w:b/>
                <w:sz w:val="20"/>
                <w:szCs w:val="20"/>
              </w:rPr>
              <w:t>TOTAL</w:t>
            </w:r>
          </w:p>
        </w:tc>
        <w:tc>
          <w:tcPr>
            <w:tcW w:w="2884" w:type="pct"/>
            <w:gridSpan w:val="4"/>
            <w:tcBorders>
              <w:bottom w:val="single" w:color="auto" w:sz="4" w:space="0"/>
            </w:tcBorders>
            <w:shd w:val="clear" w:color="auto" w:fill="D9D9D9"/>
          </w:tcPr>
          <w:p w:rsidRPr="006A60CF" w:rsidR="003C6A98" w:rsidP="00083081" w:rsidRDefault="003C6A98" w14:paraId="17E47A2D" w14:textId="77777777">
            <w:pPr>
              <w:jc w:val="right"/>
              <w:rPr>
                <w:rFonts w:eastAsia="Calibri"/>
                <w:sz w:val="20"/>
                <w:szCs w:val="20"/>
              </w:rPr>
            </w:pPr>
          </w:p>
        </w:tc>
        <w:tc>
          <w:tcPr>
            <w:tcW w:w="736" w:type="pct"/>
            <w:tcBorders>
              <w:bottom w:val="single" w:color="auto" w:sz="4" w:space="0"/>
            </w:tcBorders>
          </w:tcPr>
          <w:p w:rsidRPr="006A60CF" w:rsidR="003C6A98" w:rsidP="00083081" w:rsidRDefault="005A2A03" w14:paraId="332FE05F" w14:textId="3FA2D134">
            <w:pPr>
              <w:jc w:val="right"/>
              <w:rPr>
                <w:rFonts w:eastAsia="Calibri"/>
                <w:b/>
                <w:sz w:val="20"/>
                <w:szCs w:val="20"/>
              </w:rPr>
            </w:pPr>
            <w:r>
              <w:rPr>
                <w:rFonts w:eastAsia="Calibri"/>
                <w:b/>
                <w:sz w:val="20"/>
                <w:szCs w:val="20"/>
              </w:rPr>
              <w:t>3</w:t>
            </w:r>
            <w:r w:rsidR="006610E0">
              <w:rPr>
                <w:rFonts w:eastAsia="Calibri"/>
                <w:b/>
                <w:sz w:val="20"/>
                <w:szCs w:val="20"/>
              </w:rPr>
              <w:t>,</w:t>
            </w:r>
            <w:r>
              <w:rPr>
                <w:rFonts w:eastAsia="Calibri"/>
                <w:b/>
                <w:sz w:val="20"/>
                <w:szCs w:val="20"/>
              </w:rPr>
              <w:t>724</w:t>
            </w:r>
            <w:r w:rsidR="003C6A98">
              <w:rPr>
                <w:rFonts w:eastAsia="Calibri"/>
                <w:b/>
                <w:sz w:val="20"/>
                <w:szCs w:val="20"/>
              </w:rPr>
              <w:t xml:space="preserve"> hrs. </w:t>
            </w:r>
          </w:p>
          <w:p w:rsidRPr="006A60CF" w:rsidR="003C6A98" w:rsidP="00083081" w:rsidRDefault="003C6A98" w14:paraId="4EBF760D" w14:textId="18F337B9">
            <w:pPr>
              <w:jc w:val="right"/>
              <w:rPr>
                <w:rFonts w:eastAsia="Calibri"/>
                <w:b/>
                <w:sz w:val="20"/>
                <w:szCs w:val="20"/>
              </w:rPr>
            </w:pPr>
            <w:r>
              <w:rPr>
                <w:rFonts w:eastAsia="Calibri"/>
                <w:b/>
                <w:sz w:val="20"/>
                <w:szCs w:val="20"/>
              </w:rPr>
              <w:t>$3</w:t>
            </w:r>
            <w:r w:rsidR="005A2A03">
              <w:rPr>
                <w:rFonts w:eastAsia="Calibri"/>
                <w:b/>
                <w:sz w:val="20"/>
                <w:szCs w:val="20"/>
              </w:rPr>
              <w:t>23</w:t>
            </w:r>
            <w:r>
              <w:rPr>
                <w:rFonts w:eastAsia="Calibri"/>
                <w:b/>
                <w:sz w:val="20"/>
                <w:szCs w:val="20"/>
              </w:rPr>
              <w:t>,9</w:t>
            </w:r>
            <w:r w:rsidR="005A2A03">
              <w:rPr>
                <w:rFonts w:eastAsia="Calibri"/>
                <w:b/>
                <w:sz w:val="20"/>
                <w:szCs w:val="20"/>
              </w:rPr>
              <w:t>88</w:t>
            </w:r>
          </w:p>
        </w:tc>
        <w:tc>
          <w:tcPr>
            <w:tcW w:w="615" w:type="pct"/>
            <w:tcBorders>
              <w:bottom w:val="single" w:color="auto" w:sz="4" w:space="0"/>
            </w:tcBorders>
          </w:tcPr>
          <w:p w:rsidRPr="006A60CF" w:rsidR="003C6A98" w:rsidP="00083081" w:rsidRDefault="003C6A98" w14:paraId="2220ACE3" w14:textId="7549B3F0">
            <w:pPr>
              <w:jc w:val="right"/>
              <w:rPr>
                <w:rFonts w:eastAsia="Calibri"/>
                <w:b/>
                <w:sz w:val="20"/>
                <w:szCs w:val="20"/>
              </w:rPr>
            </w:pPr>
          </w:p>
        </w:tc>
      </w:tr>
    </w:tbl>
    <w:p w:rsidRPr="00607236" w:rsidR="0056417B" w:rsidP="0056417B" w:rsidRDefault="0056417B" w14:paraId="177073E3" w14:textId="77777777">
      <w:pPr>
        <w:spacing w:line="480" w:lineRule="auto"/>
      </w:pPr>
    </w:p>
    <w:p w:rsidRPr="00607236" w:rsidR="0056417B" w:rsidP="0056417B" w:rsidRDefault="0056417B" w14:paraId="501A9724" w14:textId="77777777">
      <w:pPr>
        <w:spacing w:line="480" w:lineRule="auto"/>
      </w:pPr>
      <w:r w:rsidRPr="00607236">
        <w:rPr>
          <w:i/>
        </w:rPr>
        <w:t xml:space="preserve">Comments:  </w:t>
      </w:r>
      <w:r w:rsidRPr="00607236">
        <w:t xml:space="preserve">Comments are invited on:  (1) whether the collection of information is necessary for the proper performance of the functions of the Commission, including </w:t>
      </w:r>
      <w:r w:rsidRPr="00607236">
        <w:lastRenderedPageBreak/>
        <w:t xml:space="preserve">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Pr="00607236" w:rsidR="0056417B" w:rsidP="0056417B" w:rsidRDefault="0056417B" w14:paraId="27252B74" w14:textId="77777777"/>
    <w:p w:rsidRPr="00607236" w:rsidR="0056417B" w:rsidP="0056417B" w:rsidRDefault="0056417B" w14:paraId="5800BFC8" w14:textId="77777777"/>
    <w:p w:rsidRPr="00607236" w:rsidR="0056417B" w:rsidP="0056417B" w:rsidRDefault="0056417B" w14:paraId="2FCA2FCD" w14:textId="77777777"/>
    <w:p w:rsidRPr="00607236" w:rsidR="0056417B" w:rsidP="0056417B" w:rsidRDefault="0056417B" w14:paraId="7A98A4A2" w14:textId="77777777"/>
    <w:p w:rsidRPr="00607236" w:rsidR="0056417B" w:rsidP="0056417B" w:rsidRDefault="0056417B" w14:paraId="4CF0E0E6" w14:textId="77777777">
      <w:pPr>
        <w:ind w:firstLine="2174"/>
        <w:jc w:val="center"/>
      </w:pPr>
      <w:r w:rsidRPr="00607236">
        <w:t>Kimberly D. Bose,</w:t>
      </w:r>
    </w:p>
    <w:p w:rsidRPr="00607236" w:rsidR="0056417B" w:rsidP="0056417B" w:rsidRDefault="0056417B" w14:paraId="4FF0AFBF" w14:textId="77777777">
      <w:pPr>
        <w:ind w:firstLine="2174"/>
        <w:jc w:val="center"/>
      </w:pPr>
      <w:r w:rsidRPr="00607236">
        <w:t>Secretary.</w:t>
      </w:r>
    </w:p>
    <w:p w:rsidRPr="00607236" w:rsidR="0056417B" w:rsidP="0056417B" w:rsidRDefault="0056417B" w14:paraId="5F930435" w14:textId="77777777"/>
    <w:p w:rsidRPr="00607236" w:rsidR="005C4A04" w:rsidRDefault="005C4A04" w14:paraId="23696711" w14:textId="77777777"/>
    <w:sectPr w:rsidRPr="00607236" w:rsidR="005C4A04" w:rsidSect="005C4A04">
      <w:headerReference w:type="even" r:id="rId16"/>
      <w:head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26E7FC" w14:textId="77777777" w:rsidR="00D10C79" w:rsidRDefault="00D10C79" w:rsidP="0056417B">
      <w:r>
        <w:separator/>
      </w:r>
    </w:p>
  </w:endnote>
  <w:endnote w:type="continuationSeparator" w:id="0">
    <w:p w14:paraId="2595F5A9" w14:textId="77777777" w:rsidR="00D10C79" w:rsidRDefault="00D10C79" w:rsidP="00564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F33B30" w14:textId="77777777" w:rsidR="00D10C79" w:rsidRDefault="00D10C79" w:rsidP="0056417B">
      <w:r>
        <w:separator/>
      </w:r>
    </w:p>
  </w:footnote>
  <w:footnote w:type="continuationSeparator" w:id="0">
    <w:p w14:paraId="5CB51109" w14:textId="77777777" w:rsidR="00D10C79" w:rsidRDefault="00D10C79" w:rsidP="0056417B">
      <w:r>
        <w:continuationSeparator/>
      </w:r>
    </w:p>
  </w:footnote>
  <w:footnote w:id="1">
    <w:p w14:paraId="19593643" w14:textId="0395FB6E" w:rsidR="0084281F" w:rsidRPr="009D0AF3" w:rsidRDefault="0084281F">
      <w:pPr>
        <w:pStyle w:val="FootnoteText"/>
        <w:rPr>
          <w:sz w:val="26"/>
          <w:szCs w:val="26"/>
        </w:rPr>
      </w:pPr>
      <w:r>
        <w:rPr>
          <w:rStyle w:val="FootnoteReference"/>
        </w:rPr>
        <w:footnoteRef/>
      </w:r>
      <w:r>
        <w:t xml:space="preserve"> </w:t>
      </w:r>
      <w:r w:rsidR="00C6668E" w:rsidRPr="005A2A03">
        <w:rPr>
          <w:sz w:val="26"/>
          <w:szCs w:val="26"/>
        </w:rPr>
        <w:t>Delegated</w:t>
      </w:r>
      <w:r w:rsidR="00C6668E">
        <w:t xml:space="preserve"> </w:t>
      </w:r>
      <w:r w:rsidRPr="009D0AF3">
        <w:rPr>
          <w:sz w:val="26"/>
          <w:szCs w:val="26"/>
        </w:rPr>
        <w:t xml:space="preserve">Letter </w:t>
      </w:r>
      <w:r w:rsidR="00C6668E">
        <w:rPr>
          <w:sz w:val="26"/>
          <w:szCs w:val="26"/>
        </w:rPr>
        <w:t>O</w:t>
      </w:r>
      <w:r w:rsidRPr="009D0AF3">
        <w:rPr>
          <w:sz w:val="26"/>
          <w:szCs w:val="26"/>
        </w:rPr>
        <w:t>rder approving</w:t>
      </w:r>
      <w:r w:rsidR="005F5584">
        <w:rPr>
          <w:sz w:val="26"/>
          <w:szCs w:val="26"/>
        </w:rPr>
        <w:t xml:space="preserve"> Joint Petition requesting to update the </w:t>
      </w:r>
      <w:r w:rsidR="005F5584" w:rsidRPr="009D0AF3">
        <w:rPr>
          <w:sz w:val="26"/>
          <w:szCs w:val="26"/>
        </w:rPr>
        <w:t>regional Reliability Standard PRC-006-SERC-03 under RD22-1</w:t>
      </w:r>
      <w:r w:rsidR="005F5584">
        <w:rPr>
          <w:sz w:val="26"/>
          <w:szCs w:val="26"/>
        </w:rPr>
        <w:t xml:space="preserve"> (dated 12/14/2021) filed by the</w:t>
      </w:r>
      <w:r w:rsidRPr="009D0AF3">
        <w:rPr>
          <w:sz w:val="26"/>
          <w:szCs w:val="26"/>
        </w:rPr>
        <w:t xml:space="preserve"> North American Electric Reliability Corporation (</w:t>
      </w:r>
      <w:hyperlink r:id="rId1" w:history="1">
        <w:r w:rsidRPr="009D0AF3">
          <w:rPr>
            <w:rStyle w:val="Hyperlink"/>
            <w:sz w:val="26"/>
            <w:szCs w:val="26"/>
          </w:rPr>
          <w:t>https://elibrary.ferc.gov/eLibrary/filelist?accession_num=20220218-3010</w:t>
        </w:r>
      </w:hyperlink>
      <w:r w:rsidRPr="009D0AF3">
        <w:rPr>
          <w:sz w:val="26"/>
          <w:szCs w:val="26"/>
        </w:rPr>
        <w:t>).</w:t>
      </w:r>
    </w:p>
  </w:footnote>
  <w:footnote w:id="2">
    <w:p w14:paraId="3AC2626A" w14:textId="671447E7" w:rsidR="0084281F" w:rsidRDefault="0084281F">
      <w:pPr>
        <w:pStyle w:val="FootnoteText"/>
      </w:pPr>
      <w:r>
        <w:rPr>
          <w:rStyle w:val="FootnoteReference"/>
        </w:rPr>
        <w:footnoteRef/>
      </w:r>
      <w:r>
        <w:t xml:space="preserve"> </w:t>
      </w:r>
      <w:r w:rsidRPr="00627606">
        <w:rPr>
          <w:sz w:val="26"/>
        </w:rPr>
        <w:t>16 U.S.C. 824</w:t>
      </w:r>
      <w:r w:rsidRPr="00627606">
        <w:rPr>
          <w:i/>
          <w:iCs/>
          <w:sz w:val="26"/>
        </w:rPr>
        <w:t>o</w:t>
      </w:r>
      <w:r w:rsidRPr="00627606">
        <w:rPr>
          <w:sz w:val="26"/>
        </w:rPr>
        <w:t>.</w:t>
      </w:r>
    </w:p>
  </w:footnote>
  <w:footnote w:id="3">
    <w:p w14:paraId="2372506D" w14:textId="77777777" w:rsidR="005C4A04" w:rsidRPr="009D0AF3" w:rsidRDefault="005C4A04" w:rsidP="0092639F">
      <w:pPr>
        <w:pStyle w:val="FootnoteText"/>
        <w:rPr>
          <w:sz w:val="26"/>
          <w:lang w:val="pt-BR"/>
        </w:rPr>
      </w:pPr>
      <w:r w:rsidRPr="00D76243">
        <w:rPr>
          <w:rStyle w:val="FootnoteReference"/>
        </w:rPr>
        <w:footnoteRef/>
      </w:r>
      <w:r w:rsidRPr="009D0AF3">
        <w:rPr>
          <w:sz w:val="26"/>
          <w:lang w:val="pt-BR"/>
        </w:rPr>
        <w:t xml:space="preserve"> 16 U.S.C. </w:t>
      </w:r>
      <w:r w:rsidRPr="009D0AF3">
        <w:rPr>
          <w:sz w:val="26"/>
          <w:lang w:val="es-ES"/>
        </w:rPr>
        <w:t xml:space="preserve">§ </w:t>
      </w:r>
      <w:r w:rsidRPr="009D0AF3">
        <w:rPr>
          <w:sz w:val="26"/>
          <w:lang w:val="pt-BR"/>
        </w:rPr>
        <w:t>824o(d)(3).</w:t>
      </w:r>
    </w:p>
  </w:footnote>
  <w:footnote w:id="4">
    <w:p w14:paraId="73842E47" w14:textId="77777777" w:rsidR="005C4A04" w:rsidRPr="009D0AF3" w:rsidRDefault="005C4A04" w:rsidP="0092639F">
      <w:pPr>
        <w:pStyle w:val="FootnoteText"/>
        <w:rPr>
          <w:sz w:val="26"/>
          <w:lang w:val="pt-BR"/>
        </w:rPr>
      </w:pPr>
      <w:r w:rsidRPr="00D76243">
        <w:rPr>
          <w:rStyle w:val="FootnoteReference"/>
        </w:rPr>
        <w:footnoteRef/>
      </w:r>
      <w:r w:rsidRPr="009D0AF3">
        <w:rPr>
          <w:sz w:val="26"/>
          <w:lang w:val="pt-BR"/>
        </w:rPr>
        <w:t xml:space="preserve"> </w:t>
      </w:r>
      <w:r w:rsidRPr="009D0AF3">
        <w:rPr>
          <w:i/>
          <w:sz w:val="26"/>
          <w:lang w:val="pt-BR"/>
        </w:rPr>
        <w:t>Id.</w:t>
      </w:r>
      <w:r w:rsidRPr="009D0AF3">
        <w:rPr>
          <w:sz w:val="26"/>
          <w:lang w:val="pt-BR"/>
        </w:rPr>
        <w:t xml:space="preserve"> </w:t>
      </w:r>
      <w:r w:rsidRPr="009D0AF3">
        <w:rPr>
          <w:sz w:val="26"/>
          <w:lang w:val="es-ES"/>
        </w:rPr>
        <w:t xml:space="preserve">§ </w:t>
      </w:r>
      <w:r w:rsidRPr="009D0AF3">
        <w:rPr>
          <w:sz w:val="26"/>
          <w:lang w:val="pt-BR"/>
        </w:rPr>
        <w:t>824o(d)(2).</w:t>
      </w:r>
    </w:p>
  </w:footnote>
  <w:footnote w:id="5">
    <w:p w14:paraId="30F0467A" w14:textId="77777777" w:rsidR="005C4A04" w:rsidRPr="00D84E00" w:rsidRDefault="005C4A04" w:rsidP="0092639F">
      <w:pPr>
        <w:pStyle w:val="FootnoteText"/>
        <w:rPr>
          <w:sz w:val="26"/>
          <w:szCs w:val="26"/>
        </w:rPr>
      </w:pPr>
      <w:r w:rsidRPr="000B42E8">
        <w:rPr>
          <w:rStyle w:val="FootnoteReference"/>
        </w:rPr>
        <w:footnoteRef/>
      </w:r>
      <w:r w:rsidRPr="00D84E00">
        <w:rPr>
          <w:sz w:val="26"/>
          <w:szCs w:val="26"/>
        </w:rPr>
        <w:t xml:space="preserve"> Letter Order Approving the Joint Petition Requesting Certain Approvals in connection with the Dissolution of FRCC, 167 FERC ¶ 61,095, (2019). </w:t>
      </w:r>
    </w:p>
  </w:footnote>
  <w:footnote w:id="6">
    <w:p w14:paraId="0CCC8F1D" w14:textId="4326A4EA" w:rsidR="005C4A04" w:rsidRDefault="005C4A04" w:rsidP="0092639F">
      <w:pPr>
        <w:pStyle w:val="FootnoteText"/>
      </w:pPr>
      <w:r w:rsidRPr="000B42E8">
        <w:rPr>
          <w:rStyle w:val="FootnoteReference"/>
        </w:rPr>
        <w:footnoteRef/>
      </w:r>
      <w:r w:rsidRPr="00D84E00">
        <w:rPr>
          <w:sz w:val="26"/>
          <w:szCs w:val="26"/>
        </w:rPr>
        <w:t xml:space="preserve"> N</w:t>
      </w:r>
      <w:r w:rsidR="000B42E8">
        <w:rPr>
          <w:sz w:val="26"/>
          <w:szCs w:val="26"/>
        </w:rPr>
        <w:t>orth</w:t>
      </w:r>
      <w:r w:rsidRPr="00D84E00">
        <w:rPr>
          <w:sz w:val="26"/>
          <w:szCs w:val="26"/>
        </w:rPr>
        <w:t xml:space="preserve"> Am</w:t>
      </w:r>
      <w:r w:rsidR="000B42E8">
        <w:rPr>
          <w:sz w:val="26"/>
          <w:szCs w:val="26"/>
        </w:rPr>
        <w:t>erican</w:t>
      </w:r>
      <w:r w:rsidRPr="00D84E00">
        <w:rPr>
          <w:sz w:val="26"/>
          <w:szCs w:val="26"/>
        </w:rPr>
        <w:t xml:space="preserve"> Elec</w:t>
      </w:r>
      <w:r w:rsidR="000B42E8">
        <w:rPr>
          <w:sz w:val="26"/>
          <w:szCs w:val="26"/>
        </w:rPr>
        <w:t>tric</w:t>
      </w:r>
      <w:r w:rsidRPr="00D84E00">
        <w:rPr>
          <w:sz w:val="26"/>
          <w:szCs w:val="26"/>
        </w:rPr>
        <w:t xml:space="preserve"> Reliability Corp</w:t>
      </w:r>
      <w:r w:rsidR="000B42E8">
        <w:rPr>
          <w:sz w:val="26"/>
          <w:szCs w:val="26"/>
        </w:rPr>
        <w:t>oration</w:t>
      </w:r>
      <w:r w:rsidR="007974E6">
        <w:rPr>
          <w:sz w:val="26"/>
          <w:szCs w:val="26"/>
        </w:rPr>
        <w:t xml:space="preserve"> (NERC)</w:t>
      </w:r>
      <w:r w:rsidRPr="00D84E00">
        <w:rPr>
          <w:sz w:val="26"/>
          <w:szCs w:val="26"/>
        </w:rPr>
        <w:t xml:space="preserve">, Docket No. RD17-9-000 (Oct. 16, 2017) (delegated letter order). </w:t>
      </w:r>
    </w:p>
  </w:footnote>
  <w:footnote w:id="7">
    <w:p w14:paraId="4BA6F67D" w14:textId="77777777" w:rsidR="002F5B93" w:rsidRPr="00D84E00" w:rsidRDefault="002F5B93" w:rsidP="002F5B93">
      <w:pPr>
        <w:pStyle w:val="FootnoteText"/>
        <w:rPr>
          <w:sz w:val="26"/>
          <w:szCs w:val="26"/>
        </w:rPr>
      </w:pPr>
      <w:r>
        <w:rPr>
          <w:rStyle w:val="FootnoteReference"/>
        </w:rPr>
        <w:footnoteRef/>
      </w:r>
      <w:r>
        <w:t xml:space="preserve"> </w:t>
      </w:r>
      <w:r w:rsidRPr="00D84E00">
        <w:rPr>
          <w:sz w:val="26"/>
          <w:szCs w:val="26"/>
        </w:rPr>
        <w:t xml:space="preserve">NERC petition identified on page 8 </w:t>
      </w:r>
    </w:p>
  </w:footnote>
  <w:footnote w:id="8">
    <w:p w14:paraId="5F4AFE90" w14:textId="77777777" w:rsidR="002F5B93" w:rsidRDefault="002F5B93" w:rsidP="002F5B93">
      <w:pPr>
        <w:pStyle w:val="FootnoteText"/>
      </w:pPr>
      <w:r w:rsidRPr="007974E6">
        <w:rPr>
          <w:rStyle w:val="FootnoteReference"/>
        </w:rPr>
        <w:footnoteRef/>
      </w:r>
      <w:r w:rsidRPr="00D84E00">
        <w:rPr>
          <w:sz w:val="26"/>
          <w:szCs w:val="26"/>
        </w:rPr>
        <w:t xml:space="preserve"> NERC petition identified on page 9</w:t>
      </w:r>
    </w:p>
  </w:footnote>
  <w:footnote w:id="9">
    <w:p w14:paraId="26154C95" w14:textId="77777777" w:rsidR="005C4A04" w:rsidRPr="007D5934" w:rsidRDefault="005C4A04" w:rsidP="0056417B">
      <w:pPr>
        <w:pStyle w:val="FootnoteText"/>
        <w:rPr>
          <w:sz w:val="26"/>
          <w:szCs w:val="26"/>
        </w:rPr>
      </w:pPr>
      <w:r w:rsidRPr="007D5934">
        <w:rPr>
          <w:rStyle w:val="FootnoteReference"/>
        </w:rPr>
        <w:footnoteRef/>
      </w:r>
      <w:r w:rsidRPr="007D5934">
        <w:rPr>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footnote>
  <w:footnote w:id="10">
    <w:p w14:paraId="0BB9C537" w14:textId="46BD2ADD" w:rsidR="00FA218C" w:rsidRDefault="00FA218C">
      <w:pPr>
        <w:pStyle w:val="FootnoteText"/>
      </w:pPr>
      <w:r w:rsidRPr="00FE70CB">
        <w:rPr>
          <w:rStyle w:val="FootnoteReference"/>
        </w:rPr>
        <w:footnoteRef/>
      </w:r>
      <w:r w:rsidRPr="00D84E00">
        <w:rPr>
          <w:sz w:val="26"/>
          <w:szCs w:val="26"/>
        </w:rPr>
        <w:t xml:space="preserve"> Between previous information </w:t>
      </w:r>
      <w:r w:rsidRPr="005A2A03">
        <w:rPr>
          <w:sz w:val="26"/>
          <w:szCs w:val="26"/>
        </w:rPr>
        <w:t>collection the</w:t>
      </w:r>
      <w:r w:rsidR="005F5584" w:rsidRPr="005A2A03">
        <w:rPr>
          <w:sz w:val="26"/>
          <w:szCs w:val="26"/>
        </w:rPr>
        <w:t>re is an</w:t>
      </w:r>
      <w:r w:rsidRPr="005A2A03">
        <w:rPr>
          <w:sz w:val="26"/>
          <w:szCs w:val="26"/>
        </w:rPr>
        <w:t xml:space="preserve"> increase</w:t>
      </w:r>
      <w:r w:rsidRPr="00D84E00">
        <w:rPr>
          <w:sz w:val="26"/>
          <w:szCs w:val="26"/>
        </w:rPr>
        <w:t xml:space="preserve"> in</w:t>
      </w:r>
      <w:r w:rsidR="005F5584">
        <w:rPr>
          <w:sz w:val="26"/>
          <w:szCs w:val="26"/>
        </w:rPr>
        <w:t xml:space="preserve"> the</w:t>
      </w:r>
      <w:r w:rsidRPr="00D84E00">
        <w:rPr>
          <w:sz w:val="26"/>
          <w:szCs w:val="26"/>
        </w:rPr>
        <w:t xml:space="preserve"> number</w:t>
      </w:r>
      <w:r w:rsidR="005F5584">
        <w:rPr>
          <w:sz w:val="26"/>
          <w:szCs w:val="26"/>
        </w:rPr>
        <w:t xml:space="preserve"> of</w:t>
      </w:r>
      <w:r w:rsidRPr="00D84E00">
        <w:rPr>
          <w:sz w:val="26"/>
          <w:szCs w:val="26"/>
        </w:rPr>
        <w:t xml:space="preserve"> PC</w:t>
      </w:r>
      <w:r w:rsidR="005F5584">
        <w:rPr>
          <w:sz w:val="26"/>
          <w:szCs w:val="26"/>
        </w:rPr>
        <w:t>s</w:t>
      </w:r>
      <w:r w:rsidRPr="00D84E00">
        <w:rPr>
          <w:sz w:val="26"/>
          <w:szCs w:val="26"/>
        </w:rPr>
        <w:t xml:space="preserve"> and GOs</w:t>
      </w:r>
      <w:r w:rsidR="005F5584">
        <w:rPr>
          <w:sz w:val="26"/>
          <w:szCs w:val="26"/>
        </w:rPr>
        <w:t xml:space="preserve"> which</w:t>
      </w:r>
      <w:r w:rsidRPr="00D84E00">
        <w:rPr>
          <w:sz w:val="26"/>
          <w:szCs w:val="26"/>
        </w:rPr>
        <w:t xml:space="preserve"> largely reflec</w:t>
      </w:r>
      <w:r w:rsidR="005F5584">
        <w:rPr>
          <w:sz w:val="26"/>
          <w:szCs w:val="26"/>
        </w:rPr>
        <w:t>t</w:t>
      </w:r>
      <w:r w:rsidRPr="00D84E00">
        <w:rPr>
          <w:sz w:val="26"/>
          <w:szCs w:val="26"/>
        </w:rPr>
        <w:t xml:space="preserve"> entities from the former FRCC and SPP regions now applicable PRC-006-SERC-03.</w:t>
      </w:r>
    </w:p>
  </w:footnote>
  <w:footnote w:id="11">
    <w:p w14:paraId="2B5D9A8C" w14:textId="73762B79" w:rsidR="00270092" w:rsidRPr="009E2D36" w:rsidRDefault="00270092" w:rsidP="00270092">
      <w:pPr>
        <w:pStyle w:val="FootnoteText"/>
        <w:rPr>
          <w:sz w:val="26"/>
          <w:szCs w:val="26"/>
        </w:rPr>
      </w:pPr>
      <w:r w:rsidRPr="00FF1D94">
        <w:rPr>
          <w:rStyle w:val="FootnoteReference"/>
        </w:rPr>
        <w:footnoteRef/>
      </w:r>
      <w:r w:rsidRPr="00FF1D94">
        <w:rPr>
          <w:sz w:val="26"/>
          <w:szCs w:val="26"/>
        </w:rPr>
        <w:t xml:space="preserve"> The estimated hourly cost (salary plus benefits) provided in this section is based on the salary figures</w:t>
      </w:r>
      <w:r>
        <w:rPr>
          <w:sz w:val="26"/>
          <w:szCs w:val="26"/>
        </w:rPr>
        <w:t xml:space="preserve"> </w:t>
      </w:r>
      <w:hyperlink w:history="1"/>
      <w:r>
        <w:rPr>
          <w:sz w:val="26"/>
          <w:szCs w:val="26"/>
        </w:rPr>
        <w:t xml:space="preserve">and benefits </w:t>
      </w:r>
      <w:r w:rsidR="00FE70CB">
        <w:rPr>
          <w:sz w:val="26"/>
          <w:szCs w:val="26"/>
        </w:rPr>
        <w:t xml:space="preserve">of the average 2021 FERC FTE costs ($180,703 per year, or $87.00 per hour), which we estimate is comparable for salary plus benefits costs of a utilities staff.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6E7B7" w14:textId="77777777" w:rsidR="005C4A04" w:rsidRDefault="005C4A04" w:rsidP="005C4A0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9414E3" w14:textId="77777777" w:rsidR="005C4A04" w:rsidRDefault="005C4A04" w:rsidP="005C4A0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4D6C0" w14:textId="77777777" w:rsidR="005C4A04" w:rsidRDefault="005C4A04" w:rsidP="005C4A0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018F5D42" w14:textId="18B1E7D7" w:rsidR="005C4A04" w:rsidRPr="008C3E0A" w:rsidRDefault="005C4A04" w:rsidP="005C4A04">
    <w:pPr>
      <w:pStyle w:val="Header"/>
      <w:ind w:right="360"/>
      <w:rPr>
        <w:color w:val="FF0000"/>
      </w:rPr>
    </w:pPr>
    <w:r>
      <w:t xml:space="preserve">Docket </w:t>
    </w:r>
    <w:r w:rsidRPr="00E47BC2">
      <w:t>No</w:t>
    </w:r>
    <w:r w:rsidR="009806A3">
      <w:t>s</w:t>
    </w:r>
    <w:r w:rsidRPr="00E47BC2">
      <w:t>.</w:t>
    </w:r>
    <w:r>
      <w:t xml:space="preserve"> </w:t>
    </w:r>
    <w:r w:rsidR="00583B19">
      <w:t>RD22-1-000</w:t>
    </w:r>
    <w:r w:rsidR="00C6668E">
      <w:t xml:space="preserve"> and</w:t>
    </w:r>
    <w:r w:rsidR="00583B19">
      <w:t xml:space="preserve"> </w:t>
    </w:r>
    <w:r w:rsidRPr="00317A63">
      <w:t>IC22-</w:t>
    </w:r>
    <w:r w:rsidR="00317A63" w:rsidRPr="00D84E00">
      <w:t>7</w:t>
    </w:r>
    <w:r w:rsidRPr="00317A63">
      <w:t>-000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F0CC7"/>
    <w:multiLevelType w:val="hybridMultilevel"/>
    <w:tmpl w:val="0DF61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lang="en-US" w:vendorID="64" w:dllVersion="0" w:nlCheck="1" w:checkStyle="0" w:appName="MSWord"/>
  <w:activeWritingStyle w:lang="es-ES" w:vendorID="64" w:dllVersion="0" w:nlCheck="1" w:checkStyle="0" w:appName="MSWord"/>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17B"/>
    <w:rsid w:val="00007FFB"/>
    <w:rsid w:val="00030FD4"/>
    <w:rsid w:val="0003176C"/>
    <w:rsid w:val="00044E05"/>
    <w:rsid w:val="00072BBE"/>
    <w:rsid w:val="00077098"/>
    <w:rsid w:val="000B42E8"/>
    <w:rsid w:val="000C794F"/>
    <w:rsid w:val="00103018"/>
    <w:rsid w:val="00125FA5"/>
    <w:rsid w:val="00126558"/>
    <w:rsid w:val="00160E87"/>
    <w:rsid w:val="001A7F64"/>
    <w:rsid w:val="001B24A3"/>
    <w:rsid w:val="001B5CDD"/>
    <w:rsid w:val="001F05C2"/>
    <w:rsid w:val="00263256"/>
    <w:rsid w:val="00270092"/>
    <w:rsid w:val="00273C7A"/>
    <w:rsid w:val="002754CC"/>
    <w:rsid w:val="002767DC"/>
    <w:rsid w:val="00291B98"/>
    <w:rsid w:val="002B2530"/>
    <w:rsid w:val="002C5E29"/>
    <w:rsid w:val="002E10AA"/>
    <w:rsid w:val="002F5B93"/>
    <w:rsid w:val="00317A63"/>
    <w:rsid w:val="00364715"/>
    <w:rsid w:val="00367AAB"/>
    <w:rsid w:val="003C6A98"/>
    <w:rsid w:val="003D0DB4"/>
    <w:rsid w:val="003D0EC4"/>
    <w:rsid w:val="003F5846"/>
    <w:rsid w:val="00416E6F"/>
    <w:rsid w:val="00464DC1"/>
    <w:rsid w:val="004C6F95"/>
    <w:rsid w:val="004D01E9"/>
    <w:rsid w:val="004F6E97"/>
    <w:rsid w:val="005057DA"/>
    <w:rsid w:val="00511329"/>
    <w:rsid w:val="0054267A"/>
    <w:rsid w:val="0056417B"/>
    <w:rsid w:val="00583B19"/>
    <w:rsid w:val="0058699D"/>
    <w:rsid w:val="0059262D"/>
    <w:rsid w:val="0059440A"/>
    <w:rsid w:val="005A2A03"/>
    <w:rsid w:val="005C4A04"/>
    <w:rsid w:val="005E2FD0"/>
    <w:rsid w:val="005F5584"/>
    <w:rsid w:val="00603FFD"/>
    <w:rsid w:val="00607236"/>
    <w:rsid w:val="00607B2D"/>
    <w:rsid w:val="00646408"/>
    <w:rsid w:val="006610E0"/>
    <w:rsid w:val="00696CAC"/>
    <w:rsid w:val="006B2B8D"/>
    <w:rsid w:val="006D3328"/>
    <w:rsid w:val="006E5B24"/>
    <w:rsid w:val="007102B7"/>
    <w:rsid w:val="007159D3"/>
    <w:rsid w:val="00720B11"/>
    <w:rsid w:val="0074588C"/>
    <w:rsid w:val="007806E6"/>
    <w:rsid w:val="00795857"/>
    <w:rsid w:val="007974E6"/>
    <w:rsid w:val="007978AD"/>
    <w:rsid w:val="007A2FEC"/>
    <w:rsid w:val="007C182F"/>
    <w:rsid w:val="007E6DCC"/>
    <w:rsid w:val="008065A4"/>
    <w:rsid w:val="00814C03"/>
    <w:rsid w:val="0083761F"/>
    <w:rsid w:val="0084281F"/>
    <w:rsid w:val="00855735"/>
    <w:rsid w:val="0088021E"/>
    <w:rsid w:val="0088293A"/>
    <w:rsid w:val="008A3D04"/>
    <w:rsid w:val="008A64C8"/>
    <w:rsid w:val="008C3A70"/>
    <w:rsid w:val="008C3E0A"/>
    <w:rsid w:val="008F02F5"/>
    <w:rsid w:val="008F46AA"/>
    <w:rsid w:val="00904179"/>
    <w:rsid w:val="009126BA"/>
    <w:rsid w:val="0092639F"/>
    <w:rsid w:val="009562D5"/>
    <w:rsid w:val="009639F1"/>
    <w:rsid w:val="009806A3"/>
    <w:rsid w:val="00982F0F"/>
    <w:rsid w:val="009874CA"/>
    <w:rsid w:val="009C1155"/>
    <w:rsid w:val="009D0AF3"/>
    <w:rsid w:val="009E0BDC"/>
    <w:rsid w:val="009E3938"/>
    <w:rsid w:val="00A24443"/>
    <w:rsid w:val="00A35AFD"/>
    <w:rsid w:val="00A63B2D"/>
    <w:rsid w:val="00A75AC7"/>
    <w:rsid w:val="00A9608A"/>
    <w:rsid w:val="00AA79D4"/>
    <w:rsid w:val="00AB4AC8"/>
    <w:rsid w:val="00AC2DC9"/>
    <w:rsid w:val="00AC3BB6"/>
    <w:rsid w:val="00AD33CD"/>
    <w:rsid w:val="00AD7280"/>
    <w:rsid w:val="00B11882"/>
    <w:rsid w:val="00B216F8"/>
    <w:rsid w:val="00B22844"/>
    <w:rsid w:val="00B316FE"/>
    <w:rsid w:val="00B4245D"/>
    <w:rsid w:val="00B86F83"/>
    <w:rsid w:val="00B916D9"/>
    <w:rsid w:val="00BD5A42"/>
    <w:rsid w:val="00C2759D"/>
    <w:rsid w:val="00C33312"/>
    <w:rsid w:val="00C40DDA"/>
    <w:rsid w:val="00C56CA7"/>
    <w:rsid w:val="00C6668E"/>
    <w:rsid w:val="00C81CCB"/>
    <w:rsid w:val="00C90EAD"/>
    <w:rsid w:val="00C9673E"/>
    <w:rsid w:val="00CB2037"/>
    <w:rsid w:val="00CC2D9B"/>
    <w:rsid w:val="00D10C79"/>
    <w:rsid w:val="00D16FF5"/>
    <w:rsid w:val="00D217D3"/>
    <w:rsid w:val="00D26085"/>
    <w:rsid w:val="00D34DAD"/>
    <w:rsid w:val="00D70F7F"/>
    <w:rsid w:val="00D75F56"/>
    <w:rsid w:val="00D76243"/>
    <w:rsid w:val="00D84E00"/>
    <w:rsid w:val="00DC51AF"/>
    <w:rsid w:val="00DE55ED"/>
    <w:rsid w:val="00DF11CA"/>
    <w:rsid w:val="00DF5C59"/>
    <w:rsid w:val="00E37096"/>
    <w:rsid w:val="00E44089"/>
    <w:rsid w:val="00E620EC"/>
    <w:rsid w:val="00E624B2"/>
    <w:rsid w:val="00E7616E"/>
    <w:rsid w:val="00EC040B"/>
    <w:rsid w:val="00F3497B"/>
    <w:rsid w:val="00F42C40"/>
    <w:rsid w:val="00F47B8D"/>
    <w:rsid w:val="00F5158B"/>
    <w:rsid w:val="00F61CC7"/>
    <w:rsid w:val="00F81289"/>
    <w:rsid w:val="00FA218C"/>
    <w:rsid w:val="00FA3A49"/>
    <w:rsid w:val="00FA5F10"/>
    <w:rsid w:val="00FC6407"/>
    <w:rsid w:val="00FE7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2529"/>
    <o:shapelayout v:ext="edit">
      <o:idmap v:ext="edit" data="1"/>
    </o:shapelayout>
  </w:shapeDefaults>
  <w:decimalSymbol w:val="."/>
  <w:listSeparator w:val=","/>
  <w14:docId w14:val="2DE4772A"/>
  <w15:chartTrackingRefBased/>
  <w15:docId w15:val="{1CAB4C12-D44E-42F7-8E91-12AF478ED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17B"/>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56417B"/>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
    <w:basedOn w:val="Normal"/>
    <w:link w:val="FootnoteTextChar1"/>
    <w:uiPriority w:val="99"/>
    <w:qFormat/>
    <w:rsid w:val="0056417B"/>
    <w:rPr>
      <w:sz w:val="22"/>
      <w:szCs w:val="20"/>
    </w:rPr>
  </w:style>
  <w:style w:type="character" w:customStyle="1" w:styleId="FootnoteTextChar">
    <w:name w:val="Footnote Text Char"/>
    <w:basedOn w:val="DefaultParagraphFont"/>
    <w:uiPriority w:val="99"/>
    <w:semiHidden/>
    <w:rsid w:val="0056417B"/>
    <w:rPr>
      <w:rFonts w:ascii="Times New Roman" w:eastAsia="Times New Roman" w:hAnsi="Times New Roman" w:cs="Times New Roman"/>
      <w:sz w:val="20"/>
      <w:szCs w:val="20"/>
    </w:rPr>
  </w:style>
  <w:style w:type="paragraph" w:styleId="Header">
    <w:name w:val="header"/>
    <w:basedOn w:val="Normal"/>
    <w:link w:val="HeaderChar"/>
    <w:rsid w:val="0056417B"/>
    <w:pPr>
      <w:tabs>
        <w:tab w:val="center" w:pos="4320"/>
        <w:tab w:val="right" w:pos="8640"/>
      </w:tabs>
    </w:pPr>
  </w:style>
  <w:style w:type="character" w:customStyle="1" w:styleId="HeaderChar">
    <w:name w:val="Header Char"/>
    <w:basedOn w:val="DefaultParagraphFont"/>
    <w:link w:val="Header"/>
    <w:rsid w:val="0056417B"/>
    <w:rPr>
      <w:rFonts w:ascii="Times New Roman" w:eastAsia="Times New Roman" w:hAnsi="Times New Roman" w:cs="Times New Roman"/>
      <w:sz w:val="26"/>
      <w:szCs w:val="24"/>
    </w:rPr>
  </w:style>
  <w:style w:type="character" w:styleId="PageNumber">
    <w:name w:val="page number"/>
    <w:basedOn w:val="DefaultParagraphFont"/>
    <w:rsid w:val="0056417B"/>
  </w:style>
  <w:style w:type="character" w:styleId="Hyperlink">
    <w:name w:val="Hyperlink"/>
    <w:rsid w:val="0056417B"/>
    <w:rPr>
      <w:color w:val="0000FF"/>
      <w:u w:val="single"/>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56417B"/>
    <w:rPr>
      <w:rFonts w:ascii="Times New Roman" w:eastAsia="Times New Roman" w:hAnsi="Times New Roman" w:cs="Times New Roman"/>
      <w:szCs w:val="20"/>
    </w:rPr>
  </w:style>
  <w:style w:type="paragraph" w:styleId="Footer">
    <w:name w:val="footer"/>
    <w:basedOn w:val="Normal"/>
    <w:link w:val="FooterChar"/>
    <w:uiPriority w:val="99"/>
    <w:unhideWhenUsed/>
    <w:rsid w:val="0056417B"/>
    <w:pPr>
      <w:tabs>
        <w:tab w:val="center" w:pos="4680"/>
        <w:tab w:val="right" w:pos="9360"/>
      </w:tabs>
    </w:pPr>
  </w:style>
  <w:style w:type="character" w:customStyle="1" w:styleId="FooterChar">
    <w:name w:val="Footer Char"/>
    <w:basedOn w:val="DefaultParagraphFont"/>
    <w:link w:val="Footer"/>
    <w:uiPriority w:val="99"/>
    <w:rsid w:val="0056417B"/>
    <w:rPr>
      <w:rFonts w:ascii="Times New Roman" w:eastAsia="Times New Roman" w:hAnsi="Times New Roman" w:cs="Times New Roman"/>
      <w:sz w:val="26"/>
      <w:szCs w:val="24"/>
    </w:rPr>
  </w:style>
  <w:style w:type="paragraph" w:styleId="BalloonText">
    <w:name w:val="Balloon Text"/>
    <w:basedOn w:val="Normal"/>
    <w:link w:val="BalloonTextChar"/>
    <w:uiPriority w:val="99"/>
    <w:semiHidden/>
    <w:unhideWhenUsed/>
    <w:rsid w:val="002E10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0A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159D3"/>
    <w:rPr>
      <w:sz w:val="16"/>
      <w:szCs w:val="16"/>
    </w:rPr>
  </w:style>
  <w:style w:type="paragraph" w:styleId="CommentText">
    <w:name w:val="annotation text"/>
    <w:basedOn w:val="Normal"/>
    <w:link w:val="CommentTextChar"/>
    <w:uiPriority w:val="99"/>
    <w:semiHidden/>
    <w:unhideWhenUsed/>
    <w:rsid w:val="007159D3"/>
    <w:rPr>
      <w:sz w:val="20"/>
      <w:szCs w:val="20"/>
    </w:rPr>
  </w:style>
  <w:style w:type="character" w:customStyle="1" w:styleId="CommentTextChar">
    <w:name w:val="Comment Text Char"/>
    <w:basedOn w:val="DefaultParagraphFont"/>
    <w:link w:val="CommentText"/>
    <w:uiPriority w:val="99"/>
    <w:semiHidden/>
    <w:rsid w:val="007159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59D3"/>
    <w:rPr>
      <w:b/>
      <w:bCs/>
    </w:rPr>
  </w:style>
  <w:style w:type="character" w:customStyle="1" w:styleId="CommentSubjectChar">
    <w:name w:val="Comment Subject Char"/>
    <w:basedOn w:val="CommentTextChar"/>
    <w:link w:val="CommentSubject"/>
    <w:uiPriority w:val="99"/>
    <w:semiHidden/>
    <w:rsid w:val="007159D3"/>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D16FF5"/>
    <w:rPr>
      <w:color w:val="605E5C"/>
      <w:shd w:val="clear" w:color="auto" w:fill="E1DFDD"/>
    </w:rPr>
  </w:style>
  <w:style w:type="character" w:styleId="FollowedHyperlink">
    <w:name w:val="FollowedHyperlink"/>
    <w:basedOn w:val="DefaultParagraphFont"/>
    <w:uiPriority w:val="99"/>
    <w:semiHidden/>
    <w:unhideWhenUsed/>
    <w:rsid w:val="00A35AFD"/>
    <w:rPr>
      <w:color w:val="954F72" w:themeColor="followedHyperlink"/>
      <w:u w:val="single"/>
    </w:rPr>
  </w:style>
  <w:style w:type="paragraph" w:styleId="EndnoteText">
    <w:name w:val="endnote text"/>
    <w:basedOn w:val="Normal"/>
    <w:link w:val="EndnoteTextChar"/>
    <w:uiPriority w:val="99"/>
    <w:semiHidden/>
    <w:unhideWhenUsed/>
    <w:rsid w:val="0084281F"/>
    <w:rPr>
      <w:sz w:val="20"/>
      <w:szCs w:val="20"/>
    </w:rPr>
  </w:style>
  <w:style w:type="character" w:customStyle="1" w:styleId="EndnoteTextChar">
    <w:name w:val="Endnote Text Char"/>
    <w:basedOn w:val="DefaultParagraphFont"/>
    <w:link w:val="EndnoteText"/>
    <w:uiPriority w:val="99"/>
    <w:semiHidden/>
    <w:rsid w:val="0084281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428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Clearance@FERC.gov"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erc.gov/ferc-online/overview"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library.ferc.gov/eLibrary/filelist?accession_num=20220218-3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4a4cd09-5f17-433b-814a-38e7e9115d16"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06201A2C-1CD6-45A1-9583-355E1242B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050115-9A8F-4D72-95E3-D81167EE0B50}">
  <ds:schemaRefs>
    <ds:schemaRef ds:uri="Microsoft.SharePoint.Taxonomy.ContentTypeSync"/>
  </ds:schemaRefs>
</ds:datastoreItem>
</file>

<file path=customXml/itemProps3.xml><?xml version="1.0" encoding="utf-8"?>
<ds:datastoreItem xmlns:ds="http://schemas.openxmlformats.org/officeDocument/2006/customXml" ds:itemID="{E5514157-E6FE-4BFA-BDE1-2FBB5345BB79}">
  <ds:schemaRefs>
    <ds:schemaRef ds:uri="http://schemas.openxmlformats.org/officeDocument/2006/bibliography"/>
  </ds:schemaRefs>
</ds:datastoreItem>
</file>

<file path=customXml/itemProps4.xml><?xml version="1.0" encoding="utf-8"?>
<ds:datastoreItem xmlns:ds="http://schemas.openxmlformats.org/officeDocument/2006/customXml" ds:itemID="{52C0D01A-355B-4008-9990-0A0BC23828CB}">
  <ds:schemaRefs>
    <ds:schemaRef ds:uri="http://schemas.microsoft.com/sharepoint/v3/contenttype/forms"/>
  </ds:schemaRefs>
</ds:datastoreItem>
</file>

<file path=customXml/itemProps5.xml><?xml version="1.0" encoding="utf-8"?>
<ds:datastoreItem xmlns:ds="http://schemas.openxmlformats.org/officeDocument/2006/customXml" ds:itemID="{FA21F3E2-2B79-4ADB-A248-7EE077AB13B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ap:Properties xmlns:vt="http://schemas.openxmlformats.org/officeDocument/2006/docPropsVTypes" xmlns:ap="http://schemas.openxmlformats.org/officeDocument/2006/extended-properties">
  <ap:TotalTime>4</ap:TotalTime>
  <ap:Pages>9</ap:Pages>
  <ap:Words>1788</ap:Words>
  <ap:Characters>10192</ap:Characters>
  <ap:Application>Microsoft Office Word</ap:Application>
  <ap:DocSecurity>0</ap:DocSecurity>
  <ap:Lines>84</ap:Lines>
  <ap:Paragraphs>23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11957</ap:CharactersWithSpaces>
  <ap:SharedDoc>false</ap:SharedDoc>
  <ap:HyperlinksChanged>false</ap:HyperlinksChanged>
  <ap:AppVersion>16.0000</ap:AppVersion>
  <ap:Manager/>
  <ap:Company/>
  <ap:HyperlinkBase/>
  <ap:Templ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
  <dcterms:created xsi:type="dcterms:W3CDTF">2022-02-24T18:33:00.0000000Z</dcterms:created>
  <dcterms:modified xsi:type="dcterms:W3CDTF">2022-02-24T18:53:00.0000000Z</dcterms:modified>
  <category/>
  <contentStatus/>
  <dc:identifier/>
  <version/>
</coreProperties>
</file>

<file path=docProps/custom.xml><?xml version="1.0" encoding="utf-8"?>
<op:Properties xmlns:vt="http://schemas.openxmlformats.org/officeDocument/2006/docPropsVTypes" xmlns:op="http://schemas.openxmlformats.org/officeDocument/2006/custom-properties"/>
</file>