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0F5D" w:rsidR="00EE07DD" w:rsidP="005E5E49" w:rsidRDefault="00EE07DD" w14:paraId="5D3AD7B7" w14:textId="77777777">
      <w:pPr>
        <w:spacing w:after="0" w:line="276" w:lineRule="auto"/>
        <w:jc w:val="center"/>
        <w:rPr>
          <w:rFonts w:ascii="Times New Roman" w:hAnsi="Times New Roman" w:cs="Times New Roman"/>
          <w:sz w:val="26"/>
          <w:szCs w:val="26"/>
        </w:rPr>
      </w:pPr>
      <w:r w:rsidRPr="00C10F5D">
        <w:rPr>
          <w:rFonts w:ascii="Times New Roman" w:hAnsi="Times New Roman" w:cs="Times New Roman"/>
          <w:sz w:val="26"/>
          <w:szCs w:val="26"/>
        </w:rPr>
        <w:t>Supporting Statement for</w:t>
      </w:r>
    </w:p>
    <w:p w:rsidRPr="00C10F5D" w:rsidR="00417C7C" w:rsidP="005E5E49" w:rsidRDefault="00417C7C" w14:paraId="2F1AA100" w14:textId="47A5FD22">
      <w:pPr>
        <w:spacing w:after="0" w:line="276" w:lineRule="auto"/>
        <w:jc w:val="center"/>
        <w:rPr>
          <w:rFonts w:ascii="Times New Roman" w:hAnsi="Times New Roman" w:cs="Times New Roman"/>
          <w:b/>
          <w:sz w:val="26"/>
          <w:szCs w:val="26"/>
        </w:rPr>
      </w:pPr>
      <w:r w:rsidRPr="00C10F5D">
        <w:rPr>
          <w:rFonts w:ascii="Times New Roman" w:hAnsi="Times New Roman" w:cs="Times New Roman"/>
          <w:b/>
          <w:sz w:val="26"/>
          <w:szCs w:val="26"/>
        </w:rPr>
        <w:t xml:space="preserve">FERC-725K, Mandatory Reliability Standards for the SERC Region </w:t>
      </w:r>
    </w:p>
    <w:p w:rsidRPr="00C10F5D" w:rsidR="00EE07DD" w:rsidP="005E5E49" w:rsidRDefault="00E7287B" w14:paraId="005FB4B7" w14:textId="2B9F5963">
      <w:pPr>
        <w:spacing w:after="0" w:line="276" w:lineRule="auto"/>
        <w:jc w:val="center"/>
        <w:rPr>
          <w:rFonts w:ascii="Times New Roman" w:hAnsi="Times New Roman" w:cs="Times New Roman"/>
          <w:sz w:val="26"/>
          <w:szCs w:val="26"/>
        </w:rPr>
      </w:pPr>
      <w:r w:rsidRPr="00C10F5D">
        <w:rPr>
          <w:rFonts w:ascii="Times New Roman" w:hAnsi="Times New Roman" w:cs="Times New Roman"/>
          <w:sz w:val="26"/>
          <w:szCs w:val="26"/>
        </w:rPr>
        <w:t>(Three-year extension requested)</w:t>
      </w:r>
    </w:p>
    <w:p w:rsidRPr="00C10F5D" w:rsidR="00EB7F94" w:rsidP="005E5E49" w:rsidRDefault="00EB7F94" w14:paraId="51A0C6A3" w14:textId="77777777">
      <w:pPr>
        <w:spacing w:after="0" w:line="276" w:lineRule="auto"/>
        <w:rPr>
          <w:rFonts w:ascii="Times New Roman" w:hAnsi="Times New Roman" w:cs="Times New Roman"/>
          <w:sz w:val="26"/>
          <w:szCs w:val="26"/>
        </w:rPr>
      </w:pPr>
    </w:p>
    <w:p w:rsidRPr="00C10F5D" w:rsidR="00B77B3D" w:rsidP="005E5E49" w:rsidRDefault="00E7287B" w14:paraId="1FF13103" w14:textId="3974AA84">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The Federal Energy Regulatory Commission (FERC or Commission) requests that the Office of Management and Budget (OMB) review and renew the information coll</w:t>
      </w:r>
      <w:r w:rsidRPr="00C10F5D" w:rsidR="005E5E49">
        <w:rPr>
          <w:rFonts w:ascii="Times New Roman" w:hAnsi="Times New Roman" w:cs="Times New Roman"/>
          <w:sz w:val="26"/>
          <w:szCs w:val="26"/>
        </w:rPr>
        <w:t>ection requirements in FERC-725K under OMB Control No. 1902-0260</w:t>
      </w:r>
      <w:r w:rsidRPr="00C10F5D">
        <w:rPr>
          <w:rFonts w:ascii="Times New Roman" w:hAnsi="Times New Roman" w:cs="Times New Roman"/>
          <w:sz w:val="26"/>
          <w:szCs w:val="26"/>
        </w:rPr>
        <w:t>.</w:t>
      </w:r>
      <w:r w:rsidRPr="00C10F5D" w:rsidR="00AE3654">
        <w:rPr>
          <w:rFonts w:ascii="Times New Roman" w:hAnsi="Times New Roman" w:cs="Times New Roman"/>
          <w:sz w:val="26"/>
          <w:szCs w:val="26"/>
        </w:rPr>
        <w:t xml:space="preserve"> </w:t>
      </w:r>
      <w:r w:rsidRPr="00C10F5D">
        <w:rPr>
          <w:rFonts w:ascii="Times New Roman" w:hAnsi="Times New Roman" w:cs="Times New Roman"/>
          <w:sz w:val="26"/>
          <w:szCs w:val="26"/>
        </w:rPr>
        <w:t xml:space="preserve"> </w:t>
      </w:r>
      <w:r w:rsidRPr="00C10F5D" w:rsidR="002A2A70">
        <w:rPr>
          <w:rFonts w:ascii="Times New Roman" w:hAnsi="Times New Roman" w:cs="Times New Roman"/>
          <w:sz w:val="26"/>
          <w:szCs w:val="26"/>
        </w:rPr>
        <w:t>The 725K collection was modified by the Commission order in Docket No. R</w:t>
      </w:r>
      <w:r w:rsidRPr="00C10F5D" w:rsidR="004945D8">
        <w:rPr>
          <w:rFonts w:ascii="Times New Roman" w:hAnsi="Times New Roman" w:cs="Times New Roman"/>
          <w:sz w:val="26"/>
          <w:szCs w:val="26"/>
        </w:rPr>
        <w:t>D</w:t>
      </w:r>
      <w:r w:rsidRPr="00C10F5D" w:rsidR="002A2A70">
        <w:rPr>
          <w:rFonts w:ascii="Times New Roman" w:hAnsi="Times New Roman" w:cs="Times New Roman"/>
          <w:sz w:val="26"/>
          <w:szCs w:val="26"/>
        </w:rPr>
        <w:t>22-1-000</w:t>
      </w:r>
      <w:r w:rsidR="007F4481">
        <w:rPr>
          <w:rFonts w:ascii="Times New Roman" w:hAnsi="Times New Roman" w:cs="Times New Roman"/>
          <w:sz w:val="26"/>
          <w:szCs w:val="26"/>
        </w:rPr>
        <w:t xml:space="preserve"> and the renewal Docket No.</w:t>
      </w:r>
      <w:r w:rsidR="00993CFC">
        <w:rPr>
          <w:rFonts w:ascii="Times New Roman" w:hAnsi="Times New Roman" w:cs="Times New Roman"/>
          <w:sz w:val="26"/>
          <w:szCs w:val="26"/>
        </w:rPr>
        <w:t xml:space="preserve"> is</w:t>
      </w:r>
      <w:r w:rsidR="007F4481">
        <w:rPr>
          <w:rFonts w:ascii="Times New Roman" w:hAnsi="Times New Roman" w:cs="Times New Roman"/>
          <w:sz w:val="26"/>
          <w:szCs w:val="26"/>
        </w:rPr>
        <w:t xml:space="preserve"> IC22-7-000</w:t>
      </w:r>
      <w:r w:rsidRPr="00C10F5D" w:rsidR="002A2A70">
        <w:rPr>
          <w:rFonts w:ascii="Times New Roman" w:hAnsi="Times New Roman" w:cs="Times New Roman"/>
          <w:sz w:val="26"/>
          <w:szCs w:val="26"/>
        </w:rPr>
        <w:t xml:space="preserve">. </w:t>
      </w:r>
    </w:p>
    <w:p w:rsidRPr="00C10F5D" w:rsidR="007B29B4" w:rsidP="005E5E49" w:rsidRDefault="007B29B4" w14:paraId="02F1F2BF" w14:textId="77777777">
      <w:pPr>
        <w:spacing w:after="0" w:line="276" w:lineRule="auto"/>
        <w:ind w:left="720"/>
        <w:rPr>
          <w:rFonts w:ascii="Times New Roman" w:hAnsi="Times New Roman" w:cs="Times New Roman"/>
          <w:sz w:val="26"/>
          <w:szCs w:val="26"/>
        </w:rPr>
      </w:pPr>
    </w:p>
    <w:p w:rsidRPr="00C10F5D" w:rsidR="00EE07DD" w:rsidP="005E5E49" w:rsidRDefault="00EE07DD" w14:paraId="16FA34C6" w14:textId="77777777">
      <w:pPr>
        <w:numPr>
          <w:ilvl w:val="0"/>
          <w:numId w:val="2"/>
        </w:numPr>
        <w:spacing w:after="0" w:line="276" w:lineRule="auto"/>
        <w:rPr>
          <w:rFonts w:ascii="Times New Roman" w:hAnsi="Times New Roman" w:cs="Times New Roman"/>
          <w:sz w:val="26"/>
          <w:szCs w:val="26"/>
        </w:rPr>
      </w:pPr>
      <w:r w:rsidRPr="00C10F5D">
        <w:rPr>
          <w:rFonts w:ascii="Times New Roman" w:hAnsi="Times New Roman" w:cs="Times New Roman"/>
          <w:b/>
          <w:sz w:val="26"/>
          <w:szCs w:val="26"/>
        </w:rPr>
        <w:t>CIRCUMSTANCES THAT MAKE THE COLLECTION OF INFORMATION NECESSARY</w:t>
      </w:r>
    </w:p>
    <w:p w:rsidRPr="00C10F5D" w:rsidR="00E915E5" w:rsidP="005E5E49" w:rsidRDefault="00E915E5" w14:paraId="64C6D912" w14:textId="77777777">
      <w:pPr>
        <w:spacing w:after="0" w:line="276" w:lineRule="auto"/>
        <w:rPr>
          <w:rFonts w:ascii="Times New Roman" w:hAnsi="Times New Roman" w:cs="Times New Roman"/>
          <w:sz w:val="26"/>
          <w:szCs w:val="26"/>
        </w:rPr>
      </w:pPr>
    </w:p>
    <w:p w:rsidRPr="00C10F5D" w:rsidR="005E5E49" w:rsidP="005E5E49" w:rsidRDefault="005E5E49" w14:paraId="385EAB4A" w14:textId="3B271113">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On August 8, 2005, The Electricity Modernization Act of 2005, which is Title XII of the Energy Policy Act of 2005 (</w:t>
      </w:r>
      <w:proofErr w:type="spellStart"/>
      <w:r w:rsidRPr="00C10F5D">
        <w:rPr>
          <w:rFonts w:ascii="Times New Roman" w:hAnsi="Times New Roman" w:cs="Times New Roman"/>
          <w:sz w:val="26"/>
          <w:szCs w:val="26"/>
        </w:rPr>
        <w:t>EPAct</w:t>
      </w:r>
      <w:proofErr w:type="spellEnd"/>
      <w:r w:rsidRPr="00C10F5D">
        <w:rPr>
          <w:rFonts w:ascii="Times New Roman" w:hAnsi="Times New Roman" w:cs="Times New Roman"/>
          <w:sz w:val="26"/>
          <w:szCs w:val="26"/>
        </w:rPr>
        <w:t xml:space="preserve"> 2005), was enacted into law.  </w:t>
      </w:r>
      <w:proofErr w:type="spellStart"/>
      <w:r w:rsidRPr="00C10F5D">
        <w:rPr>
          <w:rFonts w:ascii="Times New Roman" w:hAnsi="Times New Roman" w:cs="Times New Roman"/>
          <w:sz w:val="26"/>
          <w:szCs w:val="26"/>
        </w:rPr>
        <w:t>EPAct</w:t>
      </w:r>
      <w:proofErr w:type="spellEnd"/>
      <w:r w:rsidRPr="00C10F5D">
        <w:rPr>
          <w:rFonts w:ascii="Times New Roman" w:hAnsi="Times New Roman" w:cs="Times New Roman"/>
          <w:sz w:val="26"/>
          <w:szCs w:val="26"/>
        </w:rPr>
        <w:t xml:space="preserve"> 2005 added a new Section 215 to the Federal Power Act (FPA), which requires a Commission-certified Electric Reliability Organization (ERO) to develop mandatory and enforceable Reliability Standards, which are subject to Commission review and approval.  Once approved, the ERO may enforce the Reliability Standards, subject to Commission oversight.  In 2006, the Commission certified the North American Electric Reliability Corporation (NERC) as the ERO pursuant to FPA section 215.</w:t>
      </w:r>
      <w:r w:rsidRPr="00C10F5D">
        <w:rPr>
          <w:rFonts w:ascii="Times New Roman" w:hAnsi="Times New Roman" w:cs="Times New Roman"/>
          <w:sz w:val="26"/>
          <w:szCs w:val="26"/>
          <w:vertAlign w:val="superscript"/>
        </w:rPr>
        <w:footnoteReference w:id="2"/>
      </w:r>
      <w:r w:rsidRPr="00C10F5D">
        <w:rPr>
          <w:rFonts w:ascii="Times New Roman" w:hAnsi="Times New Roman" w:cs="Times New Roman"/>
          <w:sz w:val="26"/>
          <w:szCs w:val="26"/>
          <w:vertAlign w:val="superscript"/>
        </w:rPr>
        <w:t xml:space="preserve"> </w:t>
      </w:r>
      <w:r w:rsidRPr="00C10F5D">
        <w:rPr>
          <w:rFonts w:ascii="Times New Roman" w:hAnsi="Times New Roman" w:cs="Times New Roman"/>
          <w:sz w:val="26"/>
          <w:szCs w:val="26"/>
        </w:rPr>
        <w:t xml:space="preserve"> </w:t>
      </w:r>
    </w:p>
    <w:p w:rsidRPr="00C10F5D" w:rsidR="005E5E49" w:rsidP="005E5E49" w:rsidRDefault="005E5E49" w14:paraId="22DDFA4B" w14:textId="77777777">
      <w:pPr>
        <w:spacing w:after="0" w:line="276" w:lineRule="auto"/>
        <w:rPr>
          <w:rFonts w:ascii="Times New Roman" w:hAnsi="Times New Roman" w:cs="Times New Roman"/>
          <w:sz w:val="26"/>
          <w:szCs w:val="26"/>
        </w:rPr>
      </w:pPr>
    </w:p>
    <w:p w:rsidRPr="00C10F5D" w:rsidR="005E5E49" w:rsidP="005E5E49" w:rsidRDefault="005E5E49" w14:paraId="38D7E2DE" w14:textId="51B7F896">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Reliability Standards that NERC proposes to the Commission may include Reliability Standards that a Regional Entity proposes to be effective in that region.</w:t>
      </w:r>
      <w:r w:rsidRPr="00C10F5D">
        <w:rPr>
          <w:rFonts w:ascii="Times New Roman" w:hAnsi="Times New Roman" w:cs="Times New Roman"/>
          <w:b/>
          <w:sz w:val="26"/>
          <w:szCs w:val="26"/>
          <w:vertAlign w:val="superscript"/>
        </w:rPr>
        <w:footnoteReference w:id="3"/>
      </w:r>
      <w:r w:rsidRPr="00C10F5D">
        <w:rPr>
          <w:rFonts w:ascii="Times New Roman" w:hAnsi="Times New Roman" w:cs="Times New Roman"/>
          <w:sz w:val="26"/>
          <w:szCs w:val="26"/>
        </w:rPr>
        <w:t xml:space="preserve">  In Order No. 672, the Commission noted that:</w:t>
      </w:r>
    </w:p>
    <w:p w:rsidRPr="00C10F5D" w:rsidR="005E5E49" w:rsidP="005E5E49" w:rsidRDefault="005E5E49" w14:paraId="4D272D66" w14:textId="77777777">
      <w:pPr>
        <w:spacing w:after="0" w:line="276" w:lineRule="auto"/>
        <w:rPr>
          <w:rFonts w:ascii="Times New Roman" w:hAnsi="Times New Roman" w:cs="Times New Roman"/>
          <w:sz w:val="26"/>
          <w:szCs w:val="26"/>
        </w:rPr>
      </w:pPr>
    </w:p>
    <w:p w:rsidRPr="00C10F5D" w:rsidR="005E5E49" w:rsidP="005E5E49" w:rsidRDefault="005E5E49" w14:paraId="73057838" w14:textId="1E20B20D">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As a general matter, we will accept the following two types of regional differences, provided they are otherwise just, reasonable, not unduly </w:t>
      </w:r>
      <w:r w:rsidRPr="00C10F5D" w:rsidR="004B124E">
        <w:rPr>
          <w:rFonts w:ascii="Times New Roman" w:hAnsi="Times New Roman" w:cs="Times New Roman"/>
          <w:sz w:val="26"/>
          <w:szCs w:val="26"/>
        </w:rPr>
        <w:t>discriminatory,</w:t>
      </w:r>
      <w:r w:rsidRPr="00C10F5D">
        <w:rPr>
          <w:rFonts w:ascii="Times New Roman" w:hAnsi="Times New Roman" w:cs="Times New Roman"/>
          <w:sz w:val="26"/>
          <w:szCs w:val="26"/>
        </w:rPr>
        <w:t xml:space="preserve"> or preferential and in the public interest, as required under the statute:  </w:t>
      </w:r>
    </w:p>
    <w:p w:rsidRPr="00C10F5D" w:rsidR="005E5E49" w:rsidP="005E5E49" w:rsidRDefault="005E5E49" w14:paraId="33E1F834" w14:textId="77777777">
      <w:pPr>
        <w:numPr>
          <w:ilvl w:val="0"/>
          <w:numId w:val="13"/>
        </w:numPr>
        <w:spacing w:after="0" w:line="276" w:lineRule="auto"/>
        <w:rPr>
          <w:rFonts w:ascii="Times New Roman" w:hAnsi="Times New Roman" w:cs="Times New Roman"/>
          <w:sz w:val="26"/>
          <w:szCs w:val="26"/>
        </w:rPr>
      </w:pPr>
      <w:r w:rsidRPr="00C10F5D">
        <w:rPr>
          <w:rFonts w:ascii="Times New Roman" w:hAnsi="Times New Roman" w:cs="Times New Roman"/>
          <w:sz w:val="26"/>
          <w:szCs w:val="26"/>
        </w:rPr>
        <w:lastRenderedPageBreak/>
        <w:t xml:space="preserve">a regional difference that is more stringent than the continent-wide Reliability Standard, including a regional difference that addresses matters that the continent-wide Reliability Standard does not; and </w:t>
      </w:r>
    </w:p>
    <w:p w:rsidRPr="00C10F5D" w:rsidR="005E5E49" w:rsidP="005E5E49" w:rsidRDefault="005E5E49" w14:paraId="7EFBA01B" w14:textId="77777777">
      <w:pPr>
        <w:numPr>
          <w:ilvl w:val="0"/>
          <w:numId w:val="13"/>
        </w:num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a regional Reliability Standard that is necessitated by a physical difference in the Bulk-Power System.</w:t>
      </w:r>
    </w:p>
    <w:p w:rsidRPr="00C10F5D" w:rsidR="005E5E49" w:rsidP="005E5E49" w:rsidRDefault="005E5E49" w14:paraId="163A1503" w14:textId="77777777">
      <w:pPr>
        <w:spacing w:after="0" w:line="276" w:lineRule="auto"/>
        <w:rPr>
          <w:rFonts w:ascii="Times New Roman" w:hAnsi="Times New Roman" w:cs="Times New Roman"/>
          <w:sz w:val="26"/>
          <w:szCs w:val="26"/>
        </w:rPr>
      </w:pPr>
    </w:p>
    <w:p w:rsidRPr="00C10F5D" w:rsidR="005E5E49" w:rsidP="005E5E49" w:rsidRDefault="005E5E49" w14:paraId="4D44C877" w14:textId="77777777">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When NERC reviews a regional Reliability Standard that would be applicable on an interconnection-wide basis and that has been proposed by a Regional Entity organized on an interconnection-wide basis, NERC must presume that the regional Reliability Standard is just, reasonable, not unduly discriminatory or preferential, and in the public interest.</w:t>
      </w:r>
      <w:r w:rsidRPr="00C10F5D">
        <w:rPr>
          <w:rFonts w:ascii="Times New Roman" w:hAnsi="Times New Roman" w:cs="Times New Roman"/>
          <w:b/>
          <w:sz w:val="26"/>
          <w:szCs w:val="26"/>
          <w:vertAlign w:val="superscript"/>
        </w:rPr>
        <w:footnoteReference w:id="4"/>
      </w:r>
      <w:r w:rsidRPr="00C10F5D">
        <w:rPr>
          <w:rFonts w:ascii="Times New Roman" w:hAnsi="Times New Roman" w:cs="Times New Roman"/>
          <w:sz w:val="26"/>
          <w:szCs w:val="26"/>
        </w:rPr>
        <w:t xml:space="preserve">  In turn, the Commission must give “due weight” to the technical expertise of NERC and of a Regional Entity organized on an interconnection-wide basis.</w:t>
      </w:r>
      <w:r w:rsidRPr="00C10F5D">
        <w:rPr>
          <w:rFonts w:ascii="Times New Roman" w:hAnsi="Times New Roman" w:cs="Times New Roman"/>
          <w:b/>
          <w:sz w:val="26"/>
          <w:szCs w:val="26"/>
          <w:vertAlign w:val="superscript"/>
        </w:rPr>
        <w:footnoteReference w:id="5"/>
      </w:r>
    </w:p>
    <w:p w:rsidRPr="00C10F5D" w:rsidR="005E5E49" w:rsidP="005E5E49" w:rsidRDefault="005E5E49" w14:paraId="62CB55CB" w14:textId="77777777">
      <w:pPr>
        <w:spacing w:after="0" w:line="276" w:lineRule="auto"/>
        <w:rPr>
          <w:rFonts w:ascii="Times New Roman" w:hAnsi="Times New Roman" w:cs="Times New Roman"/>
          <w:sz w:val="26"/>
          <w:szCs w:val="26"/>
        </w:rPr>
      </w:pPr>
    </w:p>
    <w:p w:rsidRPr="00C10F5D" w:rsidR="00CD79F5" w:rsidP="00CD79F5" w:rsidRDefault="00CD79F5" w14:paraId="6C30C022" w14:textId="77777777">
      <w:pPr>
        <w:spacing w:after="0" w:line="276" w:lineRule="auto"/>
        <w:rPr>
          <w:rFonts w:ascii="Times New Roman" w:hAnsi="Times New Roman" w:cs="Times New Roman"/>
          <w:iCs/>
          <w:sz w:val="26"/>
          <w:szCs w:val="26"/>
        </w:rPr>
      </w:pPr>
      <w:r w:rsidRPr="00C10F5D">
        <w:rPr>
          <w:rFonts w:ascii="Times New Roman" w:hAnsi="Times New Roman" w:cs="Times New Roman"/>
          <w:iCs/>
          <w:sz w:val="26"/>
          <w:szCs w:val="26"/>
        </w:rPr>
        <w:t>As stated in the NERC Petition, in 2008, SERC commenced work on Reliability Standard PRC-006-SERC-01.  NERC also began work on revising PRC-006-0 at a continent-wide level.  The SERC standard has been developed to be consistent with the NERC UFLS standard.  PRC-006-SERC-02 was developed due to periodic review of the standard and PRC-006-1 clearly defines the roles and responsibilities of parties to whom the standard applies.</w:t>
      </w:r>
    </w:p>
    <w:p w:rsidRPr="00C10F5D" w:rsidR="00CD79F5" w:rsidP="00CD79F5" w:rsidRDefault="00CD79F5" w14:paraId="0E84E18E" w14:textId="77777777">
      <w:pPr>
        <w:spacing w:after="0" w:line="276" w:lineRule="auto"/>
        <w:rPr>
          <w:rFonts w:ascii="Times New Roman" w:hAnsi="Times New Roman" w:cs="Times New Roman"/>
          <w:iCs/>
          <w:sz w:val="26"/>
          <w:szCs w:val="26"/>
        </w:rPr>
      </w:pPr>
    </w:p>
    <w:p w:rsidRPr="00C10F5D" w:rsidR="00CD79F5" w:rsidP="00CD79F5" w:rsidRDefault="00CD79F5" w14:paraId="2547CF0A" w14:textId="0A8244AD">
      <w:pPr>
        <w:spacing w:after="0" w:line="276" w:lineRule="auto"/>
        <w:rPr>
          <w:rFonts w:ascii="Times New Roman" w:hAnsi="Times New Roman" w:cs="Times New Roman"/>
          <w:iCs/>
          <w:sz w:val="26"/>
          <w:szCs w:val="26"/>
        </w:rPr>
      </w:pPr>
      <w:r w:rsidRPr="00C10F5D">
        <w:rPr>
          <w:rFonts w:ascii="Times New Roman" w:hAnsi="Times New Roman" w:cs="Times New Roman"/>
          <w:iCs/>
          <w:sz w:val="26"/>
          <w:szCs w:val="26"/>
        </w:rPr>
        <w:t xml:space="preserve">On February 18, </w:t>
      </w:r>
      <w:r w:rsidRPr="00C10F5D" w:rsidR="00650020">
        <w:rPr>
          <w:rFonts w:ascii="Times New Roman" w:hAnsi="Times New Roman" w:cs="Times New Roman"/>
          <w:iCs/>
          <w:sz w:val="26"/>
          <w:szCs w:val="26"/>
        </w:rPr>
        <w:t>2022,</w:t>
      </w:r>
      <w:r w:rsidRPr="00C10F5D">
        <w:rPr>
          <w:rFonts w:ascii="Times New Roman" w:hAnsi="Times New Roman" w:cs="Times New Roman"/>
          <w:iCs/>
          <w:sz w:val="26"/>
          <w:szCs w:val="26"/>
        </w:rPr>
        <w:t xml:space="preserve"> FERC issued the Delegated Letter Order in Docket No.  RD22-1-000 approving the NERC petition’s request (</w:t>
      </w:r>
      <w:r w:rsidRPr="00C10F5D">
        <w:rPr>
          <w:rFonts w:ascii="Times New Roman" w:hAnsi="Times New Roman" w:cs="Times New Roman"/>
          <w:i/>
          <w:iCs/>
          <w:sz w:val="26"/>
          <w:szCs w:val="26"/>
        </w:rPr>
        <w:t>Joint Petition of the North American Electric Reliability Corporation and SERC Reliability Corporation for Approval of Proposed Regional Reliability Standard PRC-006-SERC-03</w:t>
      </w:r>
      <w:r w:rsidRPr="00C10F5D">
        <w:rPr>
          <w:rFonts w:ascii="Times New Roman" w:hAnsi="Times New Roman" w:cs="Times New Roman"/>
          <w:iCs/>
          <w:sz w:val="26"/>
          <w:szCs w:val="26"/>
        </w:rPr>
        <w:t>), which modifies the information collection of FERC-725</w:t>
      </w:r>
      <w:proofErr w:type="gramStart"/>
      <w:r w:rsidRPr="00C10F5D">
        <w:rPr>
          <w:rFonts w:ascii="Times New Roman" w:hAnsi="Times New Roman" w:cs="Times New Roman"/>
          <w:iCs/>
          <w:sz w:val="26"/>
          <w:szCs w:val="26"/>
        </w:rPr>
        <w:t xml:space="preserve">K. </w:t>
      </w:r>
      <w:proofErr w:type="gramEnd"/>
      <w:r w:rsidRPr="00C10F5D">
        <w:rPr>
          <w:rFonts w:ascii="Times New Roman" w:hAnsi="Times New Roman" w:cs="Times New Roman"/>
          <w:iCs/>
          <w:sz w:val="26"/>
          <w:szCs w:val="26"/>
        </w:rPr>
        <w:t xml:space="preserve">The collection follows the NERC Petition request in Docket No. RD22-1-000 which proposes to update the reliability standard for the SERC region from PRC-006-SERC-02 to PRC-006-SERC-03.  As stated in the NERC Petition submitted on December 14, 2021, the updated reliability standard provides additional flexibility for planning coordinators to adjust island boundaries to perform more accurate studies; address the transition of the Florida Reliability Coordinating Council (FRCC) registered entities to SERC following the dissolution of the FRCC on July 1, 2019; and to clarify technical requirements within the UFLS settings that are unique to the Florida peninsula.  When FRCC was </w:t>
      </w:r>
      <w:r w:rsidRPr="00C10F5D" w:rsidR="00650020">
        <w:rPr>
          <w:rFonts w:ascii="Times New Roman" w:hAnsi="Times New Roman" w:cs="Times New Roman"/>
          <w:iCs/>
          <w:sz w:val="26"/>
          <w:szCs w:val="26"/>
        </w:rPr>
        <w:t>dissolved,</w:t>
      </w:r>
      <w:r w:rsidRPr="00C10F5D">
        <w:rPr>
          <w:rFonts w:ascii="Times New Roman" w:hAnsi="Times New Roman" w:cs="Times New Roman"/>
          <w:iCs/>
          <w:sz w:val="26"/>
          <w:szCs w:val="26"/>
        </w:rPr>
        <w:t xml:space="preserve"> and the registered entities located in the Florida peninsula would eventually </w:t>
      </w:r>
      <w:r w:rsidRPr="00C10F5D" w:rsidR="00650020">
        <w:rPr>
          <w:rFonts w:ascii="Times New Roman" w:hAnsi="Times New Roman" w:cs="Times New Roman"/>
          <w:iCs/>
          <w:sz w:val="26"/>
          <w:szCs w:val="26"/>
        </w:rPr>
        <w:t>become</w:t>
      </w:r>
      <w:r w:rsidRPr="00C10F5D">
        <w:rPr>
          <w:rFonts w:ascii="Times New Roman" w:hAnsi="Times New Roman" w:cs="Times New Roman"/>
          <w:iCs/>
          <w:sz w:val="26"/>
          <w:szCs w:val="26"/>
        </w:rPr>
        <w:t xml:space="preserve"> subject to SERC’s regional Reliability Standard PRC-006-SERC-02. </w:t>
      </w:r>
    </w:p>
    <w:p w:rsidRPr="00C10F5D" w:rsidR="000A6469" w:rsidP="00CD79F5" w:rsidRDefault="000A6469" w14:paraId="1A5BDC0D" w14:textId="77777777">
      <w:pPr>
        <w:spacing w:after="0" w:line="276" w:lineRule="auto"/>
        <w:rPr>
          <w:rFonts w:ascii="Times New Roman" w:hAnsi="Times New Roman" w:cs="Times New Roman"/>
          <w:iCs/>
          <w:sz w:val="26"/>
          <w:szCs w:val="26"/>
        </w:rPr>
      </w:pPr>
    </w:p>
    <w:p w:rsidRPr="00C10F5D" w:rsidR="00CD79F5" w:rsidP="00CD79F5" w:rsidRDefault="00CD79F5" w14:paraId="4EDE81AE" w14:textId="50CB17C6">
      <w:pPr>
        <w:spacing w:after="0" w:line="276" w:lineRule="auto"/>
        <w:rPr>
          <w:rFonts w:ascii="Times New Roman" w:hAnsi="Times New Roman" w:cs="Times New Roman"/>
          <w:iCs/>
          <w:sz w:val="26"/>
          <w:szCs w:val="26"/>
        </w:rPr>
      </w:pPr>
      <w:r w:rsidRPr="00C10F5D">
        <w:rPr>
          <w:rFonts w:ascii="Times New Roman" w:hAnsi="Times New Roman" w:cs="Times New Roman"/>
          <w:iCs/>
          <w:sz w:val="26"/>
          <w:szCs w:val="26"/>
        </w:rPr>
        <w:t xml:space="preserve">The PRC-006-1 standard identifies the Planning Coordinator (PC) as the entity responsible for developing underfrequency load shedding (UFLS) schemes within their PC area.  The regional standard (PRC-006-SERC-03) adds specificity not contained in the NERC standard for a UFLS scheme in the SERC Region. </w:t>
      </w:r>
      <w:r w:rsidRPr="00C10F5D" w:rsidR="000A6469">
        <w:rPr>
          <w:rFonts w:ascii="Times New Roman" w:hAnsi="Times New Roman" w:cs="Times New Roman"/>
          <w:iCs/>
          <w:sz w:val="26"/>
          <w:szCs w:val="26"/>
        </w:rPr>
        <w:t xml:space="preserve"> </w:t>
      </w:r>
      <w:r w:rsidRPr="00C10F5D">
        <w:rPr>
          <w:rFonts w:ascii="Times New Roman" w:hAnsi="Times New Roman" w:cs="Times New Roman"/>
          <w:iCs/>
          <w:sz w:val="26"/>
          <w:szCs w:val="26"/>
        </w:rPr>
        <w:t>The added specificity that PRC-006-SERC-03 provides effectively mitigates the consequences of an underfrequency event.</w:t>
      </w:r>
    </w:p>
    <w:p w:rsidRPr="00C10F5D" w:rsidR="000A6469" w:rsidP="00CD79F5" w:rsidRDefault="000A6469" w14:paraId="45906970" w14:textId="77777777">
      <w:pPr>
        <w:spacing w:after="0" w:line="276" w:lineRule="auto"/>
        <w:rPr>
          <w:rFonts w:ascii="Times New Roman" w:hAnsi="Times New Roman" w:cs="Times New Roman"/>
          <w:iCs/>
          <w:sz w:val="26"/>
          <w:szCs w:val="26"/>
        </w:rPr>
      </w:pPr>
    </w:p>
    <w:p w:rsidRPr="00C10F5D" w:rsidR="00CD79F5" w:rsidP="00CD79F5" w:rsidRDefault="00CD79F5" w14:paraId="4921E240" w14:textId="51159F63">
      <w:pPr>
        <w:spacing w:after="0" w:line="276" w:lineRule="auto"/>
        <w:rPr>
          <w:rFonts w:ascii="Times New Roman" w:hAnsi="Times New Roman" w:cs="Times New Roman"/>
          <w:iCs/>
          <w:sz w:val="26"/>
          <w:szCs w:val="26"/>
        </w:rPr>
      </w:pPr>
      <w:r w:rsidRPr="00C10F5D">
        <w:rPr>
          <w:rFonts w:ascii="Times New Roman" w:hAnsi="Times New Roman" w:cs="Times New Roman"/>
          <w:iCs/>
          <w:sz w:val="26"/>
          <w:szCs w:val="26"/>
        </w:rPr>
        <w:t>The purpose of regional Reliability Standard PRC-006-SERC-03 is to establish consistent and coordinated requirements for the design, implementation, and analysis of automatic UFLS programs among all SERC applicable entities.  The regional Reliability Standard PRC-006-SERC-03 incorporates revisions to:  (</w:t>
      </w:r>
      <w:proofErr w:type="spellStart"/>
      <w:r w:rsidRPr="00C10F5D">
        <w:rPr>
          <w:rFonts w:ascii="Times New Roman" w:hAnsi="Times New Roman" w:cs="Times New Roman"/>
          <w:iCs/>
          <w:sz w:val="26"/>
          <w:szCs w:val="26"/>
        </w:rPr>
        <w:t>i</w:t>
      </w:r>
      <w:proofErr w:type="spellEnd"/>
      <w:r w:rsidRPr="00C10F5D">
        <w:rPr>
          <w:rFonts w:ascii="Times New Roman" w:hAnsi="Times New Roman" w:cs="Times New Roman"/>
          <w:iCs/>
          <w:sz w:val="26"/>
          <w:szCs w:val="26"/>
        </w:rPr>
        <w:t>) provide more flexibility for Planning Coordinators to adjust island boundaries in order to perform more accurate and complete studies;  (ii) address the transition of Florida Reliability Coordinating Council (“FRCC”) registered entities to SERC following the dissolution of FRCC as a regional entity on July 1, 2019;</w:t>
      </w:r>
      <w:r w:rsidRPr="00C10F5D">
        <w:rPr>
          <w:rFonts w:ascii="Times New Roman" w:hAnsi="Times New Roman" w:cs="Times New Roman"/>
          <w:b/>
          <w:iCs/>
          <w:sz w:val="26"/>
          <w:szCs w:val="26"/>
          <w:vertAlign w:val="superscript"/>
        </w:rPr>
        <w:footnoteReference w:id="6"/>
      </w:r>
      <w:r w:rsidRPr="00C10F5D">
        <w:rPr>
          <w:rFonts w:ascii="Times New Roman" w:hAnsi="Times New Roman" w:cs="Times New Roman"/>
          <w:iCs/>
          <w:sz w:val="26"/>
          <w:szCs w:val="26"/>
        </w:rPr>
        <w:t xml:space="preserve">   (iii) clarify a technical term used in the regional Reliability Standard; and  (iv) align requirement language with the current continent-wide NERC Reliability Standard, PRC-006-5.</w:t>
      </w:r>
    </w:p>
    <w:p w:rsidRPr="00C10F5D" w:rsidR="00EE07DD" w:rsidP="005E5E49" w:rsidRDefault="00EE07DD" w14:paraId="021C84C8" w14:textId="77777777">
      <w:pPr>
        <w:spacing w:after="0" w:line="276" w:lineRule="auto"/>
        <w:rPr>
          <w:rFonts w:ascii="Times New Roman" w:hAnsi="Times New Roman" w:cs="Times New Roman"/>
          <w:sz w:val="26"/>
          <w:szCs w:val="26"/>
        </w:rPr>
      </w:pPr>
    </w:p>
    <w:p w:rsidRPr="00C10F5D" w:rsidR="00EE07DD" w:rsidP="005E5E49" w:rsidRDefault="00EE07DD" w14:paraId="1B1E8C6E"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HOW, BY WHOM, AND FOR WHAT PURPOSE THE INFORMATION IS TO BE USED AND THE CONSEQUENCES OF NOT COLLECTING THE INFORMATION</w:t>
      </w:r>
    </w:p>
    <w:p w:rsidRPr="00C10F5D" w:rsidR="00EE07DD" w:rsidP="005E5E49" w:rsidRDefault="00EE07DD" w14:paraId="7DFE0C09" w14:textId="77777777">
      <w:pPr>
        <w:spacing w:after="0" w:line="276" w:lineRule="auto"/>
        <w:rPr>
          <w:rFonts w:ascii="Times New Roman" w:hAnsi="Times New Roman" w:cs="Times New Roman"/>
          <w:b/>
          <w:sz w:val="26"/>
          <w:szCs w:val="26"/>
        </w:rPr>
      </w:pPr>
    </w:p>
    <w:p w:rsidRPr="00C10F5D" w:rsidR="005E5E49" w:rsidP="00E915E5" w:rsidRDefault="005E5E49" w14:paraId="19C9C7CC" w14:textId="707B575D">
      <w:pPr>
        <w:spacing w:after="0" w:line="276"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Prior to the enactment of Section 215 of the Federal Power Act, FERC had acted primarily as an economic regulator of the wholesale power markets and the interstate transmission grid.  In this regard, the Commission acted to promote a more reliable electric system by promoting regional coordination and planning of the interstate grid through regional independent system operators (ISOs) and regional transmission organizations (RTOs). </w:t>
      </w:r>
      <w:r w:rsidRPr="00C10F5D" w:rsidR="005D4D82">
        <w:rPr>
          <w:rFonts w:ascii="Times New Roman" w:hAnsi="Times New Roman" w:eastAsia="Calibri" w:cs="Times New Roman"/>
          <w:sz w:val="26"/>
          <w:szCs w:val="26"/>
        </w:rPr>
        <w:t xml:space="preserve"> However, t</w:t>
      </w:r>
      <w:r w:rsidRPr="00C10F5D">
        <w:rPr>
          <w:rFonts w:ascii="Times New Roman" w:hAnsi="Times New Roman" w:eastAsia="Calibri" w:cs="Times New Roman"/>
          <w:sz w:val="26"/>
          <w:szCs w:val="26"/>
        </w:rPr>
        <w:t xml:space="preserve">he passage of the Energy Policy Act of 2005 added to the Commission’s efforts by giving it the authority to strengthen the reliability of the interstate electric transmission grid through the grant of new authority pursuant to Section 215 of the FPA.  The FPA establishes a system of mandatory Reliability Standards developed by the ERO, </w:t>
      </w:r>
      <w:r w:rsidRPr="00C10F5D" w:rsidR="00E11F0D">
        <w:rPr>
          <w:rFonts w:ascii="Times New Roman" w:hAnsi="Times New Roman" w:eastAsia="Calibri" w:cs="Times New Roman"/>
          <w:sz w:val="26"/>
          <w:szCs w:val="26"/>
        </w:rPr>
        <w:t xml:space="preserve">approved </w:t>
      </w:r>
      <w:r w:rsidRPr="00C10F5D">
        <w:rPr>
          <w:rFonts w:ascii="Times New Roman" w:hAnsi="Times New Roman" w:eastAsia="Calibri" w:cs="Times New Roman"/>
          <w:sz w:val="26"/>
          <w:szCs w:val="26"/>
        </w:rPr>
        <w:t xml:space="preserve">by FERC, and enforced by the ERO and Regional Entities.  </w:t>
      </w:r>
    </w:p>
    <w:p w:rsidRPr="00C10F5D" w:rsidR="005E5E49" w:rsidP="005E5E49" w:rsidRDefault="005E5E49" w14:paraId="6D029634" w14:textId="77777777">
      <w:pPr>
        <w:spacing w:after="0" w:line="276" w:lineRule="auto"/>
        <w:ind w:firstLine="720"/>
        <w:rPr>
          <w:rFonts w:ascii="Times New Roman" w:hAnsi="Times New Roman" w:eastAsia="Calibri" w:cs="Times New Roman"/>
          <w:sz w:val="26"/>
          <w:szCs w:val="26"/>
        </w:rPr>
      </w:pPr>
    </w:p>
    <w:p w:rsidRPr="00C10F5D" w:rsidR="005E5E49" w:rsidP="00E915E5" w:rsidRDefault="00962AEE" w14:paraId="17493278" w14:textId="0FA89BCB">
      <w:pPr>
        <w:spacing w:after="0" w:line="276"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lastRenderedPageBreak/>
        <w:t>R</w:t>
      </w:r>
      <w:r w:rsidRPr="00C10F5D" w:rsidR="005E5E49">
        <w:rPr>
          <w:rFonts w:ascii="Times New Roman" w:hAnsi="Times New Roman" w:eastAsia="Calibri" w:cs="Times New Roman"/>
          <w:sz w:val="26"/>
          <w:szCs w:val="26"/>
        </w:rPr>
        <w:t>egional Reliability Standard PRC-006-SERC-</w:t>
      </w:r>
      <w:r w:rsidRPr="00C10F5D">
        <w:rPr>
          <w:rFonts w:ascii="Times New Roman" w:hAnsi="Times New Roman" w:eastAsia="Calibri" w:cs="Times New Roman"/>
          <w:sz w:val="26"/>
          <w:szCs w:val="26"/>
        </w:rPr>
        <w:t>0</w:t>
      </w:r>
      <w:r w:rsidRPr="00C10F5D" w:rsidR="005D4D82">
        <w:rPr>
          <w:rFonts w:ascii="Times New Roman" w:hAnsi="Times New Roman" w:eastAsia="Calibri" w:cs="Times New Roman"/>
          <w:sz w:val="26"/>
          <w:szCs w:val="26"/>
        </w:rPr>
        <w:t>2</w:t>
      </w:r>
      <w:r w:rsidRPr="00C10F5D">
        <w:rPr>
          <w:rFonts w:ascii="Times New Roman" w:hAnsi="Times New Roman" w:eastAsia="Calibri" w:cs="Times New Roman"/>
          <w:sz w:val="26"/>
          <w:szCs w:val="26"/>
        </w:rPr>
        <w:t xml:space="preserve"> </w:t>
      </w:r>
      <w:r w:rsidRPr="00C10F5D" w:rsidR="005E5E49">
        <w:rPr>
          <w:rFonts w:ascii="Times New Roman" w:hAnsi="Times New Roman" w:eastAsia="Calibri" w:cs="Times New Roman"/>
          <w:sz w:val="26"/>
          <w:szCs w:val="26"/>
        </w:rPr>
        <w:t>was developed to be consistent with the NERC Automatic Underfrequency Load Shedding (UFLS) Reliability Standard PRC-006-</w:t>
      </w:r>
      <w:r w:rsidRPr="00C10F5D">
        <w:rPr>
          <w:rFonts w:ascii="Times New Roman" w:hAnsi="Times New Roman" w:eastAsia="Calibri" w:cs="Times New Roman"/>
          <w:sz w:val="26"/>
          <w:szCs w:val="26"/>
        </w:rPr>
        <w:t>3</w:t>
      </w:r>
      <w:r w:rsidRPr="00C10F5D" w:rsidR="005D4D82">
        <w:rPr>
          <w:rFonts w:ascii="Times New Roman" w:hAnsi="Times New Roman" w:eastAsia="Calibri" w:cs="Times New Roman"/>
          <w:sz w:val="26"/>
          <w:szCs w:val="26"/>
        </w:rPr>
        <w:t xml:space="preserve"> and was revised to PRC-006-SERC-03 following the dissolution of the FRCC and the need for the SERC region to update its reliability standards to meet the needs of the Florida peninsula.  The</w:t>
      </w:r>
      <w:r w:rsidRPr="00C10F5D" w:rsidR="005E5E49">
        <w:rPr>
          <w:rFonts w:ascii="Times New Roman" w:hAnsi="Times New Roman" w:eastAsia="Calibri" w:cs="Times New Roman"/>
          <w:sz w:val="26"/>
          <w:szCs w:val="26"/>
        </w:rPr>
        <w:t xml:space="preserve"> Regional Reliability Standard</w:t>
      </w:r>
      <w:r w:rsidRPr="00C10F5D" w:rsidR="005D4D82">
        <w:rPr>
          <w:rFonts w:ascii="Times New Roman" w:hAnsi="Times New Roman" w:eastAsia="Calibri" w:cs="Times New Roman"/>
          <w:sz w:val="26"/>
          <w:szCs w:val="26"/>
        </w:rPr>
        <w:t xml:space="preserve">s are </w:t>
      </w:r>
      <w:r w:rsidRPr="00C10F5D" w:rsidR="005E5E49">
        <w:rPr>
          <w:rFonts w:ascii="Times New Roman" w:hAnsi="Times New Roman" w:eastAsia="Calibri" w:cs="Times New Roman"/>
          <w:sz w:val="26"/>
          <w:szCs w:val="26"/>
        </w:rPr>
        <w:t>designed to ensure that automatic UFLS protection schemes designed by planning coordinators and implemented by applicable distribution providers and transmission owners in the SERC Region</w:t>
      </w:r>
      <w:r w:rsidRPr="00C10F5D" w:rsidR="005D4D82">
        <w:rPr>
          <w:rFonts w:ascii="Times New Roman" w:hAnsi="Times New Roman" w:eastAsia="Calibri" w:cs="Times New Roman"/>
          <w:sz w:val="26"/>
          <w:szCs w:val="26"/>
        </w:rPr>
        <w:t>.  This coordination allows for</w:t>
      </w:r>
      <w:r w:rsidRPr="00C10F5D" w:rsidR="005E5E49">
        <w:rPr>
          <w:rFonts w:ascii="Times New Roman" w:hAnsi="Times New Roman" w:eastAsia="Calibri" w:cs="Times New Roman"/>
          <w:sz w:val="26"/>
          <w:szCs w:val="26"/>
        </w:rPr>
        <w:t xml:space="preserve"> effectively mitigat</w:t>
      </w:r>
      <w:r w:rsidRPr="00C10F5D" w:rsidR="005D4D82">
        <w:rPr>
          <w:rFonts w:ascii="Times New Roman" w:hAnsi="Times New Roman" w:eastAsia="Calibri" w:cs="Times New Roman"/>
          <w:sz w:val="26"/>
          <w:szCs w:val="26"/>
        </w:rPr>
        <w:t>ing</w:t>
      </w:r>
      <w:r w:rsidRPr="00C10F5D" w:rsidR="005E5E49">
        <w:rPr>
          <w:rFonts w:ascii="Times New Roman" w:hAnsi="Times New Roman" w:eastAsia="Calibri" w:cs="Times New Roman"/>
          <w:sz w:val="26"/>
          <w:szCs w:val="26"/>
        </w:rPr>
        <w:t xml:space="preserve"> the consequences of an underfrequency event.  </w:t>
      </w:r>
    </w:p>
    <w:p w:rsidRPr="00C10F5D" w:rsidR="005E5E49" w:rsidP="005E5E49" w:rsidRDefault="005E5E49" w14:paraId="6E21D685" w14:textId="77777777">
      <w:pPr>
        <w:spacing w:after="0" w:line="276" w:lineRule="auto"/>
        <w:ind w:firstLine="720"/>
        <w:rPr>
          <w:rFonts w:ascii="Times New Roman" w:hAnsi="Times New Roman" w:eastAsia="Calibri" w:cs="Times New Roman"/>
          <w:sz w:val="26"/>
          <w:szCs w:val="26"/>
        </w:rPr>
      </w:pPr>
    </w:p>
    <w:p w:rsidRPr="00C10F5D" w:rsidR="005E5E49" w:rsidP="00E915E5" w:rsidRDefault="005E5E49" w14:paraId="232F9D9C" w14:textId="018EF3AD">
      <w:pPr>
        <w:spacing w:after="0" w:line="276"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Under the regional Reliability Standard, the information </w:t>
      </w:r>
      <w:r w:rsidRPr="00C10F5D" w:rsidR="005D4D82">
        <w:rPr>
          <w:rFonts w:ascii="Times New Roman" w:hAnsi="Times New Roman" w:eastAsia="Calibri" w:cs="Times New Roman"/>
          <w:sz w:val="26"/>
          <w:szCs w:val="26"/>
        </w:rPr>
        <w:t xml:space="preserve">collected </w:t>
      </w:r>
      <w:r w:rsidRPr="00C10F5D">
        <w:rPr>
          <w:rFonts w:ascii="Times New Roman" w:hAnsi="Times New Roman" w:eastAsia="Calibri" w:cs="Times New Roman"/>
          <w:sz w:val="26"/>
          <w:szCs w:val="26"/>
        </w:rPr>
        <w:t xml:space="preserve">is used to ensure compliance with requirements associated with underfrequency load shedding plans.  Without this information, it would be difficult to enforce compliance </w:t>
      </w:r>
      <w:r w:rsidRPr="00C10F5D" w:rsidR="005D4D82">
        <w:rPr>
          <w:rFonts w:ascii="Times New Roman" w:hAnsi="Times New Roman" w:eastAsia="Calibri" w:cs="Times New Roman"/>
          <w:sz w:val="26"/>
          <w:szCs w:val="26"/>
        </w:rPr>
        <w:t>to</w:t>
      </w:r>
      <w:r w:rsidRPr="00C10F5D">
        <w:rPr>
          <w:rFonts w:ascii="Times New Roman" w:hAnsi="Times New Roman" w:eastAsia="Calibri" w:cs="Times New Roman"/>
          <w:sz w:val="26"/>
          <w:szCs w:val="26"/>
        </w:rPr>
        <w:t xml:space="preserve"> the regional standard.  A lack of compliance with this regional standard may lead to uncontrolled failure of the Interconnection</w:t>
      </w:r>
      <w:r w:rsidRPr="00C10F5D" w:rsidR="005D4D82">
        <w:rPr>
          <w:rFonts w:ascii="Times New Roman" w:hAnsi="Times New Roman" w:eastAsia="Calibri" w:cs="Times New Roman"/>
          <w:sz w:val="26"/>
          <w:szCs w:val="26"/>
        </w:rPr>
        <w:t xml:space="preserve">, which may jeopardize the safety and security of the transmission grid. </w:t>
      </w:r>
    </w:p>
    <w:p w:rsidRPr="00C10F5D" w:rsidR="00EE07DD" w:rsidP="005E5E49" w:rsidRDefault="00EE07DD" w14:paraId="7D4D2E53" w14:textId="77777777">
      <w:pPr>
        <w:spacing w:after="0" w:line="276" w:lineRule="auto"/>
        <w:rPr>
          <w:rFonts w:ascii="Times New Roman" w:hAnsi="Times New Roman" w:cs="Times New Roman"/>
          <w:sz w:val="26"/>
          <w:szCs w:val="26"/>
        </w:rPr>
      </w:pPr>
    </w:p>
    <w:p w:rsidRPr="00C10F5D" w:rsidR="00EE07DD" w:rsidP="005E5E49" w:rsidRDefault="00EE07DD" w14:paraId="14F73053" w14:textId="77777777">
      <w:pPr>
        <w:numPr>
          <w:ilvl w:val="0"/>
          <w:numId w:val="2"/>
        </w:numPr>
        <w:spacing w:after="0" w:line="276" w:lineRule="auto"/>
        <w:rPr>
          <w:rFonts w:ascii="Times New Roman" w:hAnsi="Times New Roman" w:cs="Times New Roman"/>
          <w:b/>
          <w:sz w:val="26"/>
          <w:szCs w:val="26"/>
        </w:rPr>
      </w:pPr>
      <w:r w:rsidRPr="00C10F5D" w:rsidDel="0068040C">
        <w:rPr>
          <w:rFonts w:ascii="Times New Roman" w:hAnsi="Times New Roman" w:cs="Times New Roman"/>
          <w:sz w:val="26"/>
          <w:szCs w:val="26"/>
        </w:rPr>
        <w:t xml:space="preserve"> </w:t>
      </w:r>
      <w:r w:rsidRPr="00C10F5D">
        <w:rPr>
          <w:rFonts w:ascii="Times New Roman" w:hAnsi="Times New Roman" w:cs="Times New Roman"/>
          <w:b/>
          <w:sz w:val="26"/>
          <w:szCs w:val="26"/>
        </w:rPr>
        <w:t>DESCRIBE ANY CONSIDERATION OF THE USE OF IMPROVED INFORMATION TECHNOLOGY TO REDUCE THE BURDEN AND TECHNICAL OR LEGAL OBSTACLES TO REDUCING BURDEN</w:t>
      </w:r>
    </w:p>
    <w:p w:rsidRPr="00C10F5D" w:rsidR="004232B1" w:rsidP="005E5E49" w:rsidRDefault="004232B1" w14:paraId="6A059187" w14:textId="77777777">
      <w:pPr>
        <w:spacing w:after="0" w:line="276" w:lineRule="auto"/>
        <w:rPr>
          <w:rFonts w:ascii="Times New Roman" w:hAnsi="Times New Roman" w:cs="Times New Roman"/>
          <w:sz w:val="26"/>
          <w:szCs w:val="26"/>
        </w:rPr>
      </w:pPr>
    </w:p>
    <w:p w:rsidRPr="00C10F5D" w:rsidR="00F45983" w:rsidP="00E915E5" w:rsidRDefault="00E11F0D" w14:paraId="02A85E83" w14:textId="0882D861">
      <w:pPr>
        <w:spacing w:after="0" w:line="276"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This </w:t>
      </w:r>
      <w:r w:rsidRPr="00C10F5D" w:rsidR="00F45983">
        <w:rPr>
          <w:rFonts w:ascii="Times New Roman" w:hAnsi="Times New Roman" w:eastAsia="Calibri" w:cs="Times New Roman"/>
          <w:sz w:val="26"/>
          <w:szCs w:val="26"/>
        </w:rPr>
        <w:t>collection do</w:t>
      </w:r>
      <w:r w:rsidRPr="00C10F5D">
        <w:rPr>
          <w:rFonts w:ascii="Times New Roman" w:hAnsi="Times New Roman" w:eastAsia="Calibri" w:cs="Times New Roman"/>
          <w:sz w:val="26"/>
          <w:szCs w:val="26"/>
        </w:rPr>
        <w:t>es</w:t>
      </w:r>
      <w:r w:rsidRPr="00C10F5D" w:rsidR="00F45983">
        <w:rPr>
          <w:rFonts w:ascii="Times New Roman" w:hAnsi="Times New Roman" w:eastAsia="Calibri" w:cs="Times New Roman"/>
          <w:sz w:val="26"/>
          <w:szCs w:val="26"/>
        </w:rPr>
        <w:t xml:space="preserve"> not require information to be filed with the Commission.  However, it does contain reporting and recordkeeping requirements such as creating and maintaining an UFLS program</w:t>
      </w:r>
      <w:r w:rsidRPr="00C10F5D" w:rsidR="00216221">
        <w:rPr>
          <w:rFonts w:ascii="Times New Roman" w:hAnsi="Times New Roman" w:eastAsia="Calibri" w:cs="Times New Roman"/>
          <w:sz w:val="26"/>
          <w:szCs w:val="26"/>
        </w:rPr>
        <w:t xml:space="preserve">.  To do this, </w:t>
      </w:r>
      <w:r w:rsidRPr="00C10F5D" w:rsidR="00F45983">
        <w:rPr>
          <w:rFonts w:ascii="Times New Roman" w:hAnsi="Times New Roman" w:eastAsia="Calibri" w:cs="Times New Roman"/>
          <w:sz w:val="26"/>
          <w:szCs w:val="26"/>
        </w:rPr>
        <w:t>current technology is an option that may reduce</w:t>
      </w:r>
      <w:r w:rsidRPr="00C10F5D" w:rsidR="00216221">
        <w:rPr>
          <w:rFonts w:ascii="Times New Roman" w:hAnsi="Times New Roman" w:eastAsia="Calibri" w:cs="Times New Roman"/>
          <w:sz w:val="26"/>
          <w:szCs w:val="26"/>
        </w:rPr>
        <w:t xml:space="preserve"> the</w:t>
      </w:r>
      <w:r w:rsidRPr="00C10F5D" w:rsidR="00F45983">
        <w:rPr>
          <w:rFonts w:ascii="Times New Roman" w:hAnsi="Times New Roman" w:eastAsia="Calibri" w:cs="Times New Roman"/>
          <w:sz w:val="26"/>
          <w:szCs w:val="26"/>
        </w:rPr>
        <w:t xml:space="preserve"> burden</w:t>
      </w:r>
      <w:r w:rsidRPr="00C10F5D" w:rsidR="00216221">
        <w:rPr>
          <w:rFonts w:ascii="Times New Roman" w:hAnsi="Times New Roman" w:eastAsia="Calibri" w:cs="Times New Roman"/>
          <w:sz w:val="26"/>
          <w:szCs w:val="26"/>
        </w:rPr>
        <w:t xml:space="preserve"> of reporting and recordkeeping in</w:t>
      </w:r>
      <w:r w:rsidRPr="00C10F5D" w:rsidR="00F45983">
        <w:rPr>
          <w:rFonts w:ascii="Times New Roman" w:hAnsi="Times New Roman" w:eastAsia="Calibri" w:cs="Times New Roman"/>
          <w:sz w:val="26"/>
          <w:szCs w:val="26"/>
        </w:rPr>
        <w:t xml:space="preserve"> compar</w:t>
      </w:r>
      <w:r w:rsidRPr="00C10F5D" w:rsidR="00216221">
        <w:rPr>
          <w:rFonts w:ascii="Times New Roman" w:hAnsi="Times New Roman" w:eastAsia="Calibri" w:cs="Times New Roman"/>
          <w:sz w:val="26"/>
          <w:szCs w:val="26"/>
        </w:rPr>
        <w:t>ison</w:t>
      </w:r>
      <w:r w:rsidRPr="00C10F5D" w:rsidR="00F45983">
        <w:rPr>
          <w:rFonts w:ascii="Times New Roman" w:hAnsi="Times New Roman" w:eastAsia="Calibri" w:cs="Times New Roman"/>
          <w:sz w:val="26"/>
          <w:szCs w:val="26"/>
        </w:rPr>
        <w:t xml:space="preserve"> to not using current technology.</w:t>
      </w:r>
    </w:p>
    <w:p w:rsidRPr="00C10F5D" w:rsidR="004232B1" w:rsidP="005E5E49" w:rsidRDefault="004232B1" w14:paraId="6C9EBE58" w14:textId="77777777">
      <w:pPr>
        <w:spacing w:after="0" w:line="276" w:lineRule="auto"/>
        <w:rPr>
          <w:rFonts w:ascii="Times New Roman" w:hAnsi="Times New Roman" w:cs="Times New Roman"/>
          <w:b/>
          <w:sz w:val="26"/>
          <w:szCs w:val="26"/>
        </w:rPr>
      </w:pPr>
    </w:p>
    <w:p w:rsidRPr="00C10F5D" w:rsidR="00EE07DD" w:rsidP="005E5E49" w:rsidRDefault="00EE07DD" w14:paraId="20F92025"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Pr="00C10F5D" w:rsidR="00216221" w:rsidP="00F45983" w:rsidRDefault="00216221" w14:paraId="6DE0F0E5" w14:textId="77777777">
      <w:pPr>
        <w:spacing w:after="0" w:line="276" w:lineRule="auto"/>
        <w:rPr>
          <w:rFonts w:ascii="Times New Roman" w:hAnsi="Times New Roman" w:cs="Times New Roman"/>
          <w:sz w:val="26"/>
          <w:szCs w:val="26"/>
        </w:rPr>
      </w:pPr>
    </w:p>
    <w:p w:rsidRPr="00C10F5D" w:rsidR="00F45983" w:rsidP="00F45983" w:rsidRDefault="00F45983" w14:paraId="71DE4C3C" w14:textId="1EB3AC2D">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Pr="00C10F5D" w:rsidR="005B1365">
        <w:rPr>
          <w:rFonts w:ascii="Times New Roman" w:hAnsi="Times New Roman" w:cs="Times New Roman"/>
          <w:sz w:val="26"/>
          <w:szCs w:val="26"/>
        </w:rPr>
        <w:t>OMB approved the reporting and recordkeeping requirements in national Reliability Standard PRC-006-2, which are the same as those in PRC-006-3, under FERC-725G, OMB Control No. 1902-0252.</w:t>
      </w:r>
      <w:r w:rsidRPr="00C10F5D">
        <w:rPr>
          <w:rFonts w:ascii="Times New Roman" w:hAnsi="Times New Roman" w:cs="Times New Roman"/>
          <w:sz w:val="26"/>
          <w:szCs w:val="26"/>
        </w:rPr>
        <w:t xml:space="preserve">  The information requirements in this </w:t>
      </w:r>
      <w:r w:rsidRPr="00C10F5D">
        <w:rPr>
          <w:rFonts w:ascii="Times New Roman" w:hAnsi="Times New Roman" w:cs="Times New Roman"/>
          <w:sz w:val="26"/>
          <w:szCs w:val="26"/>
        </w:rPr>
        <w:lastRenderedPageBreak/>
        <w:t>regional Reliability Standard do not replace the requirements in the national Reliability Standard but instead apply an additional level of work to be completed by the respondents in the SERC Region.  The additional requirements in the regional Reliability Standard are unique</w:t>
      </w:r>
      <w:r w:rsidRPr="00C10F5D" w:rsidR="002E6E27">
        <w:rPr>
          <w:rFonts w:ascii="Times New Roman" w:hAnsi="Times New Roman" w:cs="Times New Roman"/>
          <w:sz w:val="26"/>
          <w:szCs w:val="26"/>
        </w:rPr>
        <w:t>,</w:t>
      </w:r>
      <w:r w:rsidRPr="00C10F5D">
        <w:rPr>
          <w:rFonts w:ascii="Times New Roman" w:hAnsi="Times New Roman" w:cs="Times New Roman"/>
          <w:sz w:val="26"/>
          <w:szCs w:val="26"/>
        </w:rPr>
        <w:t xml:space="preserve"> and the Commission does not know of any other source for similar information.</w:t>
      </w:r>
    </w:p>
    <w:p w:rsidRPr="00C10F5D" w:rsidR="00EE07DD" w:rsidP="005E5E49" w:rsidRDefault="00EE07DD" w14:paraId="0843F8BE" w14:textId="77777777">
      <w:pPr>
        <w:spacing w:after="0" w:line="276" w:lineRule="auto"/>
        <w:rPr>
          <w:rFonts w:ascii="Times New Roman" w:hAnsi="Times New Roman" w:cs="Times New Roman"/>
          <w:sz w:val="26"/>
          <w:szCs w:val="26"/>
        </w:rPr>
      </w:pPr>
    </w:p>
    <w:p w:rsidRPr="00C10F5D" w:rsidR="00EE07DD" w:rsidP="005E5E49" w:rsidRDefault="00EE07DD" w14:paraId="32AA3657"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METHODS USED TO MINIMIZE THE BURDEN IN COLLECTION OF INFORMATION INVOLVING SMALL ENTITIES</w:t>
      </w:r>
    </w:p>
    <w:p w:rsidRPr="00C10F5D" w:rsidR="00EE07DD" w:rsidP="005E5E49" w:rsidRDefault="00EE07DD" w14:paraId="46F36C9D" w14:textId="77777777">
      <w:pPr>
        <w:spacing w:after="0" w:line="276" w:lineRule="auto"/>
        <w:rPr>
          <w:rFonts w:ascii="Times New Roman" w:hAnsi="Times New Roman" w:cs="Times New Roman"/>
          <w:sz w:val="26"/>
          <w:szCs w:val="26"/>
        </w:rPr>
      </w:pPr>
    </w:p>
    <w:p w:rsidRPr="00C10F5D" w:rsidR="00F45983" w:rsidP="005E5E49" w:rsidRDefault="00F45983" w14:paraId="0142E8E3" w14:textId="438B8AF9">
      <w:pPr>
        <w:spacing w:after="0" w:line="276" w:lineRule="auto"/>
        <w:rPr>
          <w:rFonts w:ascii="Times New Roman" w:hAnsi="Times New Roman" w:cs="Times New Roman"/>
          <w:sz w:val="26"/>
          <w:szCs w:val="26"/>
        </w:rPr>
      </w:pPr>
      <w:r w:rsidRPr="00C10F5D">
        <w:rPr>
          <w:rFonts w:ascii="Times New Roman" w:hAnsi="Times New Roman" w:cs="Times New Roman"/>
          <w:bCs/>
          <w:sz w:val="26"/>
          <w:szCs w:val="26"/>
        </w:rPr>
        <w:t xml:space="preserve">The regional Reliability Standard does not contain express provisions for minimizing the burden of the requirements for small entities.  All the requirements in the regional Reliability Standard apply to every applicable entity, be it large or small.  </w:t>
      </w:r>
    </w:p>
    <w:p w:rsidRPr="00C10F5D" w:rsidR="00F45983" w:rsidP="005E5E49" w:rsidRDefault="00F45983" w14:paraId="7EECF90B" w14:textId="77777777">
      <w:pPr>
        <w:spacing w:after="0" w:line="276" w:lineRule="auto"/>
        <w:rPr>
          <w:rFonts w:ascii="Times New Roman" w:hAnsi="Times New Roman" w:cs="Times New Roman"/>
          <w:sz w:val="26"/>
          <w:szCs w:val="26"/>
        </w:rPr>
      </w:pPr>
    </w:p>
    <w:p w:rsidRPr="00C10F5D" w:rsidR="00EE07DD" w:rsidP="005E5E49" w:rsidRDefault="00EE07DD" w14:paraId="039AA80B" w14:textId="5B5F5D3A">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Small entities generally can reduce their burden by taking part in a joint registration organization or a coordinated function registration.  These options allow an entity the ability to share its compliance burden with other similar entities. </w:t>
      </w:r>
    </w:p>
    <w:p w:rsidRPr="00C10F5D" w:rsidR="00EE07DD" w:rsidP="005E5E49" w:rsidRDefault="00EE07DD" w14:paraId="5F2D5BC7" w14:textId="77777777">
      <w:pPr>
        <w:spacing w:after="0" w:line="276" w:lineRule="auto"/>
        <w:rPr>
          <w:rFonts w:ascii="Times New Roman" w:hAnsi="Times New Roman" w:cs="Times New Roman"/>
          <w:sz w:val="26"/>
          <w:szCs w:val="26"/>
        </w:rPr>
      </w:pPr>
    </w:p>
    <w:p w:rsidRPr="00C10F5D" w:rsidR="00EE07DD" w:rsidP="005E5E49" w:rsidRDefault="00EE07DD" w14:paraId="6A26BA75" w14:textId="7488740D">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Detailed information regarding these options is available in NERC’s Rules of Procedure at sections 507 and 508.</w:t>
      </w:r>
      <w:r w:rsidRPr="00C10F5D">
        <w:rPr>
          <w:rFonts w:ascii="Times New Roman" w:hAnsi="Times New Roman" w:cs="Times New Roman"/>
          <w:sz w:val="26"/>
          <w:szCs w:val="26"/>
          <w:vertAlign w:val="superscript"/>
        </w:rPr>
        <w:footnoteReference w:id="7"/>
      </w:r>
      <w:r w:rsidRPr="00C10F5D">
        <w:rPr>
          <w:rFonts w:ascii="Times New Roman" w:hAnsi="Times New Roman" w:cs="Times New Roman"/>
          <w:sz w:val="26"/>
          <w:szCs w:val="26"/>
          <w:vertAlign w:val="superscript"/>
        </w:rPr>
        <w:t xml:space="preserve"> </w:t>
      </w:r>
    </w:p>
    <w:p w:rsidRPr="00C10F5D" w:rsidR="00EE07DD" w:rsidP="005E5E49" w:rsidRDefault="00EE07DD" w14:paraId="6ACBFA2F" w14:textId="77777777">
      <w:pPr>
        <w:spacing w:after="0" w:line="276" w:lineRule="auto"/>
        <w:rPr>
          <w:rFonts w:ascii="Times New Roman" w:hAnsi="Times New Roman" w:cs="Times New Roman"/>
          <w:sz w:val="26"/>
          <w:szCs w:val="26"/>
        </w:rPr>
      </w:pPr>
    </w:p>
    <w:p w:rsidRPr="00C10F5D" w:rsidR="00EE07DD" w:rsidP="005E5E49" w:rsidRDefault="00EE07DD" w14:paraId="2E49DB8E"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CONSEQUENCE TO FEDERAL PROGRAM IF COLLECTION WERE CONDUCTED LESS FREQUENTLY</w:t>
      </w:r>
    </w:p>
    <w:p w:rsidRPr="00C10F5D" w:rsidR="00EE07DD" w:rsidP="005E5E49" w:rsidRDefault="00EE07DD" w14:paraId="6278A170" w14:textId="77777777">
      <w:pPr>
        <w:spacing w:after="0" w:line="276" w:lineRule="auto"/>
        <w:rPr>
          <w:rFonts w:ascii="Times New Roman" w:hAnsi="Times New Roman" w:cs="Times New Roman"/>
          <w:sz w:val="26"/>
          <w:szCs w:val="26"/>
        </w:rPr>
      </w:pPr>
    </w:p>
    <w:p w:rsidRPr="00C10F5D" w:rsidR="00D75DCE" w:rsidP="005E5E49" w:rsidRDefault="00D75DCE" w14:paraId="4C49432A" w14:textId="39B0EE41">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These requirements are necessary for the reliable operation of the bulk electric system.  Any reduction in frequency may diminish the ability of NERC, Regional Entities, or FERC in maintaining </w:t>
      </w:r>
      <w:r w:rsidRPr="00C10F5D" w:rsidR="00216221">
        <w:rPr>
          <w:rFonts w:ascii="Times New Roman" w:hAnsi="Times New Roman" w:cs="Times New Roman"/>
          <w:sz w:val="26"/>
          <w:szCs w:val="26"/>
        </w:rPr>
        <w:t xml:space="preserve">the </w:t>
      </w:r>
      <w:r w:rsidRPr="00C10F5D">
        <w:rPr>
          <w:rFonts w:ascii="Times New Roman" w:hAnsi="Times New Roman" w:cs="Times New Roman"/>
          <w:sz w:val="26"/>
          <w:szCs w:val="26"/>
        </w:rPr>
        <w:t xml:space="preserve">reliability </w:t>
      </w:r>
      <w:r w:rsidRPr="00C10F5D" w:rsidR="00216221">
        <w:rPr>
          <w:rFonts w:ascii="Times New Roman" w:hAnsi="Times New Roman" w:cs="Times New Roman"/>
          <w:sz w:val="26"/>
          <w:szCs w:val="26"/>
        </w:rPr>
        <w:t xml:space="preserve">of the </w:t>
      </w:r>
      <w:r w:rsidRPr="00C10F5D">
        <w:rPr>
          <w:rFonts w:ascii="Times New Roman" w:hAnsi="Times New Roman" w:cs="Times New Roman"/>
          <w:sz w:val="26"/>
          <w:szCs w:val="26"/>
        </w:rPr>
        <w:t>bulk electric system.</w:t>
      </w:r>
    </w:p>
    <w:p w:rsidRPr="00C10F5D" w:rsidR="00F45983" w:rsidP="005E5E49" w:rsidRDefault="00F45983" w14:paraId="2E1B26B8" w14:textId="77777777">
      <w:pPr>
        <w:spacing w:after="0" w:line="276" w:lineRule="auto"/>
        <w:rPr>
          <w:rFonts w:ascii="Times New Roman" w:hAnsi="Times New Roman" w:cs="Times New Roman"/>
          <w:sz w:val="26"/>
          <w:szCs w:val="26"/>
        </w:rPr>
      </w:pPr>
    </w:p>
    <w:p w:rsidRPr="00C10F5D" w:rsidR="00F45983" w:rsidP="005E5E49" w:rsidRDefault="00F45983" w14:paraId="62A9269A" w14:textId="6EA7E6FB">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As stated in response to #2 above, failure to comply with the information collection requirements may lead to an uncontrolled failure of the Interconnection.  Reducing the reporting/record retention frequency may increase the risk of such an uncontrolled failure.  </w:t>
      </w:r>
    </w:p>
    <w:p w:rsidRPr="00C10F5D" w:rsidR="00830A5B" w:rsidP="005E5E49" w:rsidRDefault="00830A5B" w14:paraId="5C27D152" w14:textId="77777777">
      <w:pPr>
        <w:spacing w:after="0" w:line="276" w:lineRule="auto"/>
        <w:rPr>
          <w:rFonts w:ascii="Times New Roman" w:hAnsi="Times New Roman" w:cs="Times New Roman"/>
          <w:sz w:val="26"/>
          <w:szCs w:val="26"/>
        </w:rPr>
      </w:pPr>
    </w:p>
    <w:p w:rsidRPr="00C10F5D" w:rsidR="00EE07DD" w:rsidP="005E5E49" w:rsidRDefault="00EE07DD" w14:paraId="7E962D2C"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lastRenderedPageBreak/>
        <w:t>EXPLAIN ANY SPECIAL CIRCUMSTANCES RELATING TO THE INFORMATION COLLECTION</w:t>
      </w:r>
    </w:p>
    <w:p w:rsidRPr="00C10F5D" w:rsidR="00EE07DD" w:rsidP="005E5E49" w:rsidRDefault="00EE07DD" w14:paraId="624FF0E3" w14:textId="77777777">
      <w:pPr>
        <w:spacing w:after="0" w:line="276" w:lineRule="auto"/>
        <w:rPr>
          <w:rFonts w:ascii="Times New Roman" w:hAnsi="Times New Roman" w:cs="Times New Roman"/>
          <w:sz w:val="26"/>
          <w:szCs w:val="26"/>
        </w:rPr>
      </w:pPr>
    </w:p>
    <w:p w:rsidRPr="00C10F5D" w:rsidR="00F45983" w:rsidP="00F45983" w:rsidRDefault="00F45983" w14:paraId="4481CAAC" w14:textId="3A552E02">
      <w:pPr>
        <w:spacing w:after="0" w:line="276"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There are some special circumstances as described in 5 CFR 1320.5(d)(2) related to this information collection.</w:t>
      </w:r>
    </w:p>
    <w:p w:rsidRPr="00C10F5D" w:rsidR="00F45983" w:rsidP="00F45983" w:rsidRDefault="00F45983" w14:paraId="4248FFED" w14:textId="77777777">
      <w:pPr>
        <w:spacing w:after="0" w:line="276" w:lineRule="auto"/>
        <w:rPr>
          <w:rFonts w:ascii="Times New Roman" w:hAnsi="Times New Roman" w:eastAsia="Calibri" w:cs="Times New Roman"/>
          <w:sz w:val="26"/>
          <w:szCs w:val="26"/>
        </w:rPr>
      </w:pPr>
    </w:p>
    <w:p w:rsidRPr="00C10F5D" w:rsidR="00F45983" w:rsidP="00F45983" w:rsidRDefault="00F45983" w14:paraId="058EFFF7" w14:textId="42914710">
      <w:pPr>
        <w:spacing w:after="0" w:line="276"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Much of the requisite documentation to be maintained must be kept since the last compliance audit for a given entity. </w:t>
      </w:r>
      <w:r w:rsidRPr="00C10F5D" w:rsidR="00216221">
        <w:rPr>
          <w:rFonts w:ascii="Times New Roman" w:hAnsi="Times New Roman" w:eastAsia="Calibri" w:cs="Times New Roman"/>
          <w:sz w:val="26"/>
          <w:szCs w:val="26"/>
        </w:rPr>
        <w:t xml:space="preserve"> C</w:t>
      </w:r>
      <w:r w:rsidRPr="00C10F5D">
        <w:rPr>
          <w:rFonts w:ascii="Times New Roman" w:hAnsi="Times New Roman" w:eastAsia="Calibri" w:cs="Times New Roman"/>
          <w:sz w:val="26"/>
          <w:szCs w:val="26"/>
        </w:rPr>
        <w:t xml:space="preserve">ompliance audits may occur more than 3 years apart, the records may be kept for a period that exceeds OMB guidelines in 5 CFR 1320.5(d)(2)(iv) that stipulates </w:t>
      </w:r>
      <w:r w:rsidRPr="00C10F5D" w:rsidR="00650020">
        <w:rPr>
          <w:rFonts w:ascii="Times New Roman" w:hAnsi="Times New Roman" w:eastAsia="Calibri" w:cs="Times New Roman"/>
          <w:sz w:val="26"/>
          <w:szCs w:val="26"/>
        </w:rPr>
        <w:t>those records</w:t>
      </w:r>
      <w:r w:rsidRPr="00C10F5D">
        <w:rPr>
          <w:rFonts w:ascii="Times New Roman" w:hAnsi="Times New Roman" w:eastAsia="Calibri" w:cs="Times New Roman"/>
          <w:sz w:val="26"/>
          <w:szCs w:val="26"/>
        </w:rPr>
        <w:t xml:space="preserve"> may not be retained for longer than three years.  The Commission did not prescribe a set data retention period to apply to all Reliability Standards because the circumstance of each Reliability Standard varies.  The regional standard and reporting and retention requirements were developed, vetted, and proposed by industry in the ERO’s standards development process.</w:t>
      </w:r>
    </w:p>
    <w:p w:rsidRPr="00C10F5D" w:rsidR="00F45983" w:rsidP="00F45983" w:rsidRDefault="00F45983" w14:paraId="59FE6A8A" w14:textId="77777777">
      <w:pPr>
        <w:spacing w:after="0" w:line="276" w:lineRule="auto"/>
        <w:rPr>
          <w:rFonts w:ascii="Times New Roman" w:hAnsi="Times New Roman" w:eastAsia="Calibri" w:cs="Times New Roman"/>
          <w:sz w:val="26"/>
          <w:szCs w:val="26"/>
        </w:rPr>
      </w:pPr>
    </w:p>
    <w:p w:rsidRPr="00C10F5D" w:rsidR="00F45983" w:rsidP="00F45983" w:rsidRDefault="00F45983" w14:paraId="104A18BC" w14:textId="3D945BE6">
      <w:pPr>
        <w:spacing w:after="0" w:line="276"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More specific language on data retention from the Reliability Standard PRC-006-SERC-</w:t>
      </w:r>
      <w:r w:rsidRPr="00C10F5D" w:rsidR="00962AEE">
        <w:rPr>
          <w:rFonts w:ascii="Times New Roman" w:hAnsi="Times New Roman" w:eastAsia="Calibri" w:cs="Times New Roman"/>
          <w:sz w:val="26"/>
          <w:szCs w:val="26"/>
        </w:rPr>
        <w:t>0</w:t>
      </w:r>
      <w:r w:rsidRPr="00C10F5D" w:rsidR="00216221">
        <w:rPr>
          <w:rFonts w:ascii="Times New Roman" w:hAnsi="Times New Roman" w:eastAsia="Calibri" w:cs="Times New Roman"/>
          <w:sz w:val="26"/>
          <w:szCs w:val="26"/>
        </w:rPr>
        <w:t>3</w:t>
      </w:r>
      <w:r w:rsidRPr="00C10F5D">
        <w:rPr>
          <w:rFonts w:ascii="Times New Roman" w:hAnsi="Times New Roman" w:eastAsia="Calibri" w:cs="Times New Roman"/>
          <w:sz w:val="26"/>
          <w:szCs w:val="26"/>
        </w:rPr>
        <w:t xml:space="preserve"> follows:</w:t>
      </w:r>
    </w:p>
    <w:p w:rsidRPr="00C10F5D" w:rsidR="00F45983" w:rsidP="00F45983" w:rsidRDefault="00F45983" w14:paraId="05A3ADA8" w14:textId="5A5FFCB7">
      <w:pPr>
        <w:spacing w:after="0" w:line="276"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Regional Reliability Standard PRC-006-SERC-</w:t>
      </w:r>
      <w:r w:rsidRPr="00C10F5D" w:rsidR="00962AEE">
        <w:rPr>
          <w:rFonts w:ascii="Times New Roman" w:hAnsi="Times New Roman" w:eastAsia="Calibri" w:cs="Times New Roman"/>
          <w:sz w:val="26"/>
          <w:szCs w:val="26"/>
        </w:rPr>
        <w:t>0</w:t>
      </w:r>
      <w:r w:rsidRPr="00C10F5D" w:rsidR="00216221">
        <w:rPr>
          <w:rFonts w:ascii="Times New Roman" w:hAnsi="Times New Roman" w:eastAsia="Calibri" w:cs="Times New Roman"/>
          <w:sz w:val="26"/>
          <w:szCs w:val="26"/>
        </w:rPr>
        <w:t>3</w:t>
      </w:r>
      <w:r w:rsidRPr="00C10F5D">
        <w:rPr>
          <w:rFonts w:ascii="Times New Roman" w:hAnsi="Times New Roman" w:eastAsia="Calibri" w:cs="Times New Roman"/>
          <w:sz w:val="26"/>
          <w:szCs w:val="26"/>
        </w:rPr>
        <w:t xml:space="preserve"> requires evidence retention</w:t>
      </w:r>
      <w:r w:rsidRPr="00C10F5D" w:rsidR="00610ED7">
        <w:rPr>
          <w:rFonts w:ascii="Times New Roman" w:hAnsi="Times New Roman" w:eastAsia="Calibri" w:cs="Times New Roman"/>
          <w:sz w:val="26"/>
          <w:szCs w:val="26"/>
        </w:rPr>
        <w:t xml:space="preserve"> for requirements 2-8 set </w:t>
      </w:r>
      <w:r w:rsidRPr="00C10F5D" w:rsidR="00650020">
        <w:rPr>
          <w:rFonts w:ascii="Times New Roman" w:hAnsi="Times New Roman" w:eastAsia="Calibri" w:cs="Times New Roman"/>
          <w:sz w:val="26"/>
          <w:szCs w:val="26"/>
        </w:rPr>
        <w:t>forth</w:t>
      </w:r>
      <w:r w:rsidRPr="00C10F5D" w:rsidR="00610ED7">
        <w:rPr>
          <w:rFonts w:ascii="Times New Roman" w:hAnsi="Times New Roman" w:eastAsia="Calibri" w:cs="Times New Roman"/>
          <w:sz w:val="26"/>
          <w:szCs w:val="26"/>
        </w:rPr>
        <w:t xml:space="preserve"> in the PRC-006-SERC-03: </w:t>
      </w:r>
    </w:p>
    <w:p w:rsidRPr="00C10F5D" w:rsidR="00610ED7" w:rsidP="00F45983" w:rsidRDefault="00610ED7" w14:paraId="335507FF" w14:textId="77777777">
      <w:pPr>
        <w:spacing w:after="0" w:line="276" w:lineRule="auto"/>
        <w:rPr>
          <w:rFonts w:ascii="Times New Roman" w:hAnsi="Times New Roman" w:eastAsia="Calibri" w:cs="Times New Roman"/>
          <w:sz w:val="26"/>
          <w:szCs w:val="26"/>
        </w:rPr>
      </w:pPr>
    </w:p>
    <w:p w:rsidRPr="00C10F5D" w:rsidR="00F45983" w:rsidP="00F45983" w:rsidRDefault="00F45983" w14:paraId="7349B2D6" w14:textId="77777777">
      <w:pPr>
        <w:spacing w:after="0" w:line="276" w:lineRule="auto"/>
        <w:ind w:left="720" w:right="2160"/>
        <w:jc w:val="both"/>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“Each Planning Coordinator, UFLS Entity and Generator Owner shall keep data or evidence to show compliance as identified below unless directed by SERC to retain specific evidence for a longer </w:t>
      </w:r>
      <w:proofErr w:type="gramStart"/>
      <w:r w:rsidRPr="00C10F5D">
        <w:rPr>
          <w:rFonts w:ascii="Times New Roman" w:hAnsi="Times New Roman" w:eastAsia="Calibri" w:cs="Times New Roman"/>
          <w:sz w:val="26"/>
          <w:szCs w:val="26"/>
        </w:rPr>
        <w:t>period of time</w:t>
      </w:r>
      <w:proofErr w:type="gramEnd"/>
      <w:r w:rsidRPr="00C10F5D">
        <w:rPr>
          <w:rFonts w:ascii="Times New Roman" w:hAnsi="Times New Roman" w:eastAsia="Calibri" w:cs="Times New Roman"/>
          <w:sz w:val="26"/>
          <w:szCs w:val="26"/>
        </w:rPr>
        <w:t xml:space="preserve"> as part of an investigation. </w:t>
      </w:r>
    </w:p>
    <w:p w:rsidRPr="00C10F5D" w:rsidR="00F45983" w:rsidP="00F45983" w:rsidRDefault="00F45983" w14:paraId="6D5EAD68" w14:textId="77777777">
      <w:pPr>
        <w:spacing w:after="0" w:line="276" w:lineRule="auto"/>
        <w:ind w:left="720" w:right="2160"/>
        <w:jc w:val="both"/>
        <w:rPr>
          <w:rFonts w:ascii="Times New Roman" w:hAnsi="Times New Roman" w:eastAsia="Calibri" w:cs="Times New Roman"/>
          <w:sz w:val="26"/>
          <w:szCs w:val="26"/>
        </w:rPr>
      </w:pPr>
    </w:p>
    <w:p w:rsidRPr="00C10F5D" w:rsidR="00F45983" w:rsidP="00F45983" w:rsidRDefault="00F45983" w14:paraId="642F5DC0" w14:textId="77777777">
      <w:pPr>
        <w:spacing w:after="0" w:line="276" w:lineRule="auto"/>
        <w:ind w:left="720" w:right="2160"/>
        <w:jc w:val="both"/>
        <w:rPr>
          <w:rFonts w:ascii="Times New Roman" w:hAnsi="Times New Roman" w:eastAsia="Calibri" w:cs="Times New Roman"/>
          <w:sz w:val="26"/>
          <w:szCs w:val="26"/>
        </w:rPr>
      </w:pPr>
      <w:r w:rsidRPr="00C10F5D">
        <w:rPr>
          <w:rFonts w:ascii="Times New Roman" w:hAnsi="Times New Roman" w:eastAsia="Calibri" w:cs="Times New Roman"/>
          <w:sz w:val="26"/>
          <w:szCs w:val="26"/>
        </w:rPr>
        <w:t>Each Planning Coordinator, UFLS Entity and Generator Owner shall retain the current evidence of each Requirement and Measure as well as any evidence necessary to show compliance since the last compliance audit.</w:t>
      </w:r>
    </w:p>
    <w:p w:rsidRPr="00C10F5D" w:rsidR="00F45983" w:rsidP="00F45983" w:rsidRDefault="00F45983" w14:paraId="082C690B" w14:textId="77777777">
      <w:pPr>
        <w:spacing w:after="0" w:line="276" w:lineRule="auto"/>
        <w:ind w:left="720" w:right="2160"/>
        <w:jc w:val="both"/>
        <w:rPr>
          <w:rFonts w:ascii="Times New Roman" w:hAnsi="Times New Roman" w:eastAsia="Calibri" w:cs="Times New Roman"/>
          <w:sz w:val="26"/>
          <w:szCs w:val="26"/>
        </w:rPr>
      </w:pPr>
    </w:p>
    <w:p w:rsidRPr="00C10F5D" w:rsidR="00F45983" w:rsidP="00F45983" w:rsidRDefault="00F45983" w14:paraId="2AC679C1" w14:textId="77777777">
      <w:pPr>
        <w:spacing w:after="0" w:line="276" w:lineRule="auto"/>
        <w:ind w:left="720" w:right="2160"/>
        <w:jc w:val="both"/>
        <w:rPr>
          <w:rFonts w:ascii="Times New Roman" w:hAnsi="Times New Roman" w:eastAsia="Calibri" w:cs="Times New Roman"/>
          <w:sz w:val="26"/>
          <w:szCs w:val="26"/>
        </w:rPr>
      </w:pPr>
      <w:r w:rsidRPr="00C10F5D">
        <w:rPr>
          <w:rFonts w:ascii="Times New Roman" w:hAnsi="Times New Roman" w:eastAsia="Calibri" w:cs="Times New Roman"/>
          <w:sz w:val="26"/>
          <w:szCs w:val="26"/>
        </w:rPr>
        <w:t>If a Planning Coordinator, UFLS Entity or Generator Owner is found noncompliant, it shall keep information related to the non-compliance until found compliant or for the retention period specified above, whichever is longer.</w:t>
      </w:r>
    </w:p>
    <w:p w:rsidRPr="00C10F5D" w:rsidR="00F45983" w:rsidP="00F45983" w:rsidRDefault="00F45983" w14:paraId="1B39A1C7" w14:textId="77777777">
      <w:pPr>
        <w:spacing w:after="0" w:line="276" w:lineRule="auto"/>
        <w:ind w:left="720" w:right="2160"/>
        <w:jc w:val="both"/>
        <w:rPr>
          <w:rFonts w:ascii="Times New Roman" w:hAnsi="Times New Roman" w:eastAsia="Calibri" w:cs="Times New Roman"/>
          <w:sz w:val="26"/>
          <w:szCs w:val="26"/>
        </w:rPr>
      </w:pPr>
    </w:p>
    <w:p w:rsidRPr="00C10F5D" w:rsidR="00F45983" w:rsidP="00F45983" w:rsidRDefault="00F45983" w14:paraId="0D001FC5" w14:textId="2F6ED265">
      <w:pPr>
        <w:spacing w:after="0" w:line="276" w:lineRule="auto"/>
        <w:ind w:left="720" w:right="2160"/>
        <w:jc w:val="both"/>
        <w:rPr>
          <w:rFonts w:ascii="Times New Roman" w:hAnsi="Times New Roman" w:eastAsia="Calibri" w:cs="Times New Roman"/>
          <w:sz w:val="26"/>
          <w:szCs w:val="26"/>
        </w:rPr>
      </w:pPr>
      <w:r w:rsidRPr="00C10F5D">
        <w:rPr>
          <w:rFonts w:ascii="Times New Roman" w:hAnsi="Times New Roman" w:eastAsia="Calibri" w:cs="Times New Roman"/>
          <w:sz w:val="26"/>
          <w:szCs w:val="26"/>
        </w:rPr>
        <w:lastRenderedPageBreak/>
        <w:t xml:space="preserve">The compliance enforcement authority shall keep the last audit </w:t>
      </w:r>
      <w:r w:rsidRPr="00C10F5D" w:rsidR="00650020">
        <w:rPr>
          <w:rFonts w:ascii="Times New Roman" w:hAnsi="Times New Roman" w:eastAsia="Calibri" w:cs="Times New Roman"/>
          <w:sz w:val="26"/>
          <w:szCs w:val="26"/>
        </w:rPr>
        <w:t>records,</w:t>
      </w:r>
      <w:r w:rsidRPr="00C10F5D">
        <w:rPr>
          <w:rFonts w:ascii="Times New Roman" w:hAnsi="Times New Roman" w:eastAsia="Calibri" w:cs="Times New Roman"/>
          <w:sz w:val="26"/>
          <w:szCs w:val="26"/>
        </w:rPr>
        <w:t xml:space="preserve"> and all requested and submitted subsequent audit records.”</w:t>
      </w:r>
      <w:r w:rsidRPr="00C10F5D">
        <w:rPr>
          <w:rFonts w:ascii="Times New Roman" w:hAnsi="Times New Roman" w:eastAsia="Calibri" w:cs="Times New Roman"/>
          <w:sz w:val="26"/>
          <w:szCs w:val="26"/>
          <w:vertAlign w:val="superscript"/>
        </w:rPr>
        <w:footnoteReference w:id="8"/>
      </w:r>
    </w:p>
    <w:p w:rsidRPr="00C10F5D" w:rsidR="00EE07DD" w:rsidP="005E5E49" w:rsidRDefault="00EE07DD" w14:paraId="356293DF" w14:textId="77777777">
      <w:pPr>
        <w:spacing w:after="0" w:line="276" w:lineRule="auto"/>
        <w:rPr>
          <w:rFonts w:ascii="Times New Roman" w:hAnsi="Times New Roman" w:cs="Times New Roman"/>
          <w:sz w:val="26"/>
          <w:szCs w:val="26"/>
        </w:rPr>
      </w:pPr>
    </w:p>
    <w:p w:rsidRPr="00C10F5D" w:rsidR="00EE07DD" w:rsidP="005E5E49" w:rsidRDefault="00EE07DD" w14:paraId="21CF9A9F"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DESCRIBE EFFORTS TO CONSULT OUTSIDE THE AGENCY: SUMMARIZE PUBLIC COMMENTS AND THE AGENCY’S RESPONSE</w:t>
      </w:r>
      <w:r w:rsidRPr="00C10F5D" w:rsidR="003009CB">
        <w:rPr>
          <w:rFonts w:ascii="Times New Roman" w:hAnsi="Times New Roman" w:cs="Times New Roman"/>
          <w:b/>
          <w:sz w:val="26"/>
          <w:szCs w:val="26"/>
        </w:rPr>
        <w:t xml:space="preserve"> TO THESE COMMENTS</w:t>
      </w:r>
    </w:p>
    <w:p w:rsidRPr="00C10F5D" w:rsidR="00EE07DD" w:rsidP="005E5E49" w:rsidRDefault="00EE07DD" w14:paraId="346B799D" w14:textId="77777777">
      <w:pPr>
        <w:spacing w:after="0" w:line="276" w:lineRule="auto"/>
        <w:rPr>
          <w:rFonts w:ascii="Times New Roman" w:hAnsi="Times New Roman" w:cs="Times New Roman"/>
          <w:sz w:val="26"/>
          <w:szCs w:val="26"/>
        </w:rPr>
      </w:pPr>
    </w:p>
    <w:p w:rsidRPr="00C10F5D" w:rsidR="008633A0" w:rsidP="005E5E49" w:rsidRDefault="00F46F6D" w14:paraId="1A254A30" w14:textId="0875879C">
      <w:pPr>
        <w:spacing w:after="0" w:line="276" w:lineRule="auto"/>
        <w:rPr>
          <w:rFonts w:ascii="Times New Roman" w:hAnsi="Times New Roman" w:cs="Times New Roman"/>
          <w:bCs/>
          <w:sz w:val="26"/>
          <w:szCs w:val="26"/>
        </w:rPr>
      </w:pPr>
      <w:r w:rsidRPr="00C10F5D">
        <w:rPr>
          <w:rFonts w:ascii="Times New Roman" w:hAnsi="Times New Roman" w:cs="Times New Roman"/>
          <w:bCs/>
          <w:sz w:val="26"/>
          <w:szCs w:val="26"/>
        </w:rPr>
        <w:t xml:space="preserve">The ERO process to develop Reliability Standards is a collaborative process involving the ERO, Regional Entities and other stakeholders developing and reviewing drafts, and providing comments, </w:t>
      </w:r>
      <w:r w:rsidRPr="00C10F5D" w:rsidR="00AE5690">
        <w:rPr>
          <w:rFonts w:ascii="Times New Roman" w:hAnsi="Times New Roman" w:cs="Times New Roman"/>
          <w:bCs/>
          <w:sz w:val="26"/>
          <w:szCs w:val="26"/>
        </w:rPr>
        <w:t>vetting,</w:t>
      </w:r>
      <w:r w:rsidRPr="00C10F5D">
        <w:rPr>
          <w:rFonts w:ascii="Times New Roman" w:hAnsi="Times New Roman" w:cs="Times New Roman"/>
          <w:bCs/>
          <w:sz w:val="26"/>
          <w:szCs w:val="26"/>
        </w:rPr>
        <w:t xml:space="preserve"> and voting (possibly multiple rounds) on the standards, with the final proposed standard submitted to the FERC for review and approval.</w:t>
      </w:r>
      <w:r w:rsidRPr="00C10F5D">
        <w:rPr>
          <w:rFonts w:ascii="Times New Roman" w:hAnsi="Times New Roman" w:cs="Times New Roman"/>
          <w:b/>
          <w:bCs/>
          <w:sz w:val="26"/>
          <w:szCs w:val="26"/>
          <w:vertAlign w:val="superscript"/>
        </w:rPr>
        <w:footnoteReference w:id="9"/>
      </w:r>
    </w:p>
    <w:p w:rsidRPr="00C10F5D" w:rsidR="00F45983" w:rsidP="005E5E49" w:rsidRDefault="00F45983" w14:paraId="499557BD" w14:textId="77777777">
      <w:pPr>
        <w:spacing w:after="0" w:line="276" w:lineRule="auto"/>
        <w:rPr>
          <w:rFonts w:ascii="Times New Roman" w:hAnsi="Times New Roman" w:cs="Times New Roman"/>
          <w:bCs/>
          <w:sz w:val="26"/>
          <w:szCs w:val="26"/>
        </w:rPr>
      </w:pPr>
    </w:p>
    <w:p w:rsidRPr="00C10F5D" w:rsidR="00F45983" w:rsidP="005E5E49" w:rsidRDefault="00F45983" w14:paraId="0153B8E4" w14:textId="0717F524">
      <w:pPr>
        <w:spacing w:after="0" w:line="276" w:lineRule="auto"/>
        <w:rPr>
          <w:rFonts w:ascii="Times New Roman" w:hAnsi="Times New Roman" w:cs="Times New Roman"/>
          <w:bCs/>
          <w:sz w:val="26"/>
          <w:szCs w:val="26"/>
        </w:rPr>
      </w:pPr>
      <w:r w:rsidRPr="00C10F5D">
        <w:rPr>
          <w:rFonts w:ascii="Times New Roman" w:hAnsi="Times New Roman" w:cs="Times New Roman"/>
          <w:bCs/>
          <w:sz w:val="26"/>
          <w:szCs w:val="26"/>
        </w:rPr>
        <w:t>In accordance with OMB requirements</w:t>
      </w:r>
      <w:r w:rsidRPr="00C10F5D" w:rsidR="00AE5690">
        <w:rPr>
          <w:rFonts w:ascii="Times New Roman" w:hAnsi="Times New Roman" w:cs="Times New Roman"/>
          <w:bCs/>
          <w:sz w:val="26"/>
          <w:szCs w:val="26"/>
        </w:rPr>
        <w:t>,</w:t>
      </w:r>
      <w:r w:rsidRPr="00C10F5D">
        <w:rPr>
          <w:rFonts w:ascii="Times New Roman" w:hAnsi="Times New Roman" w:cs="Times New Roman"/>
          <w:b/>
          <w:bCs/>
          <w:sz w:val="26"/>
          <w:szCs w:val="26"/>
          <w:vertAlign w:val="superscript"/>
        </w:rPr>
        <w:footnoteReference w:id="10"/>
      </w:r>
      <w:r w:rsidRPr="00C10F5D">
        <w:rPr>
          <w:rFonts w:ascii="Times New Roman" w:hAnsi="Times New Roman" w:cs="Times New Roman"/>
          <w:bCs/>
          <w:sz w:val="26"/>
          <w:szCs w:val="26"/>
        </w:rPr>
        <w:t xml:space="preserve"> the Commission published a 60-day notice</w:t>
      </w:r>
      <w:r w:rsidRPr="00C10F5D">
        <w:rPr>
          <w:rFonts w:ascii="Times New Roman" w:hAnsi="Times New Roman" w:cs="Times New Roman"/>
          <w:bCs/>
          <w:sz w:val="26"/>
          <w:szCs w:val="26"/>
          <w:vertAlign w:val="superscript"/>
        </w:rPr>
        <w:footnoteReference w:id="11"/>
      </w:r>
      <w:r w:rsidRPr="00C10F5D">
        <w:rPr>
          <w:rFonts w:ascii="Times New Roman" w:hAnsi="Times New Roman" w:cs="Times New Roman"/>
          <w:bCs/>
          <w:sz w:val="26"/>
          <w:szCs w:val="26"/>
        </w:rPr>
        <w:t xml:space="preserve"> and a 30-day notice</w:t>
      </w:r>
      <w:r w:rsidRPr="00C10F5D">
        <w:rPr>
          <w:rFonts w:ascii="Times New Roman" w:hAnsi="Times New Roman" w:cs="Times New Roman"/>
          <w:b/>
          <w:bCs/>
          <w:sz w:val="26"/>
          <w:szCs w:val="26"/>
          <w:vertAlign w:val="superscript"/>
        </w:rPr>
        <w:footnoteReference w:id="12"/>
      </w:r>
      <w:r w:rsidRPr="00C10F5D">
        <w:rPr>
          <w:rFonts w:ascii="Times New Roman" w:hAnsi="Times New Roman" w:cs="Times New Roman"/>
          <w:bCs/>
          <w:sz w:val="26"/>
          <w:szCs w:val="26"/>
        </w:rPr>
        <w:t xml:space="preserve"> to the public regarding this information </w:t>
      </w:r>
      <w:r w:rsidRPr="00C10F5D" w:rsidR="00041CA6">
        <w:rPr>
          <w:rFonts w:ascii="Times New Roman" w:hAnsi="Times New Roman" w:cs="Times New Roman"/>
          <w:bCs/>
          <w:sz w:val="26"/>
          <w:szCs w:val="26"/>
        </w:rPr>
        <w:t xml:space="preserve">collection on </w:t>
      </w:r>
      <w:r w:rsidRPr="00C10F5D" w:rsidR="00AE5690">
        <w:rPr>
          <w:rFonts w:ascii="Times New Roman" w:hAnsi="Times New Roman" w:cs="Times New Roman"/>
          <w:bCs/>
          <w:sz w:val="26"/>
          <w:szCs w:val="26"/>
        </w:rPr>
        <w:t>2</w:t>
      </w:r>
      <w:r w:rsidRPr="00C10F5D" w:rsidR="00041CA6">
        <w:rPr>
          <w:rFonts w:ascii="Times New Roman" w:hAnsi="Times New Roman" w:cs="Times New Roman"/>
          <w:bCs/>
          <w:sz w:val="26"/>
          <w:szCs w:val="26"/>
        </w:rPr>
        <w:t>/</w:t>
      </w:r>
      <w:r w:rsidRPr="00C10F5D" w:rsidR="00AE5690">
        <w:rPr>
          <w:rFonts w:ascii="Times New Roman" w:hAnsi="Times New Roman" w:cs="Times New Roman"/>
          <w:bCs/>
          <w:sz w:val="26"/>
          <w:szCs w:val="26"/>
        </w:rPr>
        <w:t>24</w:t>
      </w:r>
      <w:r w:rsidRPr="00C10F5D" w:rsidR="00945E1B">
        <w:rPr>
          <w:rFonts w:ascii="Times New Roman" w:hAnsi="Times New Roman" w:cs="Times New Roman"/>
          <w:bCs/>
          <w:sz w:val="26"/>
          <w:szCs w:val="26"/>
        </w:rPr>
        <w:t>/20</w:t>
      </w:r>
      <w:r w:rsidRPr="00C10F5D" w:rsidR="00AE5690">
        <w:rPr>
          <w:rFonts w:ascii="Times New Roman" w:hAnsi="Times New Roman" w:cs="Times New Roman"/>
          <w:bCs/>
          <w:sz w:val="26"/>
          <w:szCs w:val="26"/>
        </w:rPr>
        <w:t>22</w:t>
      </w:r>
      <w:r w:rsidRPr="00C10F5D">
        <w:rPr>
          <w:rFonts w:ascii="Times New Roman" w:hAnsi="Times New Roman" w:cs="Times New Roman"/>
          <w:bCs/>
          <w:sz w:val="26"/>
          <w:szCs w:val="26"/>
        </w:rPr>
        <w:t xml:space="preserve"> and </w:t>
      </w:r>
      <w:r w:rsidRPr="00D7116E" w:rsidR="00855BA6">
        <w:rPr>
          <w:rFonts w:ascii="Times New Roman" w:hAnsi="Times New Roman" w:cs="Times New Roman"/>
          <w:bCs/>
          <w:sz w:val="26"/>
          <w:szCs w:val="26"/>
        </w:rPr>
        <w:t>5</w:t>
      </w:r>
      <w:r w:rsidRPr="00D7116E" w:rsidR="00041CA6">
        <w:rPr>
          <w:rFonts w:ascii="Times New Roman" w:hAnsi="Times New Roman" w:cs="Times New Roman"/>
          <w:bCs/>
          <w:sz w:val="26"/>
          <w:szCs w:val="26"/>
        </w:rPr>
        <w:t>/</w:t>
      </w:r>
      <w:r w:rsidRPr="00D7116E" w:rsidR="009C1B1F">
        <w:rPr>
          <w:rFonts w:ascii="Times New Roman" w:hAnsi="Times New Roman" w:cs="Times New Roman"/>
          <w:bCs/>
          <w:sz w:val="26"/>
          <w:szCs w:val="26"/>
        </w:rPr>
        <w:t>10</w:t>
      </w:r>
      <w:r w:rsidRPr="00D7116E" w:rsidR="00945E1B">
        <w:rPr>
          <w:rFonts w:ascii="Times New Roman" w:hAnsi="Times New Roman" w:cs="Times New Roman"/>
          <w:bCs/>
          <w:sz w:val="26"/>
          <w:szCs w:val="26"/>
        </w:rPr>
        <w:t>/20</w:t>
      </w:r>
      <w:r w:rsidRPr="00D7116E" w:rsidR="00855BA6">
        <w:rPr>
          <w:rFonts w:ascii="Times New Roman" w:hAnsi="Times New Roman" w:cs="Times New Roman"/>
          <w:bCs/>
          <w:sz w:val="26"/>
          <w:szCs w:val="26"/>
        </w:rPr>
        <w:t>22</w:t>
      </w:r>
      <w:r w:rsidRPr="00C10F5D">
        <w:rPr>
          <w:rFonts w:ascii="Times New Roman" w:hAnsi="Times New Roman" w:cs="Times New Roman"/>
          <w:bCs/>
          <w:sz w:val="26"/>
          <w:szCs w:val="26"/>
        </w:rPr>
        <w:t xml:space="preserve"> respectively. </w:t>
      </w:r>
      <w:r w:rsidRPr="00C10F5D" w:rsidR="00AE5690">
        <w:rPr>
          <w:rFonts w:ascii="Times New Roman" w:hAnsi="Times New Roman" w:cs="Times New Roman"/>
          <w:bCs/>
          <w:sz w:val="26"/>
          <w:szCs w:val="26"/>
        </w:rPr>
        <w:t xml:space="preserve"> </w:t>
      </w:r>
      <w:r w:rsidRPr="00C10F5D">
        <w:rPr>
          <w:rFonts w:ascii="Times New Roman" w:hAnsi="Times New Roman" w:cs="Times New Roman"/>
          <w:bCs/>
          <w:sz w:val="26"/>
          <w:szCs w:val="26"/>
        </w:rPr>
        <w:t xml:space="preserve">In the public notices, the Commission noted that it would be requesting a three-year extension of the public reporting burden with </w:t>
      </w:r>
      <w:r w:rsidRPr="00C10F5D" w:rsidR="00DE100E">
        <w:rPr>
          <w:rFonts w:ascii="Times New Roman" w:hAnsi="Times New Roman" w:cs="Times New Roman"/>
          <w:bCs/>
          <w:sz w:val="26"/>
          <w:szCs w:val="26"/>
        </w:rPr>
        <w:t>changes reflecting the requirements in PRC-006-SERC-03 following the approval of Docket No. RD22-1-000</w:t>
      </w:r>
      <w:r w:rsidRPr="00C10F5D">
        <w:rPr>
          <w:rFonts w:ascii="Times New Roman" w:hAnsi="Times New Roman" w:cs="Times New Roman"/>
          <w:bCs/>
          <w:sz w:val="26"/>
          <w:szCs w:val="26"/>
        </w:rPr>
        <w:t>.  No comments were received</w:t>
      </w:r>
      <w:r w:rsidRPr="00C10F5D" w:rsidR="002E6E27">
        <w:rPr>
          <w:rFonts w:ascii="Times New Roman" w:hAnsi="Times New Roman" w:cs="Times New Roman"/>
          <w:bCs/>
          <w:sz w:val="26"/>
          <w:szCs w:val="26"/>
        </w:rPr>
        <w:t xml:space="preserve"> on the 60-day Notice</w:t>
      </w:r>
      <w:r w:rsidRPr="00C10F5D">
        <w:rPr>
          <w:rFonts w:ascii="Times New Roman" w:hAnsi="Times New Roman" w:cs="Times New Roman"/>
          <w:bCs/>
          <w:sz w:val="26"/>
          <w:szCs w:val="26"/>
        </w:rPr>
        <w:t>.</w:t>
      </w:r>
    </w:p>
    <w:p w:rsidRPr="00C10F5D" w:rsidR="003009CB" w:rsidP="005E5E49" w:rsidRDefault="003009CB" w14:paraId="239BD839" w14:textId="77777777">
      <w:pPr>
        <w:spacing w:after="0" w:line="276" w:lineRule="auto"/>
        <w:rPr>
          <w:rFonts w:ascii="Times New Roman" w:hAnsi="Times New Roman" w:cs="Times New Roman"/>
          <w:bCs/>
          <w:sz w:val="26"/>
          <w:szCs w:val="26"/>
        </w:rPr>
      </w:pPr>
    </w:p>
    <w:p w:rsidRPr="00C10F5D" w:rsidR="00EE07DD" w:rsidP="005E5E49" w:rsidRDefault="00EE07DD" w14:paraId="2CC2D2CF"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EXPLAIN ANY PAYMENT OR GIFTS TO RESPONDENTS</w:t>
      </w:r>
    </w:p>
    <w:p w:rsidRPr="00C10F5D" w:rsidR="00EE07DD" w:rsidP="005E5E49" w:rsidRDefault="00EE07DD" w14:paraId="491E0958" w14:textId="77777777">
      <w:pPr>
        <w:spacing w:after="0" w:line="276" w:lineRule="auto"/>
        <w:rPr>
          <w:rFonts w:ascii="Times New Roman" w:hAnsi="Times New Roman" w:cs="Times New Roman"/>
          <w:sz w:val="26"/>
          <w:szCs w:val="26"/>
        </w:rPr>
      </w:pPr>
    </w:p>
    <w:p w:rsidRPr="00C10F5D" w:rsidR="00EE07DD" w:rsidP="005E5E49" w:rsidRDefault="00EE07DD" w14:paraId="20594D03" w14:textId="636FCC02">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The Commission does not make payments or provide gifts for respondents related to </w:t>
      </w:r>
      <w:r w:rsidRPr="00C10F5D" w:rsidR="003009CB">
        <w:rPr>
          <w:rFonts w:ascii="Times New Roman" w:hAnsi="Times New Roman" w:cs="Times New Roman"/>
          <w:sz w:val="26"/>
          <w:szCs w:val="26"/>
        </w:rPr>
        <w:t>th</w:t>
      </w:r>
      <w:r w:rsidRPr="00C10F5D" w:rsidR="002E6E27">
        <w:rPr>
          <w:rFonts w:ascii="Times New Roman" w:hAnsi="Times New Roman" w:cs="Times New Roman"/>
          <w:sz w:val="26"/>
          <w:szCs w:val="26"/>
        </w:rPr>
        <w:t>i</w:t>
      </w:r>
      <w:r w:rsidRPr="00C10F5D" w:rsidR="003009CB">
        <w:rPr>
          <w:rFonts w:ascii="Times New Roman" w:hAnsi="Times New Roman" w:cs="Times New Roman"/>
          <w:sz w:val="26"/>
          <w:szCs w:val="26"/>
        </w:rPr>
        <w:t xml:space="preserve">s </w:t>
      </w:r>
      <w:r w:rsidRPr="00C10F5D">
        <w:rPr>
          <w:rFonts w:ascii="Times New Roman" w:hAnsi="Times New Roman" w:cs="Times New Roman"/>
          <w:sz w:val="26"/>
          <w:szCs w:val="26"/>
        </w:rPr>
        <w:t>collection.</w:t>
      </w:r>
    </w:p>
    <w:p w:rsidRPr="00C10F5D" w:rsidR="00EE07DD" w:rsidP="005E5E49" w:rsidRDefault="00EE07DD" w14:paraId="1CEC2FFA" w14:textId="77777777">
      <w:pPr>
        <w:spacing w:after="0" w:line="276" w:lineRule="auto"/>
        <w:rPr>
          <w:rFonts w:ascii="Times New Roman" w:hAnsi="Times New Roman" w:cs="Times New Roman"/>
          <w:sz w:val="26"/>
          <w:szCs w:val="26"/>
        </w:rPr>
      </w:pPr>
    </w:p>
    <w:p w:rsidRPr="00C10F5D" w:rsidR="00EE07DD" w:rsidP="005E5E49" w:rsidRDefault="00EE07DD" w14:paraId="2BF95307"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DESCRIBE ANY ASSURANCE OF CONFIDENTIALITY PROVIDED TO RESPONDENTS</w:t>
      </w:r>
    </w:p>
    <w:p w:rsidRPr="00C10F5D" w:rsidR="009B3AA9" w:rsidP="005E5E49" w:rsidRDefault="009B3AA9" w14:paraId="16F2F8C8" w14:textId="77777777">
      <w:pPr>
        <w:spacing w:after="0" w:line="276" w:lineRule="auto"/>
        <w:rPr>
          <w:rFonts w:ascii="Times New Roman" w:hAnsi="Times New Roman" w:cs="Times New Roman"/>
          <w:sz w:val="26"/>
          <w:szCs w:val="26"/>
        </w:rPr>
      </w:pPr>
    </w:p>
    <w:p w:rsidRPr="00C10F5D" w:rsidR="003009CB" w:rsidP="005E5E49" w:rsidRDefault="003009CB" w14:paraId="023EBDD8" w14:textId="3DBC18C1">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lastRenderedPageBreak/>
        <w:t>According to the NERC Rules of Procedure,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C10F5D" w:rsidR="00F46F6D" w:rsidP="005E5E49" w:rsidRDefault="00F46F6D" w14:paraId="3C05A8E3" w14:textId="77777777">
      <w:pPr>
        <w:spacing w:after="0" w:line="276" w:lineRule="auto"/>
        <w:rPr>
          <w:rFonts w:ascii="Times New Roman" w:hAnsi="Times New Roman" w:cs="Times New Roman"/>
          <w:sz w:val="26"/>
          <w:szCs w:val="26"/>
        </w:rPr>
      </w:pPr>
    </w:p>
    <w:p w:rsidRPr="00C10F5D" w:rsidR="00EE07DD" w:rsidP="005E5E49" w:rsidRDefault="003009CB" w14:paraId="402CE6C2" w14:textId="6738B8F8">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Responding entities do not submit the information collected </w:t>
      </w:r>
      <w:r w:rsidRPr="00C10F5D" w:rsidR="00F46F6D">
        <w:rPr>
          <w:rFonts w:ascii="Times New Roman" w:hAnsi="Times New Roman" w:cs="Times New Roman"/>
          <w:sz w:val="26"/>
          <w:szCs w:val="26"/>
        </w:rPr>
        <w:t xml:space="preserve">for </w:t>
      </w:r>
      <w:r w:rsidRPr="00C10F5D">
        <w:rPr>
          <w:rFonts w:ascii="Times New Roman" w:hAnsi="Times New Roman" w:cs="Times New Roman"/>
          <w:sz w:val="26"/>
          <w:szCs w:val="26"/>
        </w:rPr>
        <w:t xml:space="preserve">Reliability Standards to FERC.  Rather, they submit the information to NERC, the regional entities, or maintain it internally.  Since there are no submissions made to FERC, FERC provides no specific provisions </w:t>
      </w:r>
      <w:r w:rsidRPr="00C10F5D" w:rsidR="005A5E5C">
        <w:rPr>
          <w:rFonts w:ascii="Times New Roman" w:hAnsi="Times New Roman" w:cs="Times New Roman"/>
          <w:sz w:val="26"/>
          <w:szCs w:val="26"/>
        </w:rPr>
        <w:t>to</w:t>
      </w:r>
      <w:r w:rsidRPr="00C10F5D">
        <w:rPr>
          <w:rFonts w:ascii="Times New Roman" w:hAnsi="Times New Roman" w:cs="Times New Roman"/>
          <w:sz w:val="26"/>
          <w:szCs w:val="26"/>
        </w:rPr>
        <w:t xml:space="preserve"> protect confidentiality.</w:t>
      </w:r>
    </w:p>
    <w:p w:rsidRPr="00C10F5D" w:rsidR="00F46F6D" w:rsidP="005E5E49" w:rsidRDefault="00F46F6D" w14:paraId="159D663D" w14:textId="77777777">
      <w:pPr>
        <w:spacing w:after="0" w:line="276" w:lineRule="auto"/>
        <w:rPr>
          <w:rFonts w:ascii="Times New Roman" w:hAnsi="Times New Roman" w:cs="Times New Roman"/>
          <w:sz w:val="26"/>
          <w:szCs w:val="26"/>
        </w:rPr>
      </w:pPr>
    </w:p>
    <w:p w:rsidRPr="00C10F5D" w:rsidR="00EE07DD" w:rsidP="005E5E49" w:rsidRDefault="00EE07DD" w14:paraId="5267E9C2" w14:textId="77777777">
      <w:pPr>
        <w:numPr>
          <w:ilvl w:val="0"/>
          <w:numId w:val="2"/>
        </w:numPr>
        <w:spacing w:after="0" w:line="276" w:lineRule="auto"/>
        <w:rPr>
          <w:rFonts w:ascii="Times New Roman" w:hAnsi="Times New Roman" w:cs="Times New Roman"/>
          <w:b/>
          <w:bCs/>
          <w:sz w:val="26"/>
          <w:szCs w:val="26"/>
        </w:rPr>
      </w:pPr>
      <w:r w:rsidRPr="00C10F5D">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Pr="00C10F5D" w:rsidR="00EE07DD" w:rsidP="005E5E49" w:rsidRDefault="00EE07DD" w14:paraId="777F88C5" w14:textId="77777777">
      <w:pPr>
        <w:spacing w:after="0" w:line="276" w:lineRule="auto"/>
        <w:rPr>
          <w:rFonts w:ascii="Times New Roman" w:hAnsi="Times New Roman" w:cs="Times New Roman"/>
          <w:b/>
          <w:bCs/>
          <w:sz w:val="26"/>
          <w:szCs w:val="26"/>
        </w:rPr>
      </w:pPr>
    </w:p>
    <w:p w:rsidRPr="00C10F5D" w:rsidR="00EE07DD" w:rsidP="005E5E49" w:rsidRDefault="002E6E27" w14:paraId="72AEF0D7" w14:textId="1CDAC53F">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This </w:t>
      </w:r>
      <w:r w:rsidRPr="00C10F5D" w:rsidR="00EE07DD">
        <w:rPr>
          <w:rFonts w:ascii="Times New Roman" w:hAnsi="Times New Roman" w:cs="Times New Roman"/>
          <w:sz w:val="26"/>
          <w:szCs w:val="26"/>
        </w:rPr>
        <w:t>collection do</w:t>
      </w:r>
      <w:r w:rsidRPr="00C10F5D">
        <w:rPr>
          <w:rFonts w:ascii="Times New Roman" w:hAnsi="Times New Roman" w:cs="Times New Roman"/>
          <w:sz w:val="26"/>
          <w:szCs w:val="26"/>
        </w:rPr>
        <w:t>es</w:t>
      </w:r>
      <w:r w:rsidRPr="00C10F5D" w:rsidR="00EE07DD">
        <w:rPr>
          <w:rFonts w:ascii="Times New Roman" w:hAnsi="Times New Roman" w:cs="Times New Roman"/>
          <w:sz w:val="26"/>
          <w:szCs w:val="26"/>
        </w:rPr>
        <w:t xml:space="preserve"> not contain any questions of a sensitive nature.  </w:t>
      </w:r>
    </w:p>
    <w:p w:rsidRPr="00C10F5D" w:rsidR="00EE07DD" w:rsidP="005E5E49" w:rsidRDefault="00EE07DD" w14:paraId="3C5A4AF0" w14:textId="77777777">
      <w:pPr>
        <w:spacing w:after="0" w:line="276" w:lineRule="auto"/>
        <w:rPr>
          <w:rFonts w:ascii="Times New Roman" w:hAnsi="Times New Roman" w:cs="Times New Roman"/>
          <w:sz w:val="26"/>
          <w:szCs w:val="26"/>
        </w:rPr>
      </w:pPr>
    </w:p>
    <w:p w:rsidRPr="00C10F5D" w:rsidR="00EE07DD" w:rsidP="005E5E49" w:rsidRDefault="00EE07DD" w14:paraId="6EF9A324"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ESTIMATED BURDEN OF COLLECTION OF INFORMATION</w:t>
      </w:r>
    </w:p>
    <w:p w:rsidRPr="00C10F5D" w:rsidR="00EE07DD" w:rsidP="005E5E49" w:rsidRDefault="00EE07DD" w14:paraId="79F480A1" w14:textId="264161C9">
      <w:pPr>
        <w:spacing w:after="0" w:line="276" w:lineRule="auto"/>
        <w:rPr>
          <w:rFonts w:ascii="Times New Roman" w:hAnsi="Times New Roman" w:cs="Times New Roman"/>
          <w:sz w:val="26"/>
          <w:szCs w:val="26"/>
        </w:rPr>
      </w:pPr>
    </w:p>
    <w:p w:rsidRPr="00C10F5D" w:rsidR="005324E1" w:rsidP="005324E1" w:rsidRDefault="005324E1" w14:paraId="2E5F2837" w14:textId="7C4776A5">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Our estimate below regarding the number of respondents is based on the NERC compliance registry as of January 7, 2022.  According to the NERC compliance registry, there are 28 planning coordinators (PC) and 175 generator owners (GO) within the SERC Region.  The individual burden estimates are based on the time needed for planning coordinators and generator operators to meet the requirements of both the regional SERC requirement and the national reliability requirements.  The estimates include the costs to document and store data, run studies, assess UFLS design, and analyze results from design, development, and updating of the UFLS programs to be compliant with the SERC and NERC standards.  Additionally, generator owners must provide a detailed set of data and documentation to SERC within 30 days of a request to facilitate post event analysis of frequency disturbances.  These burden estimates are consistent with estimates for similar tasks in other Commission-approved Reliability Standards.</w:t>
      </w:r>
    </w:p>
    <w:p w:rsidRPr="00C10F5D" w:rsidR="005324E1" w:rsidP="005324E1" w:rsidRDefault="005324E1" w14:paraId="6FBC8AB5" w14:textId="77777777">
      <w:pPr>
        <w:spacing w:after="0" w:line="276" w:lineRule="auto"/>
        <w:rPr>
          <w:rFonts w:ascii="Times New Roman" w:hAnsi="Times New Roman" w:cs="Times New Roman"/>
          <w:sz w:val="26"/>
          <w:szCs w:val="26"/>
        </w:rPr>
      </w:pPr>
    </w:p>
    <w:p w:rsidRPr="00C10F5D" w:rsidR="005324E1" w:rsidP="005324E1" w:rsidRDefault="005324E1" w14:paraId="1396A3A5" w14:textId="5C9F8BA1">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There are two burden tables below, the first showing the reduction in burden following RD22-1-000, and the second showing the estimated burden of the collection.  The Commission estimates the annual reporting burden and cost for the Reliability Standard PRC-006-SERC-3 as:</w:t>
      </w:r>
    </w:p>
    <w:p w:rsidRPr="00C10F5D" w:rsidR="00945E1B" w:rsidP="00945E1B" w:rsidRDefault="00945E1B" w14:paraId="6A85A255" w14:textId="68902725">
      <w:pPr>
        <w:spacing w:after="0" w:line="276" w:lineRule="auto"/>
        <w:rPr>
          <w:rFonts w:ascii="Times New Roman" w:hAnsi="Times New Roman" w:cs="Times New Roman"/>
          <w:sz w:val="26"/>
          <w:szCs w:val="26"/>
        </w:rPr>
      </w:pPr>
    </w:p>
    <w:tbl>
      <w:tblPr>
        <w:tblW w:w="5342"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
        <w:gridCol w:w="1506"/>
        <w:gridCol w:w="1439"/>
        <w:gridCol w:w="92"/>
        <w:gridCol w:w="1532"/>
        <w:gridCol w:w="88"/>
        <w:gridCol w:w="1351"/>
        <w:gridCol w:w="90"/>
        <w:gridCol w:w="1173"/>
        <w:gridCol w:w="1439"/>
        <w:gridCol w:w="32"/>
        <w:gridCol w:w="1225"/>
      </w:tblGrid>
      <w:tr w:rsidRPr="00C10F5D" w:rsidR="005324E1" w:rsidTr="005324E1" w14:paraId="046FA1F3" w14:textId="77777777">
        <w:trPr>
          <w:gridBefore w:val="1"/>
          <w:wBefore w:w="12" w:type="pct"/>
          <w:cantSplit/>
        </w:trPr>
        <w:tc>
          <w:tcPr>
            <w:tcW w:w="4988" w:type="pct"/>
            <w:gridSpan w:val="11"/>
            <w:tcBorders>
              <w:top w:val="single" w:color="auto" w:sz="4" w:space="0"/>
              <w:left w:val="single" w:color="auto" w:sz="4" w:space="0"/>
              <w:bottom w:val="single" w:color="auto" w:sz="4" w:space="0"/>
              <w:right w:val="single" w:color="auto" w:sz="4" w:space="0"/>
            </w:tcBorders>
            <w:shd w:val="clear" w:color="auto" w:fill="D9D9D9"/>
            <w:hideMark/>
          </w:tcPr>
          <w:p w:rsidRPr="00C10F5D" w:rsidR="005324E1" w:rsidP="00892B3C" w:rsidRDefault="005324E1" w14:paraId="3D80775B"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FERC-725K, modifications due to DLO in Docket No. RD22-1 (reduction in burden)</w:t>
            </w:r>
          </w:p>
        </w:tc>
      </w:tr>
      <w:tr w:rsidRPr="00C10F5D" w:rsidR="005324E1" w:rsidTr="005324E1" w14:paraId="0C882FBC" w14:textId="77777777">
        <w:trPr>
          <w:gridBefore w:val="1"/>
          <w:wBefore w:w="12" w:type="pct"/>
          <w:cantSplit/>
        </w:trPr>
        <w:tc>
          <w:tcPr>
            <w:tcW w:w="754" w:type="pct"/>
            <w:tcBorders>
              <w:top w:val="single" w:color="auto" w:sz="4" w:space="0"/>
              <w:left w:val="single" w:color="auto" w:sz="4" w:space="0"/>
              <w:bottom w:val="single" w:color="auto" w:sz="4" w:space="0"/>
              <w:right w:val="single" w:color="auto" w:sz="4" w:space="0"/>
            </w:tcBorders>
            <w:shd w:val="clear" w:color="auto" w:fill="D9D9D9"/>
            <w:hideMark/>
          </w:tcPr>
          <w:p w:rsidRPr="00C10F5D" w:rsidR="005324E1" w:rsidP="00892B3C" w:rsidRDefault="005324E1" w14:paraId="49A48A1E"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br/>
            </w:r>
            <w:r w:rsidRPr="00C10F5D">
              <w:rPr>
                <w:rFonts w:ascii="Times New Roman" w:hAnsi="Times New Roman" w:eastAsia="Calibri" w:cs="Times New Roman"/>
                <w:b/>
                <w:sz w:val="26"/>
                <w:szCs w:val="26"/>
              </w:rPr>
              <w:br/>
              <w:t>Reliability Standard and Associated Requirement</w:t>
            </w:r>
          </w:p>
        </w:tc>
        <w:tc>
          <w:tcPr>
            <w:tcW w:w="72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5324E1" w:rsidP="00892B3C" w:rsidRDefault="005324E1" w14:paraId="48538C7F"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Number of Respondents</w:t>
            </w:r>
            <w:r w:rsidRPr="00C10F5D">
              <w:rPr>
                <w:rFonts w:ascii="Times New Roman" w:hAnsi="Times New Roman" w:eastAsia="Calibri" w:cs="Times New Roman"/>
                <w:b/>
                <w:sz w:val="26"/>
                <w:szCs w:val="26"/>
              </w:rPr>
              <w:br/>
              <w:t>(1)</w:t>
            </w:r>
          </w:p>
        </w:tc>
        <w:tc>
          <w:tcPr>
            <w:tcW w:w="811"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5324E1" w:rsidP="00892B3C" w:rsidRDefault="005324E1" w14:paraId="4841B7AE"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Annual Number of Responses per Respondent</w:t>
            </w:r>
          </w:p>
          <w:p w:rsidRPr="00C10F5D" w:rsidR="005324E1" w:rsidP="00892B3C" w:rsidRDefault="005324E1" w14:paraId="1C307C5C"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(2)</w:t>
            </w:r>
          </w:p>
        </w:tc>
        <w:tc>
          <w:tcPr>
            <w:tcW w:w="765" w:type="pct"/>
            <w:gridSpan w:val="3"/>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5324E1" w:rsidP="00892B3C" w:rsidRDefault="005324E1" w14:paraId="0B1F895A" w14:textId="1A4DD904">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Total Number of Responses (</w:t>
            </w:r>
            <w:r w:rsidRPr="00C10F5D" w:rsidR="00650020">
              <w:rPr>
                <w:rFonts w:ascii="Times New Roman" w:hAnsi="Times New Roman" w:eastAsia="Calibri" w:cs="Times New Roman"/>
                <w:b/>
                <w:sz w:val="26"/>
                <w:szCs w:val="26"/>
              </w:rPr>
              <w:t>1) *</w:t>
            </w:r>
            <w:r w:rsidRPr="00C10F5D">
              <w:rPr>
                <w:rFonts w:ascii="Times New Roman" w:hAnsi="Times New Roman" w:eastAsia="Calibri" w:cs="Times New Roman"/>
                <w:b/>
                <w:sz w:val="26"/>
                <w:szCs w:val="26"/>
              </w:rPr>
              <w:t>(</w:t>
            </w:r>
            <w:r w:rsidRPr="00C10F5D" w:rsidR="00650020">
              <w:rPr>
                <w:rFonts w:ascii="Times New Roman" w:hAnsi="Times New Roman" w:eastAsia="Calibri" w:cs="Times New Roman"/>
                <w:b/>
                <w:sz w:val="26"/>
                <w:szCs w:val="26"/>
              </w:rPr>
              <w:t>2) = (</w:t>
            </w:r>
            <w:r w:rsidRPr="00C10F5D">
              <w:rPr>
                <w:rFonts w:ascii="Times New Roman" w:hAnsi="Times New Roman" w:eastAsia="Calibri" w:cs="Times New Roman"/>
                <w:b/>
                <w:sz w:val="26"/>
                <w:szCs w:val="26"/>
              </w:rPr>
              <w:t>3)</w:t>
            </w:r>
          </w:p>
        </w:tc>
        <w:tc>
          <w:tcPr>
            <w:tcW w:w="587"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5324E1" w:rsidP="00892B3C" w:rsidRDefault="005324E1" w14:paraId="53E4F073"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Average Burden &amp; Cost Per Response</w:t>
            </w:r>
          </w:p>
          <w:p w:rsidRPr="00C10F5D" w:rsidR="005324E1" w:rsidP="00892B3C" w:rsidRDefault="005324E1" w14:paraId="10E952CF"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(4)</w:t>
            </w:r>
          </w:p>
        </w:tc>
        <w:tc>
          <w:tcPr>
            <w:tcW w:w="72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5324E1" w:rsidP="00892B3C" w:rsidRDefault="005324E1" w14:paraId="621A794F"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Total Annual Burden &amp; Total Annual Cost</w:t>
            </w:r>
          </w:p>
          <w:p w:rsidRPr="00C10F5D" w:rsidR="005324E1" w:rsidP="00892B3C" w:rsidRDefault="005324E1" w14:paraId="2CACA8B0" w14:textId="06FE690F">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w:t>
            </w:r>
            <w:r w:rsidRPr="00C10F5D" w:rsidR="00650020">
              <w:rPr>
                <w:rFonts w:ascii="Times New Roman" w:hAnsi="Times New Roman" w:eastAsia="Calibri" w:cs="Times New Roman"/>
                <w:b/>
                <w:sz w:val="26"/>
                <w:szCs w:val="26"/>
              </w:rPr>
              <w:t>3) *</w:t>
            </w:r>
            <w:r w:rsidRPr="00C10F5D">
              <w:rPr>
                <w:rFonts w:ascii="Times New Roman" w:hAnsi="Times New Roman" w:eastAsia="Calibri" w:cs="Times New Roman"/>
                <w:b/>
                <w:sz w:val="26"/>
                <w:szCs w:val="26"/>
              </w:rPr>
              <w:t>(</w:t>
            </w:r>
            <w:r w:rsidRPr="00C10F5D" w:rsidR="00650020">
              <w:rPr>
                <w:rFonts w:ascii="Times New Roman" w:hAnsi="Times New Roman" w:eastAsia="Calibri" w:cs="Times New Roman"/>
                <w:b/>
                <w:sz w:val="26"/>
                <w:szCs w:val="26"/>
              </w:rPr>
              <w:t>4) = (</w:t>
            </w:r>
            <w:r w:rsidRPr="00C10F5D">
              <w:rPr>
                <w:rFonts w:ascii="Times New Roman" w:hAnsi="Times New Roman" w:eastAsia="Calibri" w:cs="Times New Roman"/>
                <w:b/>
                <w:sz w:val="26"/>
                <w:szCs w:val="26"/>
              </w:rPr>
              <w:t>5)</w:t>
            </w:r>
          </w:p>
        </w:tc>
        <w:tc>
          <w:tcPr>
            <w:tcW w:w="631"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5324E1" w:rsidP="00892B3C" w:rsidRDefault="005324E1" w14:paraId="76D02B5F"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Cost per Respondent</w:t>
            </w:r>
          </w:p>
          <w:p w:rsidRPr="00C10F5D" w:rsidR="005324E1" w:rsidP="00892B3C" w:rsidRDefault="005324E1" w14:paraId="2B1CC7A3" w14:textId="77777777">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w:t>
            </w:r>
          </w:p>
          <w:p w:rsidRPr="00C10F5D" w:rsidR="005324E1" w:rsidP="00892B3C" w:rsidRDefault="005324E1" w14:paraId="0A236FE4" w14:textId="5100630F">
            <w:pPr>
              <w:widowControl w:val="0"/>
              <w:autoSpaceDE w:val="0"/>
              <w:autoSpaceDN w:val="0"/>
              <w:adjustRightInd w:val="0"/>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w:t>
            </w:r>
            <w:r w:rsidRPr="00C10F5D" w:rsidR="00650020">
              <w:rPr>
                <w:rFonts w:ascii="Times New Roman" w:hAnsi="Times New Roman" w:eastAsia="Calibri" w:cs="Times New Roman"/>
                <w:b/>
                <w:sz w:val="26"/>
                <w:szCs w:val="26"/>
              </w:rPr>
              <w:t>5) ÷ (</w:t>
            </w:r>
            <w:r w:rsidRPr="00C10F5D">
              <w:rPr>
                <w:rFonts w:ascii="Times New Roman" w:hAnsi="Times New Roman" w:eastAsia="Calibri" w:cs="Times New Roman"/>
                <w:b/>
                <w:sz w:val="26"/>
                <w:szCs w:val="26"/>
              </w:rPr>
              <w:t>1)</w:t>
            </w:r>
          </w:p>
        </w:tc>
      </w:tr>
      <w:tr w:rsidRPr="00C10F5D" w:rsidR="005324E1" w:rsidTr="005324E1" w14:paraId="7C952969" w14:textId="77777777">
        <w:trPr>
          <w:gridBefore w:val="1"/>
          <w:wBefore w:w="12" w:type="pct"/>
          <w:cantSplit/>
        </w:trPr>
        <w:tc>
          <w:tcPr>
            <w:tcW w:w="4988" w:type="pct"/>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C10F5D" w:rsidR="005324E1" w:rsidP="00892B3C" w:rsidRDefault="005324E1" w14:paraId="5F9BF1B9" w14:textId="77777777">
            <w:pPr>
              <w:widowControl w:val="0"/>
              <w:autoSpaceDE w:val="0"/>
              <w:autoSpaceDN w:val="0"/>
              <w:adjustRightInd w:val="0"/>
              <w:jc w:val="center"/>
              <w:rPr>
                <w:rFonts w:ascii="Times New Roman" w:hAnsi="Times New Roman" w:eastAsia="Calibri" w:cs="Times New Roman"/>
                <w:sz w:val="26"/>
                <w:szCs w:val="26"/>
              </w:rPr>
            </w:pPr>
            <w:r w:rsidRPr="00C10F5D">
              <w:rPr>
                <w:rFonts w:ascii="Times New Roman" w:hAnsi="Times New Roman" w:eastAsia="Calibri" w:cs="Times New Roman"/>
                <w:b/>
                <w:sz w:val="26"/>
                <w:szCs w:val="26"/>
              </w:rPr>
              <w:t>PRC-006-SERC-3</w:t>
            </w:r>
          </w:p>
        </w:tc>
      </w:tr>
      <w:tr w:rsidRPr="00C10F5D" w:rsidR="005324E1" w:rsidTr="005324E1" w14:paraId="6CCBEA34" w14:textId="77777777">
        <w:trPr>
          <w:gridBefore w:val="1"/>
          <w:wBefore w:w="12" w:type="pct"/>
          <w:cantSplit/>
        </w:trPr>
        <w:tc>
          <w:tcPr>
            <w:tcW w:w="754" w:type="pct"/>
            <w:tcBorders>
              <w:top w:val="single" w:color="auto" w:sz="4" w:space="0"/>
              <w:left w:val="single" w:color="auto" w:sz="4" w:space="0"/>
              <w:bottom w:val="single" w:color="auto" w:sz="4" w:space="0"/>
              <w:right w:val="single" w:color="auto" w:sz="4" w:space="0"/>
            </w:tcBorders>
            <w:hideMark/>
          </w:tcPr>
          <w:p w:rsidRPr="00C10F5D" w:rsidR="005324E1" w:rsidP="00892B3C" w:rsidRDefault="005324E1" w14:paraId="01628DDF" w14:textId="77777777">
            <w:pPr>
              <w:widowControl w:val="0"/>
              <w:autoSpaceDE w:val="0"/>
              <w:autoSpaceDN w:val="0"/>
              <w:adjustRightInd w:val="0"/>
              <w:rPr>
                <w:rFonts w:ascii="Times New Roman" w:hAnsi="Times New Roman" w:eastAsia="Calibri" w:cs="Times New Roman"/>
                <w:sz w:val="26"/>
                <w:szCs w:val="26"/>
              </w:rPr>
            </w:pPr>
            <w:r w:rsidRPr="00C10F5D">
              <w:rPr>
                <w:rFonts w:ascii="Times New Roman" w:hAnsi="Times New Roman" w:eastAsia="Calibri" w:cs="Times New Roman"/>
                <w:sz w:val="26"/>
                <w:szCs w:val="26"/>
              </w:rPr>
              <w:t>PCs: Provide Documentation and Data to SERC</w:t>
            </w:r>
          </w:p>
        </w:tc>
        <w:tc>
          <w:tcPr>
            <w:tcW w:w="720" w:type="pct"/>
            <w:tcBorders>
              <w:top w:val="single" w:color="auto" w:sz="4" w:space="0"/>
              <w:left w:val="single" w:color="auto" w:sz="4" w:space="0"/>
              <w:bottom w:val="single" w:color="auto" w:sz="4" w:space="0"/>
              <w:right w:val="single" w:color="auto" w:sz="4" w:space="0"/>
            </w:tcBorders>
          </w:tcPr>
          <w:p w:rsidRPr="00C10F5D" w:rsidR="005324E1" w:rsidP="00892B3C" w:rsidRDefault="005324E1" w14:paraId="3CE946B4" w14:textId="77777777">
            <w:pPr>
              <w:widowControl w:val="0"/>
              <w:autoSpaceDE w:val="0"/>
              <w:autoSpaceDN w:val="0"/>
              <w:adjustRightInd w:val="0"/>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28</w:t>
            </w:r>
          </w:p>
        </w:tc>
        <w:tc>
          <w:tcPr>
            <w:tcW w:w="857" w:type="pct"/>
            <w:gridSpan w:val="3"/>
            <w:tcBorders>
              <w:top w:val="single" w:color="auto" w:sz="4" w:space="0"/>
              <w:left w:val="single" w:color="auto" w:sz="4" w:space="0"/>
              <w:bottom w:val="single" w:color="auto" w:sz="4" w:space="0"/>
              <w:right w:val="single" w:color="auto" w:sz="4" w:space="0"/>
            </w:tcBorders>
            <w:hideMark/>
          </w:tcPr>
          <w:p w:rsidRPr="00C10F5D" w:rsidR="005324E1" w:rsidP="00892B3C" w:rsidRDefault="005324E1" w14:paraId="5C4A450D" w14:textId="77777777">
            <w:pPr>
              <w:widowControl w:val="0"/>
              <w:autoSpaceDE w:val="0"/>
              <w:autoSpaceDN w:val="0"/>
              <w:adjustRightInd w:val="0"/>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w:t>
            </w:r>
          </w:p>
        </w:tc>
        <w:tc>
          <w:tcPr>
            <w:tcW w:w="719" w:type="pct"/>
            <w:gridSpan w:val="2"/>
            <w:tcBorders>
              <w:top w:val="single" w:color="auto" w:sz="4" w:space="0"/>
              <w:left w:val="single" w:color="auto" w:sz="4" w:space="0"/>
              <w:bottom w:val="single" w:color="auto" w:sz="4" w:space="0"/>
              <w:right w:val="single" w:color="auto" w:sz="4" w:space="0"/>
            </w:tcBorders>
          </w:tcPr>
          <w:p w:rsidRPr="00C10F5D" w:rsidR="005324E1" w:rsidP="00892B3C" w:rsidRDefault="00D55989" w14:paraId="2847EAFA" w14:textId="39E9DF39">
            <w:pPr>
              <w:widowControl w:val="0"/>
              <w:autoSpaceDE w:val="0"/>
              <w:autoSpaceDN w:val="0"/>
              <w:adjustRightInd w:val="0"/>
              <w:jc w:val="right"/>
              <w:rPr>
                <w:rFonts w:ascii="Times New Roman" w:hAnsi="Times New Roman" w:eastAsia="Calibri" w:cs="Times New Roman"/>
                <w:sz w:val="26"/>
                <w:szCs w:val="26"/>
              </w:rPr>
            </w:pPr>
            <w:r>
              <w:rPr>
                <w:rFonts w:ascii="Times New Roman" w:hAnsi="Times New Roman" w:eastAsia="Calibri" w:cs="Times New Roman"/>
                <w:sz w:val="26"/>
                <w:szCs w:val="26"/>
              </w:rPr>
              <w:t>28</w:t>
            </w:r>
          </w:p>
        </w:tc>
        <w:tc>
          <w:tcPr>
            <w:tcW w:w="587" w:type="pct"/>
            <w:tcBorders>
              <w:top w:val="single" w:color="auto" w:sz="4" w:space="0"/>
              <w:left w:val="single" w:color="auto" w:sz="4" w:space="0"/>
              <w:bottom w:val="single" w:color="auto" w:sz="4" w:space="0"/>
              <w:right w:val="single" w:color="auto" w:sz="4" w:space="0"/>
            </w:tcBorders>
            <w:hideMark/>
          </w:tcPr>
          <w:p w:rsidRPr="00C10F5D" w:rsidR="005324E1" w:rsidP="00892B3C" w:rsidRDefault="005324E1" w14:paraId="6A0E37D5" w14:textId="77777777">
            <w:pPr>
              <w:widowControl w:val="0"/>
              <w:autoSpaceDE w:val="0"/>
              <w:autoSpaceDN w:val="0"/>
              <w:adjustRightInd w:val="0"/>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16 </w:t>
            </w:r>
            <w:proofErr w:type="gramStart"/>
            <w:r w:rsidRPr="00C10F5D">
              <w:rPr>
                <w:rFonts w:ascii="Times New Roman" w:hAnsi="Times New Roman" w:eastAsia="Calibri" w:cs="Times New Roman"/>
                <w:sz w:val="26"/>
                <w:szCs w:val="26"/>
              </w:rPr>
              <w:t>hrs.;</w:t>
            </w:r>
            <w:proofErr w:type="gramEnd"/>
          </w:p>
          <w:p w:rsidRPr="00C10F5D" w:rsidR="005324E1" w:rsidP="00892B3C" w:rsidRDefault="005324E1" w14:paraId="3E80DD5E" w14:textId="77777777">
            <w:pPr>
              <w:widowControl w:val="0"/>
              <w:autoSpaceDE w:val="0"/>
              <w:autoSpaceDN w:val="0"/>
              <w:adjustRightInd w:val="0"/>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$1,392</w:t>
            </w:r>
          </w:p>
          <w:p w:rsidRPr="00C10F5D" w:rsidR="005324E1" w:rsidP="00892B3C" w:rsidRDefault="005324E1" w14:paraId="70B923B5" w14:textId="77777777">
            <w:pPr>
              <w:widowControl w:val="0"/>
              <w:autoSpaceDE w:val="0"/>
              <w:autoSpaceDN w:val="0"/>
              <w:adjustRightInd w:val="0"/>
              <w:jc w:val="right"/>
              <w:rPr>
                <w:rFonts w:ascii="Times New Roman" w:hAnsi="Times New Roman" w:eastAsia="Calibri" w:cs="Times New Roman"/>
                <w:sz w:val="26"/>
                <w:szCs w:val="26"/>
              </w:rPr>
            </w:pPr>
          </w:p>
        </w:tc>
        <w:tc>
          <w:tcPr>
            <w:tcW w:w="720" w:type="pct"/>
            <w:tcBorders>
              <w:top w:val="single" w:color="auto" w:sz="4" w:space="0"/>
              <w:left w:val="single" w:color="auto" w:sz="4" w:space="0"/>
              <w:bottom w:val="single" w:color="auto" w:sz="4" w:space="0"/>
              <w:right w:val="single" w:color="auto" w:sz="4" w:space="0"/>
            </w:tcBorders>
            <w:hideMark/>
          </w:tcPr>
          <w:p w:rsidRPr="00C10F5D" w:rsidR="005324E1" w:rsidP="00892B3C" w:rsidRDefault="005324E1" w14:paraId="099BB850" w14:textId="77777777">
            <w:pPr>
              <w:widowControl w:val="0"/>
              <w:autoSpaceDE w:val="0"/>
              <w:autoSpaceDN w:val="0"/>
              <w:adjustRightInd w:val="0"/>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448 </w:t>
            </w:r>
            <w:proofErr w:type="gramStart"/>
            <w:r w:rsidRPr="00C10F5D">
              <w:rPr>
                <w:rFonts w:ascii="Times New Roman" w:hAnsi="Times New Roman" w:eastAsia="Calibri" w:cs="Times New Roman"/>
                <w:sz w:val="26"/>
                <w:szCs w:val="26"/>
              </w:rPr>
              <w:t>hrs.;</w:t>
            </w:r>
            <w:proofErr w:type="gramEnd"/>
            <w:r w:rsidRPr="00C10F5D">
              <w:rPr>
                <w:rFonts w:ascii="Times New Roman" w:hAnsi="Times New Roman" w:eastAsia="Calibri" w:cs="Times New Roman"/>
                <w:sz w:val="26"/>
                <w:szCs w:val="26"/>
              </w:rPr>
              <w:t xml:space="preserve"> </w:t>
            </w:r>
          </w:p>
          <w:p w:rsidRPr="00C10F5D" w:rsidR="005324E1" w:rsidP="00892B3C" w:rsidRDefault="005324E1" w14:paraId="35FA9BB9" w14:textId="77777777">
            <w:pPr>
              <w:widowControl w:val="0"/>
              <w:autoSpaceDE w:val="0"/>
              <w:autoSpaceDN w:val="0"/>
              <w:adjustRightInd w:val="0"/>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$38,976 </w:t>
            </w:r>
          </w:p>
          <w:p w:rsidRPr="00C10F5D" w:rsidR="005324E1" w:rsidP="00892B3C" w:rsidRDefault="005324E1" w14:paraId="6A34C6B2" w14:textId="77777777">
            <w:pPr>
              <w:widowControl w:val="0"/>
              <w:autoSpaceDE w:val="0"/>
              <w:autoSpaceDN w:val="0"/>
              <w:adjustRightInd w:val="0"/>
              <w:jc w:val="right"/>
              <w:rPr>
                <w:rFonts w:ascii="Times New Roman" w:hAnsi="Times New Roman" w:eastAsia="Calibri" w:cs="Times New Roman"/>
                <w:sz w:val="26"/>
                <w:szCs w:val="26"/>
              </w:rPr>
            </w:pPr>
          </w:p>
        </w:tc>
        <w:tc>
          <w:tcPr>
            <w:tcW w:w="631" w:type="pct"/>
            <w:gridSpan w:val="2"/>
            <w:tcBorders>
              <w:top w:val="single" w:color="auto" w:sz="4" w:space="0"/>
              <w:left w:val="single" w:color="auto" w:sz="4" w:space="0"/>
              <w:bottom w:val="single" w:color="auto" w:sz="4" w:space="0"/>
              <w:right w:val="single" w:color="auto" w:sz="4" w:space="0"/>
            </w:tcBorders>
          </w:tcPr>
          <w:p w:rsidRPr="00C10F5D" w:rsidR="005324E1" w:rsidP="00892B3C" w:rsidRDefault="005324E1" w14:paraId="05B7873D" w14:textId="77777777">
            <w:pPr>
              <w:widowControl w:val="0"/>
              <w:autoSpaceDE w:val="0"/>
              <w:autoSpaceDN w:val="0"/>
              <w:adjustRightInd w:val="0"/>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$1,392</w:t>
            </w:r>
          </w:p>
        </w:tc>
      </w:tr>
      <w:tr w:rsidRPr="00C10F5D" w:rsidR="005324E1" w:rsidTr="005324E1" w14:paraId="593246DA" w14:textId="77777777">
        <w:trPr>
          <w:gridBefore w:val="1"/>
          <w:wBefore w:w="12" w:type="pct"/>
          <w:cantSplit/>
        </w:trPr>
        <w:tc>
          <w:tcPr>
            <w:tcW w:w="754" w:type="pct"/>
            <w:tcBorders>
              <w:top w:val="single" w:color="auto" w:sz="4" w:space="0"/>
              <w:left w:val="single" w:color="auto" w:sz="4" w:space="0"/>
              <w:bottom w:val="single" w:color="auto" w:sz="4" w:space="0"/>
              <w:right w:val="single" w:color="auto" w:sz="4" w:space="0"/>
            </w:tcBorders>
            <w:hideMark/>
          </w:tcPr>
          <w:p w:rsidRPr="00C10F5D" w:rsidR="005324E1" w:rsidP="00892B3C" w:rsidRDefault="005324E1" w14:paraId="65E4ABD3" w14:textId="77777777">
            <w:pPr>
              <w:widowControl w:val="0"/>
              <w:autoSpaceDE w:val="0"/>
              <w:autoSpaceDN w:val="0"/>
              <w:adjustRightInd w:val="0"/>
              <w:rPr>
                <w:rFonts w:ascii="Times New Roman" w:hAnsi="Times New Roman" w:eastAsia="Calibri" w:cs="Times New Roman"/>
                <w:b/>
                <w:sz w:val="26"/>
                <w:szCs w:val="26"/>
              </w:rPr>
            </w:pPr>
            <w:r w:rsidRPr="00C10F5D">
              <w:rPr>
                <w:rFonts w:ascii="Times New Roman" w:hAnsi="Times New Roman" w:eastAsia="Calibri" w:cs="Times New Roman"/>
                <w:b/>
                <w:sz w:val="26"/>
                <w:szCs w:val="26"/>
              </w:rPr>
              <w:t>Total Reduction due to RD22-1</w:t>
            </w:r>
          </w:p>
        </w:tc>
        <w:tc>
          <w:tcPr>
            <w:tcW w:w="2883" w:type="pct"/>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10F5D" w:rsidR="005324E1" w:rsidP="00892B3C" w:rsidRDefault="005324E1" w14:paraId="10A09CE4" w14:textId="77777777">
            <w:pPr>
              <w:widowControl w:val="0"/>
              <w:autoSpaceDE w:val="0"/>
              <w:autoSpaceDN w:val="0"/>
              <w:adjustRightInd w:val="0"/>
              <w:jc w:val="right"/>
              <w:rPr>
                <w:rFonts w:ascii="Times New Roman" w:hAnsi="Times New Roman" w:eastAsia="Calibri" w:cs="Times New Roman"/>
                <w:b/>
                <w:bCs/>
                <w:sz w:val="26"/>
                <w:szCs w:val="26"/>
              </w:rPr>
            </w:pPr>
          </w:p>
          <w:p w:rsidRPr="00C10F5D" w:rsidR="005324E1" w:rsidP="00892B3C" w:rsidRDefault="005324E1" w14:paraId="7CAF8521" w14:textId="77777777">
            <w:pPr>
              <w:widowControl w:val="0"/>
              <w:autoSpaceDE w:val="0"/>
              <w:autoSpaceDN w:val="0"/>
              <w:adjustRightInd w:val="0"/>
              <w:jc w:val="right"/>
              <w:rPr>
                <w:rFonts w:ascii="Times New Roman" w:hAnsi="Times New Roman" w:eastAsia="Calibri" w:cs="Times New Roman"/>
                <w:b/>
                <w:bCs/>
                <w:sz w:val="26"/>
                <w:szCs w:val="26"/>
              </w:rPr>
            </w:pPr>
          </w:p>
          <w:p w:rsidRPr="00C10F5D" w:rsidR="005324E1" w:rsidP="00892B3C" w:rsidRDefault="005324E1" w14:paraId="74934CEE" w14:textId="77777777">
            <w:pPr>
              <w:widowControl w:val="0"/>
              <w:autoSpaceDE w:val="0"/>
              <w:autoSpaceDN w:val="0"/>
              <w:adjustRightInd w:val="0"/>
              <w:jc w:val="right"/>
              <w:rPr>
                <w:rFonts w:ascii="Times New Roman" w:hAnsi="Times New Roman" w:eastAsia="Calibri" w:cs="Times New Roman"/>
                <w:b/>
                <w:bCs/>
                <w:sz w:val="26"/>
                <w:szCs w:val="26"/>
              </w:rPr>
            </w:pPr>
          </w:p>
        </w:tc>
        <w:tc>
          <w:tcPr>
            <w:tcW w:w="720" w:type="pct"/>
            <w:tcBorders>
              <w:top w:val="single" w:color="auto" w:sz="4" w:space="0"/>
              <w:left w:val="single" w:color="auto" w:sz="4" w:space="0"/>
              <w:bottom w:val="single" w:color="auto" w:sz="4" w:space="0"/>
              <w:right w:val="single" w:color="auto" w:sz="4" w:space="0"/>
            </w:tcBorders>
            <w:shd w:val="clear" w:color="auto" w:fill="FFFFFF" w:themeFill="background1"/>
          </w:tcPr>
          <w:p w:rsidRPr="00C10F5D" w:rsidR="005324E1" w:rsidP="00892B3C" w:rsidRDefault="005324E1" w14:paraId="51FB2FBC" w14:textId="77777777">
            <w:pPr>
              <w:widowControl w:val="0"/>
              <w:autoSpaceDE w:val="0"/>
              <w:autoSpaceDN w:val="0"/>
              <w:adjustRightInd w:val="0"/>
              <w:jc w:val="right"/>
              <w:rPr>
                <w:rFonts w:ascii="Times New Roman" w:hAnsi="Times New Roman" w:eastAsia="Calibri" w:cs="Times New Roman"/>
                <w:b/>
                <w:bCs/>
                <w:sz w:val="26"/>
                <w:szCs w:val="26"/>
              </w:rPr>
            </w:pPr>
          </w:p>
          <w:p w:rsidRPr="00C10F5D" w:rsidR="005324E1" w:rsidP="00892B3C" w:rsidRDefault="005324E1" w14:paraId="2C632114" w14:textId="77777777">
            <w:pPr>
              <w:widowControl w:val="0"/>
              <w:autoSpaceDE w:val="0"/>
              <w:autoSpaceDN w:val="0"/>
              <w:adjustRightInd w:val="0"/>
              <w:jc w:val="right"/>
              <w:rPr>
                <w:rFonts w:ascii="Times New Roman" w:hAnsi="Times New Roman" w:eastAsia="Calibri" w:cs="Times New Roman"/>
                <w:b/>
                <w:bCs/>
                <w:sz w:val="26"/>
                <w:szCs w:val="26"/>
              </w:rPr>
            </w:pPr>
            <w:r w:rsidRPr="00C10F5D">
              <w:rPr>
                <w:rFonts w:ascii="Times New Roman" w:hAnsi="Times New Roman" w:eastAsia="Calibri" w:cs="Times New Roman"/>
                <w:b/>
                <w:bCs/>
                <w:sz w:val="26"/>
                <w:szCs w:val="26"/>
              </w:rPr>
              <w:t xml:space="preserve">     448 </w:t>
            </w:r>
            <w:proofErr w:type="gramStart"/>
            <w:r w:rsidRPr="00C10F5D">
              <w:rPr>
                <w:rFonts w:ascii="Times New Roman" w:hAnsi="Times New Roman" w:eastAsia="Calibri" w:cs="Times New Roman"/>
                <w:b/>
                <w:bCs/>
                <w:sz w:val="26"/>
                <w:szCs w:val="26"/>
              </w:rPr>
              <w:t>hrs.;</w:t>
            </w:r>
            <w:proofErr w:type="gramEnd"/>
          </w:p>
          <w:p w:rsidRPr="00C10F5D" w:rsidR="005324E1" w:rsidP="00892B3C" w:rsidRDefault="005324E1" w14:paraId="71F8D7AD" w14:textId="77777777">
            <w:pPr>
              <w:widowControl w:val="0"/>
              <w:autoSpaceDE w:val="0"/>
              <w:autoSpaceDN w:val="0"/>
              <w:adjustRightInd w:val="0"/>
              <w:jc w:val="right"/>
              <w:rPr>
                <w:rFonts w:ascii="Times New Roman" w:hAnsi="Times New Roman" w:eastAsia="Calibri" w:cs="Times New Roman"/>
                <w:b/>
                <w:bCs/>
                <w:sz w:val="26"/>
                <w:szCs w:val="26"/>
              </w:rPr>
            </w:pPr>
            <w:r w:rsidRPr="00C10F5D">
              <w:rPr>
                <w:rFonts w:ascii="Times New Roman" w:hAnsi="Times New Roman" w:eastAsia="Calibri" w:cs="Times New Roman"/>
                <w:b/>
                <w:bCs/>
                <w:sz w:val="26"/>
                <w:szCs w:val="26"/>
              </w:rPr>
              <w:t>$38,976</w:t>
            </w:r>
          </w:p>
        </w:tc>
        <w:tc>
          <w:tcPr>
            <w:tcW w:w="631" w:type="pct"/>
            <w:gridSpan w:val="2"/>
            <w:shd w:val="clear" w:color="auto" w:fill="FFFFFF" w:themeFill="background1"/>
          </w:tcPr>
          <w:p w:rsidRPr="00C10F5D" w:rsidR="005324E1" w:rsidP="00892B3C" w:rsidRDefault="005324E1" w14:paraId="7276F8C3" w14:textId="77777777">
            <w:pPr>
              <w:widowControl w:val="0"/>
              <w:autoSpaceDE w:val="0"/>
              <w:autoSpaceDN w:val="0"/>
              <w:adjustRightInd w:val="0"/>
              <w:jc w:val="right"/>
              <w:rPr>
                <w:rFonts w:ascii="Times New Roman" w:hAnsi="Times New Roman" w:eastAsia="Calibri" w:cs="Times New Roman"/>
                <w:sz w:val="26"/>
                <w:szCs w:val="26"/>
              </w:rPr>
            </w:pPr>
          </w:p>
        </w:tc>
      </w:tr>
      <w:tr w:rsidRPr="00C10F5D" w:rsidR="005324E1" w:rsidTr="005324E1" w14:paraId="2EF36931" w14:textId="77777777">
        <w:trPr>
          <w:cantSplit/>
        </w:trPr>
        <w:tc>
          <w:tcPr>
            <w:tcW w:w="5000" w:type="pct"/>
            <w:gridSpan w:val="12"/>
            <w:tcBorders>
              <w:top w:val="single" w:color="auto" w:sz="4" w:space="0"/>
              <w:left w:val="single" w:color="auto" w:sz="4" w:space="0"/>
              <w:bottom w:val="single" w:color="auto" w:sz="4" w:space="0"/>
              <w:right w:val="single" w:color="auto" w:sz="4" w:space="0"/>
            </w:tcBorders>
            <w:shd w:val="clear" w:color="auto" w:fill="D9D9D9"/>
            <w:hideMark/>
          </w:tcPr>
          <w:p w:rsidRPr="00C10F5D" w:rsidR="005324E1" w:rsidP="005324E1" w:rsidRDefault="005324E1" w14:paraId="1779991B" w14:textId="77777777">
            <w:pPr>
              <w:spacing w:after="0" w:line="48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FERC-725K: Mandatory Reliability Standard for the SERC Region (renewal)</w:t>
            </w:r>
          </w:p>
        </w:tc>
      </w:tr>
      <w:tr w:rsidRPr="00C10F5D" w:rsidR="005324E1" w:rsidTr="005324E1" w14:paraId="1D8BD595" w14:textId="77777777">
        <w:trPr>
          <w:cantSplit/>
        </w:trPr>
        <w:tc>
          <w:tcPr>
            <w:tcW w:w="765" w:type="pct"/>
            <w:gridSpan w:val="2"/>
            <w:shd w:val="clear" w:color="auto" w:fill="D9D9D9"/>
          </w:tcPr>
          <w:p w:rsidRPr="00C10F5D" w:rsidR="005324E1" w:rsidP="005324E1" w:rsidRDefault="005324E1" w14:paraId="4B17421C" w14:textId="77777777">
            <w:pPr>
              <w:spacing w:after="0" w:line="240" w:lineRule="auto"/>
              <w:jc w:val="center"/>
              <w:rPr>
                <w:rFonts w:ascii="Times New Roman" w:hAnsi="Times New Roman" w:eastAsia="Calibri" w:cs="Times New Roman"/>
                <w:b/>
                <w:sz w:val="26"/>
                <w:szCs w:val="26"/>
              </w:rPr>
            </w:pPr>
          </w:p>
        </w:tc>
        <w:tc>
          <w:tcPr>
            <w:tcW w:w="766" w:type="pct"/>
            <w:gridSpan w:val="2"/>
            <w:shd w:val="clear" w:color="auto" w:fill="D9D9D9"/>
            <w:vAlign w:val="bottom"/>
          </w:tcPr>
          <w:p w:rsidRPr="00C10F5D" w:rsidR="005324E1" w:rsidP="005324E1" w:rsidRDefault="005324E1" w14:paraId="565006AF" w14:textId="7777777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Number of Respondents</w:t>
            </w:r>
            <w:r w:rsidRPr="00C10F5D">
              <w:rPr>
                <w:rFonts w:ascii="Times New Roman" w:hAnsi="Times New Roman" w:eastAsia="Calibri" w:cs="Times New Roman"/>
                <w:sz w:val="26"/>
                <w:szCs w:val="26"/>
                <w:vertAlign w:val="superscript"/>
              </w:rPr>
              <w:footnoteReference w:id="13"/>
            </w:r>
            <w:r w:rsidRPr="00C10F5D">
              <w:rPr>
                <w:rFonts w:ascii="Times New Roman" w:hAnsi="Times New Roman" w:eastAsia="Calibri" w:cs="Times New Roman"/>
                <w:b/>
                <w:sz w:val="26"/>
                <w:szCs w:val="26"/>
              </w:rPr>
              <w:br/>
              <w:t>(1)</w:t>
            </w:r>
          </w:p>
        </w:tc>
        <w:tc>
          <w:tcPr>
            <w:tcW w:w="767" w:type="pct"/>
            <w:shd w:val="clear" w:color="auto" w:fill="D9D9D9"/>
            <w:vAlign w:val="bottom"/>
          </w:tcPr>
          <w:p w:rsidRPr="00C10F5D" w:rsidR="005324E1" w:rsidP="005324E1" w:rsidRDefault="005324E1" w14:paraId="571D5199" w14:textId="7777777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Annual Number of Responses per Respondent</w:t>
            </w:r>
          </w:p>
          <w:p w:rsidRPr="00C10F5D" w:rsidR="005324E1" w:rsidP="005324E1" w:rsidRDefault="005324E1" w14:paraId="1AD0353F" w14:textId="7777777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(2)</w:t>
            </w:r>
          </w:p>
        </w:tc>
        <w:tc>
          <w:tcPr>
            <w:tcW w:w="720" w:type="pct"/>
            <w:gridSpan w:val="2"/>
            <w:shd w:val="clear" w:color="auto" w:fill="D9D9D9"/>
            <w:vAlign w:val="bottom"/>
          </w:tcPr>
          <w:p w:rsidRPr="00C10F5D" w:rsidR="005324E1" w:rsidP="005324E1" w:rsidRDefault="005324E1" w14:paraId="4097837C" w14:textId="32A25F4D">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Total Number of Responses (</w:t>
            </w:r>
            <w:r w:rsidRPr="00C10F5D" w:rsidR="00650020">
              <w:rPr>
                <w:rFonts w:ascii="Times New Roman" w:hAnsi="Times New Roman" w:eastAsia="Calibri" w:cs="Times New Roman"/>
                <w:b/>
                <w:sz w:val="26"/>
                <w:szCs w:val="26"/>
              </w:rPr>
              <w:t>1) *</w:t>
            </w:r>
            <w:r w:rsidRPr="00C10F5D">
              <w:rPr>
                <w:rFonts w:ascii="Times New Roman" w:hAnsi="Times New Roman" w:eastAsia="Calibri" w:cs="Times New Roman"/>
                <w:b/>
                <w:sz w:val="26"/>
                <w:szCs w:val="26"/>
              </w:rPr>
              <w:t>(</w:t>
            </w:r>
            <w:r w:rsidRPr="00C10F5D" w:rsidR="00650020">
              <w:rPr>
                <w:rFonts w:ascii="Times New Roman" w:hAnsi="Times New Roman" w:eastAsia="Calibri" w:cs="Times New Roman"/>
                <w:b/>
                <w:sz w:val="26"/>
                <w:szCs w:val="26"/>
              </w:rPr>
              <w:t>2) = (</w:t>
            </w:r>
            <w:r w:rsidRPr="00C10F5D">
              <w:rPr>
                <w:rFonts w:ascii="Times New Roman" w:hAnsi="Times New Roman" w:eastAsia="Calibri" w:cs="Times New Roman"/>
                <w:b/>
                <w:sz w:val="26"/>
                <w:szCs w:val="26"/>
              </w:rPr>
              <w:t>3)</w:t>
            </w:r>
          </w:p>
        </w:tc>
        <w:tc>
          <w:tcPr>
            <w:tcW w:w="631" w:type="pct"/>
            <w:gridSpan w:val="2"/>
            <w:shd w:val="clear" w:color="auto" w:fill="D9D9D9"/>
            <w:vAlign w:val="bottom"/>
          </w:tcPr>
          <w:p w:rsidRPr="00C10F5D" w:rsidR="005324E1" w:rsidP="005324E1" w:rsidRDefault="005324E1" w14:paraId="0F9BFE79" w14:textId="7777777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Average Burden &amp; Cost Per Response</w:t>
            </w:r>
            <w:r w:rsidRPr="00C10F5D">
              <w:rPr>
                <w:rFonts w:ascii="Times New Roman" w:hAnsi="Times New Roman" w:eastAsia="Calibri" w:cs="Times New Roman"/>
                <w:b/>
                <w:sz w:val="26"/>
                <w:szCs w:val="26"/>
                <w:vertAlign w:val="superscript"/>
              </w:rPr>
              <w:footnoteReference w:id="14"/>
            </w:r>
          </w:p>
          <w:p w:rsidRPr="00C10F5D" w:rsidR="005324E1" w:rsidP="005324E1" w:rsidRDefault="005324E1" w14:paraId="6E7E13F0" w14:textId="7777777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(4)</w:t>
            </w:r>
          </w:p>
        </w:tc>
        <w:tc>
          <w:tcPr>
            <w:tcW w:w="736" w:type="pct"/>
            <w:gridSpan w:val="2"/>
            <w:shd w:val="clear" w:color="auto" w:fill="D9D9D9"/>
            <w:vAlign w:val="bottom"/>
          </w:tcPr>
          <w:p w:rsidRPr="00C10F5D" w:rsidR="005324E1" w:rsidP="005324E1" w:rsidRDefault="005324E1" w14:paraId="75CFCFED" w14:textId="7777777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Total Annual Burden Hours &amp; Total Annual Cost</w:t>
            </w:r>
          </w:p>
          <w:p w:rsidRPr="00C10F5D" w:rsidR="005324E1" w:rsidP="005324E1" w:rsidRDefault="005324E1" w14:paraId="4068AD1C" w14:textId="2CFD4A9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w:t>
            </w:r>
            <w:r w:rsidRPr="00C10F5D" w:rsidR="00650020">
              <w:rPr>
                <w:rFonts w:ascii="Times New Roman" w:hAnsi="Times New Roman" w:eastAsia="Calibri" w:cs="Times New Roman"/>
                <w:b/>
                <w:sz w:val="26"/>
                <w:szCs w:val="26"/>
              </w:rPr>
              <w:t>3) *</w:t>
            </w:r>
            <w:r w:rsidRPr="00C10F5D">
              <w:rPr>
                <w:rFonts w:ascii="Times New Roman" w:hAnsi="Times New Roman" w:eastAsia="Calibri" w:cs="Times New Roman"/>
                <w:b/>
                <w:sz w:val="26"/>
                <w:szCs w:val="26"/>
              </w:rPr>
              <w:t>(</w:t>
            </w:r>
            <w:r w:rsidRPr="00C10F5D" w:rsidR="00650020">
              <w:rPr>
                <w:rFonts w:ascii="Times New Roman" w:hAnsi="Times New Roman" w:eastAsia="Calibri" w:cs="Times New Roman"/>
                <w:b/>
                <w:sz w:val="26"/>
                <w:szCs w:val="26"/>
              </w:rPr>
              <w:t>4) = (</w:t>
            </w:r>
            <w:r w:rsidRPr="00C10F5D">
              <w:rPr>
                <w:rFonts w:ascii="Times New Roman" w:hAnsi="Times New Roman" w:eastAsia="Calibri" w:cs="Times New Roman"/>
                <w:b/>
                <w:sz w:val="26"/>
                <w:szCs w:val="26"/>
              </w:rPr>
              <w:t>5)</w:t>
            </w:r>
          </w:p>
        </w:tc>
        <w:tc>
          <w:tcPr>
            <w:tcW w:w="615" w:type="pct"/>
            <w:shd w:val="clear" w:color="auto" w:fill="D9D9D9"/>
            <w:vAlign w:val="bottom"/>
          </w:tcPr>
          <w:p w:rsidRPr="00C10F5D" w:rsidR="005324E1" w:rsidP="005324E1" w:rsidRDefault="005324E1" w14:paraId="0AC5E850" w14:textId="7777777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Cost per Respondent</w:t>
            </w:r>
          </w:p>
          <w:p w:rsidRPr="00C10F5D" w:rsidR="005324E1" w:rsidP="005324E1" w:rsidRDefault="005324E1" w14:paraId="656DF012" w14:textId="77777777">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 xml:space="preserve"> ($)</w:t>
            </w:r>
          </w:p>
          <w:p w:rsidRPr="00C10F5D" w:rsidR="005324E1" w:rsidP="005324E1" w:rsidRDefault="005324E1" w14:paraId="459FC66B" w14:textId="3F3E3D29">
            <w:pPr>
              <w:spacing w:after="0" w:line="240" w:lineRule="auto"/>
              <w:jc w:val="center"/>
              <w:rPr>
                <w:rFonts w:ascii="Times New Roman" w:hAnsi="Times New Roman" w:eastAsia="Calibri" w:cs="Times New Roman"/>
                <w:b/>
                <w:sz w:val="26"/>
                <w:szCs w:val="26"/>
              </w:rPr>
            </w:pPr>
            <w:r w:rsidRPr="00C10F5D">
              <w:rPr>
                <w:rFonts w:ascii="Times New Roman" w:hAnsi="Times New Roman" w:eastAsia="Calibri" w:cs="Times New Roman"/>
                <w:b/>
                <w:sz w:val="26"/>
                <w:szCs w:val="26"/>
              </w:rPr>
              <w:t>(</w:t>
            </w:r>
            <w:r w:rsidRPr="00C10F5D" w:rsidR="00650020">
              <w:rPr>
                <w:rFonts w:ascii="Times New Roman" w:hAnsi="Times New Roman" w:eastAsia="Calibri" w:cs="Times New Roman"/>
                <w:b/>
                <w:sz w:val="26"/>
                <w:szCs w:val="26"/>
              </w:rPr>
              <w:t>5) ÷ (</w:t>
            </w:r>
            <w:r w:rsidRPr="00C10F5D">
              <w:rPr>
                <w:rFonts w:ascii="Times New Roman" w:hAnsi="Times New Roman" w:eastAsia="Calibri" w:cs="Times New Roman"/>
                <w:b/>
                <w:sz w:val="26"/>
                <w:szCs w:val="26"/>
              </w:rPr>
              <w:t>1)</w:t>
            </w:r>
          </w:p>
        </w:tc>
      </w:tr>
      <w:tr w:rsidRPr="00C10F5D" w:rsidR="005324E1" w:rsidTr="005324E1" w14:paraId="79075333" w14:textId="77777777">
        <w:trPr>
          <w:cantSplit/>
        </w:trPr>
        <w:tc>
          <w:tcPr>
            <w:tcW w:w="765" w:type="pct"/>
            <w:gridSpan w:val="2"/>
          </w:tcPr>
          <w:p w:rsidRPr="00C10F5D" w:rsidR="005324E1" w:rsidP="005324E1" w:rsidRDefault="005324E1" w14:paraId="188D7F63" w14:textId="77777777">
            <w:pPr>
              <w:spacing w:after="0" w:line="240"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PCs: Design and Document Automatic UFLS Program</w:t>
            </w:r>
          </w:p>
        </w:tc>
        <w:tc>
          <w:tcPr>
            <w:tcW w:w="766" w:type="pct"/>
            <w:gridSpan w:val="2"/>
          </w:tcPr>
          <w:p w:rsidRPr="00C10F5D" w:rsidR="005324E1" w:rsidP="005324E1" w:rsidRDefault="005324E1" w14:paraId="075CACAB"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28</w:t>
            </w:r>
          </w:p>
          <w:p w:rsidRPr="00C10F5D" w:rsidR="005324E1" w:rsidP="005324E1" w:rsidRDefault="005324E1" w14:paraId="0958DC57" w14:textId="77777777">
            <w:pPr>
              <w:spacing w:after="0" w:line="240" w:lineRule="auto"/>
              <w:jc w:val="right"/>
              <w:rPr>
                <w:rFonts w:ascii="Times New Roman" w:hAnsi="Times New Roman" w:eastAsia="Calibri" w:cs="Times New Roman"/>
                <w:sz w:val="26"/>
                <w:szCs w:val="26"/>
              </w:rPr>
            </w:pPr>
          </w:p>
        </w:tc>
        <w:tc>
          <w:tcPr>
            <w:tcW w:w="767" w:type="pct"/>
          </w:tcPr>
          <w:p w:rsidRPr="00C10F5D" w:rsidR="005324E1" w:rsidP="005324E1" w:rsidRDefault="005324E1" w14:paraId="31099C45"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w:t>
            </w:r>
          </w:p>
        </w:tc>
        <w:tc>
          <w:tcPr>
            <w:tcW w:w="720" w:type="pct"/>
            <w:gridSpan w:val="2"/>
          </w:tcPr>
          <w:p w:rsidRPr="00C10F5D" w:rsidR="005324E1" w:rsidP="005324E1" w:rsidRDefault="005324E1" w14:paraId="58BCD26A"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28</w:t>
            </w:r>
          </w:p>
        </w:tc>
        <w:tc>
          <w:tcPr>
            <w:tcW w:w="631" w:type="pct"/>
            <w:gridSpan w:val="2"/>
          </w:tcPr>
          <w:p w:rsidRPr="00C10F5D" w:rsidR="005324E1" w:rsidP="005324E1" w:rsidRDefault="005324E1" w14:paraId="5EE1140F"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8 </w:t>
            </w:r>
            <w:proofErr w:type="gramStart"/>
            <w:r w:rsidRPr="00C10F5D">
              <w:rPr>
                <w:rFonts w:ascii="Times New Roman" w:hAnsi="Times New Roman" w:eastAsia="Calibri" w:cs="Times New Roman"/>
                <w:sz w:val="26"/>
                <w:szCs w:val="26"/>
              </w:rPr>
              <w:t>hrs.;</w:t>
            </w:r>
            <w:proofErr w:type="gramEnd"/>
          </w:p>
          <w:p w:rsidRPr="00C10F5D" w:rsidR="005324E1" w:rsidP="005324E1" w:rsidRDefault="005324E1" w14:paraId="7BCB5E55"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$696.00</w:t>
            </w:r>
          </w:p>
        </w:tc>
        <w:tc>
          <w:tcPr>
            <w:tcW w:w="736" w:type="pct"/>
            <w:gridSpan w:val="2"/>
          </w:tcPr>
          <w:p w:rsidRPr="00C10F5D" w:rsidR="005324E1" w:rsidP="005324E1" w:rsidRDefault="005324E1" w14:paraId="43EEEFBF"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 224 </w:t>
            </w:r>
            <w:proofErr w:type="gramStart"/>
            <w:r w:rsidRPr="00C10F5D">
              <w:rPr>
                <w:rFonts w:ascii="Times New Roman" w:hAnsi="Times New Roman" w:eastAsia="Calibri" w:cs="Times New Roman"/>
                <w:sz w:val="26"/>
                <w:szCs w:val="26"/>
              </w:rPr>
              <w:t>hrs.;</w:t>
            </w:r>
            <w:proofErr w:type="gramEnd"/>
          </w:p>
          <w:p w:rsidRPr="00C10F5D" w:rsidR="005324E1" w:rsidP="005324E1" w:rsidRDefault="005324E1" w14:paraId="40703872"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$19,488.00 </w:t>
            </w:r>
          </w:p>
        </w:tc>
        <w:tc>
          <w:tcPr>
            <w:tcW w:w="615" w:type="pct"/>
          </w:tcPr>
          <w:p w:rsidRPr="00C10F5D" w:rsidR="005324E1" w:rsidP="005324E1" w:rsidRDefault="005324E1" w14:paraId="2C3240E3"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$696.00 </w:t>
            </w:r>
          </w:p>
          <w:p w:rsidRPr="00C10F5D" w:rsidR="005324E1" w:rsidP="005324E1" w:rsidRDefault="005324E1" w14:paraId="1EF00548" w14:textId="77777777">
            <w:pPr>
              <w:spacing w:after="0" w:line="240" w:lineRule="auto"/>
              <w:jc w:val="right"/>
              <w:rPr>
                <w:rFonts w:ascii="Times New Roman" w:hAnsi="Times New Roman" w:eastAsia="Calibri" w:cs="Times New Roman"/>
                <w:sz w:val="26"/>
                <w:szCs w:val="26"/>
              </w:rPr>
            </w:pPr>
          </w:p>
        </w:tc>
      </w:tr>
      <w:tr w:rsidRPr="00C10F5D" w:rsidR="005324E1" w:rsidTr="005324E1" w14:paraId="5E124C66" w14:textId="77777777">
        <w:trPr>
          <w:cantSplit/>
          <w:trHeight w:val="800"/>
        </w:trPr>
        <w:tc>
          <w:tcPr>
            <w:tcW w:w="765" w:type="pct"/>
            <w:gridSpan w:val="2"/>
          </w:tcPr>
          <w:p w:rsidRPr="00C10F5D" w:rsidR="005324E1" w:rsidP="005324E1" w:rsidRDefault="005324E1" w14:paraId="290FC6A3" w14:textId="77777777">
            <w:pPr>
              <w:spacing w:after="0" w:line="240"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GOs: Provide Documentation and Data to SERC</w:t>
            </w:r>
          </w:p>
        </w:tc>
        <w:tc>
          <w:tcPr>
            <w:tcW w:w="766" w:type="pct"/>
            <w:gridSpan w:val="2"/>
          </w:tcPr>
          <w:p w:rsidRPr="00C10F5D" w:rsidR="005324E1" w:rsidP="005324E1" w:rsidRDefault="005324E1" w14:paraId="5D441F79"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175</w:t>
            </w:r>
          </w:p>
        </w:tc>
        <w:tc>
          <w:tcPr>
            <w:tcW w:w="767" w:type="pct"/>
          </w:tcPr>
          <w:p w:rsidRPr="00C10F5D" w:rsidR="005324E1" w:rsidP="005324E1" w:rsidRDefault="005324E1" w14:paraId="19785102"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w:t>
            </w:r>
          </w:p>
        </w:tc>
        <w:tc>
          <w:tcPr>
            <w:tcW w:w="720" w:type="pct"/>
            <w:gridSpan w:val="2"/>
          </w:tcPr>
          <w:p w:rsidRPr="00C10F5D" w:rsidR="005324E1" w:rsidP="005324E1" w:rsidRDefault="005324E1" w14:paraId="37C86A5B"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175</w:t>
            </w:r>
          </w:p>
        </w:tc>
        <w:tc>
          <w:tcPr>
            <w:tcW w:w="631" w:type="pct"/>
            <w:gridSpan w:val="2"/>
          </w:tcPr>
          <w:p w:rsidRPr="00C10F5D" w:rsidR="005324E1" w:rsidP="005324E1" w:rsidRDefault="005324E1" w14:paraId="1EA4FA7B"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16 </w:t>
            </w:r>
            <w:proofErr w:type="gramStart"/>
            <w:r w:rsidRPr="00C10F5D">
              <w:rPr>
                <w:rFonts w:ascii="Times New Roman" w:hAnsi="Times New Roman" w:eastAsia="Calibri" w:cs="Times New Roman"/>
                <w:sz w:val="26"/>
                <w:szCs w:val="26"/>
              </w:rPr>
              <w:t>hrs.;</w:t>
            </w:r>
            <w:proofErr w:type="gramEnd"/>
            <w:r w:rsidRPr="00C10F5D">
              <w:rPr>
                <w:rFonts w:ascii="Times New Roman" w:hAnsi="Times New Roman" w:eastAsia="Calibri" w:cs="Times New Roman"/>
                <w:sz w:val="26"/>
                <w:szCs w:val="26"/>
              </w:rPr>
              <w:t xml:space="preserve"> </w:t>
            </w:r>
          </w:p>
          <w:p w:rsidRPr="00C10F5D" w:rsidR="005324E1" w:rsidP="005324E1" w:rsidRDefault="005324E1" w14:paraId="3A29F6DC"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$1,392.00</w:t>
            </w:r>
          </w:p>
        </w:tc>
        <w:tc>
          <w:tcPr>
            <w:tcW w:w="736" w:type="pct"/>
            <w:gridSpan w:val="2"/>
          </w:tcPr>
          <w:p w:rsidRPr="00C10F5D" w:rsidR="005324E1" w:rsidP="005324E1" w:rsidRDefault="005324E1" w14:paraId="76F015E8"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2800 </w:t>
            </w:r>
            <w:proofErr w:type="gramStart"/>
            <w:r w:rsidRPr="00C10F5D">
              <w:rPr>
                <w:rFonts w:ascii="Times New Roman" w:hAnsi="Times New Roman" w:eastAsia="Calibri" w:cs="Times New Roman"/>
                <w:sz w:val="26"/>
                <w:szCs w:val="26"/>
              </w:rPr>
              <w:t>hrs.;</w:t>
            </w:r>
            <w:proofErr w:type="gramEnd"/>
            <w:r w:rsidRPr="00C10F5D">
              <w:rPr>
                <w:rFonts w:ascii="Times New Roman" w:hAnsi="Times New Roman" w:eastAsia="Calibri" w:cs="Times New Roman"/>
                <w:sz w:val="26"/>
                <w:szCs w:val="26"/>
              </w:rPr>
              <w:t xml:space="preserve"> </w:t>
            </w:r>
          </w:p>
          <w:p w:rsidRPr="00C10F5D" w:rsidR="005324E1" w:rsidP="005324E1" w:rsidRDefault="005324E1" w14:paraId="73856A20"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$243,600.00</w:t>
            </w:r>
          </w:p>
        </w:tc>
        <w:tc>
          <w:tcPr>
            <w:tcW w:w="615" w:type="pct"/>
          </w:tcPr>
          <w:p w:rsidRPr="00C10F5D" w:rsidR="005324E1" w:rsidP="005324E1" w:rsidRDefault="005324E1" w14:paraId="60454FC6"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$1,392.00</w:t>
            </w:r>
          </w:p>
        </w:tc>
      </w:tr>
      <w:tr w:rsidRPr="00C10F5D" w:rsidR="005324E1" w:rsidTr="005324E1" w14:paraId="39817EBE" w14:textId="77777777">
        <w:trPr>
          <w:cantSplit/>
        </w:trPr>
        <w:tc>
          <w:tcPr>
            <w:tcW w:w="765" w:type="pct"/>
            <w:gridSpan w:val="2"/>
          </w:tcPr>
          <w:p w:rsidRPr="00C10F5D" w:rsidR="005324E1" w:rsidP="005324E1" w:rsidRDefault="005324E1" w14:paraId="7F09CD5A" w14:textId="77777777">
            <w:pPr>
              <w:spacing w:after="0" w:line="240" w:lineRule="auto"/>
              <w:rPr>
                <w:rFonts w:ascii="Times New Roman" w:hAnsi="Times New Roman" w:eastAsia="Calibri" w:cs="Times New Roman"/>
                <w:sz w:val="26"/>
                <w:szCs w:val="26"/>
              </w:rPr>
            </w:pPr>
            <w:r w:rsidRPr="00C10F5D">
              <w:rPr>
                <w:rFonts w:ascii="Times New Roman" w:hAnsi="Times New Roman" w:eastAsia="Calibri" w:cs="Times New Roman"/>
                <w:sz w:val="26"/>
                <w:szCs w:val="26"/>
              </w:rPr>
              <w:t>GOs: Record Retention</w:t>
            </w:r>
          </w:p>
        </w:tc>
        <w:tc>
          <w:tcPr>
            <w:tcW w:w="766" w:type="pct"/>
            <w:gridSpan w:val="2"/>
          </w:tcPr>
          <w:p w:rsidRPr="00C10F5D" w:rsidR="005324E1" w:rsidP="005324E1" w:rsidRDefault="005324E1" w14:paraId="3617EFE7"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175</w:t>
            </w:r>
          </w:p>
        </w:tc>
        <w:tc>
          <w:tcPr>
            <w:tcW w:w="767" w:type="pct"/>
          </w:tcPr>
          <w:p w:rsidRPr="00C10F5D" w:rsidR="005324E1" w:rsidP="005324E1" w:rsidRDefault="005324E1" w14:paraId="4F5B54A6"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w:t>
            </w:r>
          </w:p>
        </w:tc>
        <w:tc>
          <w:tcPr>
            <w:tcW w:w="720" w:type="pct"/>
            <w:gridSpan w:val="2"/>
          </w:tcPr>
          <w:p w:rsidRPr="00C10F5D" w:rsidR="005324E1" w:rsidP="005324E1" w:rsidRDefault="005324E1" w14:paraId="7DCB3513"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175</w:t>
            </w:r>
          </w:p>
        </w:tc>
        <w:tc>
          <w:tcPr>
            <w:tcW w:w="631" w:type="pct"/>
            <w:gridSpan w:val="2"/>
          </w:tcPr>
          <w:p w:rsidRPr="00C10F5D" w:rsidR="005324E1" w:rsidP="005324E1" w:rsidRDefault="005324E1" w14:paraId="77C012C2"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4 </w:t>
            </w:r>
            <w:proofErr w:type="gramStart"/>
            <w:r w:rsidRPr="00C10F5D">
              <w:rPr>
                <w:rFonts w:ascii="Times New Roman" w:hAnsi="Times New Roman" w:eastAsia="Calibri" w:cs="Times New Roman"/>
                <w:sz w:val="26"/>
                <w:szCs w:val="26"/>
              </w:rPr>
              <w:t>hrs.;</w:t>
            </w:r>
            <w:proofErr w:type="gramEnd"/>
            <w:r w:rsidRPr="00C10F5D">
              <w:rPr>
                <w:rFonts w:ascii="Times New Roman" w:hAnsi="Times New Roman" w:eastAsia="Calibri" w:cs="Times New Roman"/>
                <w:sz w:val="26"/>
                <w:szCs w:val="26"/>
              </w:rPr>
              <w:t xml:space="preserve"> </w:t>
            </w:r>
          </w:p>
          <w:p w:rsidRPr="00C10F5D" w:rsidR="005324E1" w:rsidP="005324E1" w:rsidRDefault="005324E1" w14:paraId="1E9C9C3B"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$348.00</w:t>
            </w:r>
          </w:p>
        </w:tc>
        <w:tc>
          <w:tcPr>
            <w:tcW w:w="736" w:type="pct"/>
            <w:gridSpan w:val="2"/>
          </w:tcPr>
          <w:p w:rsidRPr="00C10F5D" w:rsidR="005324E1" w:rsidP="005324E1" w:rsidRDefault="005324E1" w14:paraId="792251BB"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 xml:space="preserve">700 </w:t>
            </w:r>
            <w:proofErr w:type="gramStart"/>
            <w:r w:rsidRPr="00C10F5D">
              <w:rPr>
                <w:rFonts w:ascii="Times New Roman" w:hAnsi="Times New Roman" w:eastAsia="Calibri" w:cs="Times New Roman"/>
                <w:sz w:val="26"/>
                <w:szCs w:val="26"/>
              </w:rPr>
              <w:t>hrs.;</w:t>
            </w:r>
            <w:proofErr w:type="gramEnd"/>
            <w:r w:rsidRPr="00C10F5D">
              <w:rPr>
                <w:rFonts w:ascii="Times New Roman" w:hAnsi="Times New Roman" w:eastAsia="Calibri" w:cs="Times New Roman"/>
                <w:sz w:val="26"/>
                <w:szCs w:val="26"/>
              </w:rPr>
              <w:t xml:space="preserve"> </w:t>
            </w:r>
          </w:p>
          <w:p w:rsidRPr="00C10F5D" w:rsidR="005324E1" w:rsidP="005324E1" w:rsidRDefault="005324E1" w14:paraId="34A66C05"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$60,900</w:t>
            </w:r>
          </w:p>
        </w:tc>
        <w:tc>
          <w:tcPr>
            <w:tcW w:w="615" w:type="pct"/>
          </w:tcPr>
          <w:p w:rsidRPr="00C10F5D" w:rsidR="005324E1" w:rsidP="005324E1" w:rsidRDefault="005324E1" w14:paraId="6F8AC3AC" w14:textId="77777777">
            <w:pPr>
              <w:spacing w:after="0" w:line="240" w:lineRule="auto"/>
              <w:jc w:val="right"/>
              <w:rPr>
                <w:rFonts w:ascii="Times New Roman" w:hAnsi="Times New Roman" w:eastAsia="Calibri" w:cs="Times New Roman"/>
                <w:sz w:val="26"/>
                <w:szCs w:val="26"/>
              </w:rPr>
            </w:pPr>
            <w:r w:rsidRPr="00C10F5D">
              <w:rPr>
                <w:rFonts w:ascii="Times New Roman" w:hAnsi="Times New Roman" w:eastAsia="Calibri" w:cs="Times New Roman"/>
                <w:sz w:val="26"/>
                <w:szCs w:val="26"/>
              </w:rPr>
              <w:t>$348.00</w:t>
            </w:r>
          </w:p>
        </w:tc>
      </w:tr>
      <w:tr w:rsidRPr="00C10F5D" w:rsidR="005324E1" w:rsidTr="005324E1" w14:paraId="465CF475" w14:textId="77777777">
        <w:trPr>
          <w:cantSplit/>
          <w:trHeight w:val="485"/>
        </w:trPr>
        <w:tc>
          <w:tcPr>
            <w:tcW w:w="765" w:type="pct"/>
            <w:gridSpan w:val="2"/>
            <w:tcBorders>
              <w:bottom w:val="single" w:color="auto" w:sz="4" w:space="0"/>
            </w:tcBorders>
          </w:tcPr>
          <w:p w:rsidRPr="00C10F5D" w:rsidR="005324E1" w:rsidP="005324E1" w:rsidRDefault="005324E1" w14:paraId="37E8102C" w14:textId="477BF119">
            <w:pPr>
              <w:spacing w:after="0" w:line="240" w:lineRule="auto"/>
              <w:rPr>
                <w:rFonts w:ascii="Times New Roman" w:hAnsi="Times New Roman" w:eastAsia="Calibri" w:cs="Times New Roman"/>
                <w:b/>
                <w:sz w:val="26"/>
                <w:szCs w:val="26"/>
              </w:rPr>
            </w:pPr>
            <w:r w:rsidRPr="00C10F5D">
              <w:rPr>
                <w:rFonts w:ascii="Times New Roman" w:hAnsi="Times New Roman" w:eastAsia="Calibri" w:cs="Times New Roman"/>
                <w:b/>
                <w:sz w:val="26"/>
                <w:szCs w:val="26"/>
              </w:rPr>
              <w:t>TOTAL</w:t>
            </w:r>
            <w:r w:rsidR="00D55989">
              <w:rPr>
                <w:rFonts w:ascii="Times New Roman" w:hAnsi="Times New Roman" w:eastAsia="Calibri" w:cs="Times New Roman"/>
                <w:b/>
                <w:sz w:val="26"/>
                <w:szCs w:val="26"/>
              </w:rPr>
              <w:t xml:space="preserve"> </w:t>
            </w:r>
          </w:p>
        </w:tc>
        <w:tc>
          <w:tcPr>
            <w:tcW w:w="2884" w:type="pct"/>
            <w:gridSpan w:val="7"/>
            <w:tcBorders>
              <w:bottom w:val="single" w:color="auto" w:sz="4" w:space="0"/>
            </w:tcBorders>
            <w:shd w:val="clear" w:color="auto" w:fill="D9D9D9"/>
          </w:tcPr>
          <w:p w:rsidRPr="00C10F5D" w:rsidR="005324E1" w:rsidP="005324E1" w:rsidRDefault="005324E1" w14:paraId="5CC136F5" w14:textId="77777777">
            <w:pPr>
              <w:spacing w:after="0" w:line="240" w:lineRule="auto"/>
              <w:jc w:val="right"/>
              <w:rPr>
                <w:rFonts w:ascii="Times New Roman" w:hAnsi="Times New Roman" w:eastAsia="Calibri" w:cs="Times New Roman"/>
                <w:sz w:val="26"/>
                <w:szCs w:val="26"/>
              </w:rPr>
            </w:pPr>
          </w:p>
        </w:tc>
        <w:tc>
          <w:tcPr>
            <w:tcW w:w="736" w:type="pct"/>
            <w:gridSpan w:val="2"/>
            <w:tcBorders>
              <w:bottom w:val="single" w:color="auto" w:sz="4" w:space="0"/>
            </w:tcBorders>
          </w:tcPr>
          <w:p w:rsidRPr="00C10F5D" w:rsidR="005324E1" w:rsidP="005324E1" w:rsidRDefault="005324E1" w14:paraId="7B664013" w14:textId="77777777">
            <w:pPr>
              <w:spacing w:after="0" w:line="240" w:lineRule="auto"/>
              <w:jc w:val="right"/>
              <w:rPr>
                <w:rFonts w:ascii="Times New Roman" w:hAnsi="Times New Roman" w:eastAsia="Calibri" w:cs="Times New Roman"/>
                <w:b/>
                <w:sz w:val="26"/>
                <w:szCs w:val="26"/>
              </w:rPr>
            </w:pPr>
            <w:r w:rsidRPr="00C10F5D">
              <w:rPr>
                <w:rFonts w:ascii="Times New Roman" w:hAnsi="Times New Roman" w:eastAsia="Calibri" w:cs="Times New Roman"/>
                <w:b/>
                <w:sz w:val="26"/>
                <w:szCs w:val="26"/>
              </w:rPr>
              <w:t xml:space="preserve">3,724 hrs. </w:t>
            </w:r>
          </w:p>
          <w:p w:rsidRPr="00C10F5D" w:rsidR="005324E1" w:rsidP="005324E1" w:rsidRDefault="005324E1" w14:paraId="1CB50866" w14:textId="77777777">
            <w:pPr>
              <w:spacing w:after="0" w:line="240" w:lineRule="auto"/>
              <w:jc w:val="right"/>
              <w:rPr>
                <w:rFonts w:ascii="Times New Roman" w:hAnsi="Times New Roman" w:eastAsia="Calibri" w:cs="Times New Roman"/>
                <w:b/>
                <w:sz w:val="26"/>
                <w:szCs w:val="26"/>
              </w:rPr>
            </w:pPr>
            <w:r w:rsidRPr="00C10F5D">
              <w:rPr>
                <w:rFonts w:ascii="Times New Roman" w:hAnsi="Times New Roman" w:eastAsia="Calibri" w:cs="Times New Roman"/>
                <w:b/>
                <w:sz w:val="26"/>
                <w:szCs w:val="26"/>
              </w:rPr>
              <w:t>$323,988</w:t>
            </w:r>
          </w:p>
        </w:tc>
        <w:tc>
          <w:tcPr>
            <w:tcW w:w="615" w:type="pct"/>
            <w:tcBorders>
              <w:bottom w:val="single" w:color="auto" w:sz="4" w:space="0"/>
            </w:tcBorders>
          </w:tcPr>
          <w:p w:rsidRPr="00C10F5D" w:rsidR="005324E1" w:rsidP="005324E1" w:rsidRDefault="005324E1" w14:paraId="680FEF51" w14:textId="77777777">
            <w:pPr>
              <w:spacing w:after="0" w:line="240" w:lineRule="auto"/>
              <w:jc w:val="right"/>
              <w:rPr>
                <w:rFonts w:ascii="Times New Roman" w:hAnsi="Times New Roman" w:eastAsia="Calibri" w:cs="Times New Roman"/>
                <w:b/>
                <w:sz w:val="26"/>
                <w:szCs w:val="26"/>
              </w:rPr>
            </w:pPr>
          </w:p>
        </w:tc>
      </w:tr>
    </w:tbl>
    <w:p w:rsidRPr="00C10F5D" w:rsidR="00945E1B" w:rsidP="00945E1B" w:rsidRDefault="00945E1B" w14:paraId="23B1974F" w14:textId="77777777">
      <w:pPr>
        <w:spacing w:after="0" w:line="276" w:lineRule="auto"/>
        <w:rPr>
          <w:rFonts w:ascii="Times New Roman" w:hAnsi="Times New Roman" w:cs="Times New Roman"/>
          <w:sz w:val="26"/>
          <w:szCs w:val="26"/>
        </w:rPr>
      </w:pPr>
    </w:p>
    <w:p w:rsidRPr="00C10F5D" w:rsidR="00EE07DD" w:rsidP="005E5E49" w:rsidRDefault="00EE07DD" w14:paraId="253F5B2A"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ESTIMATE OF THE TOTAL ANNUAL COST BURDEN TO RESPONDENTS</w:t>
      </w:r>
    </w:p>
    <w:p w:rsidRPr="00C10F5D" w:rsidR="00EE07DD" w:rsidP="005E5E49" w:rsidRDefault="00EE07DD" w14:paraId="0A9916BB" w14:textId="77777777">
      <w:pPr>
        <w:spacing w:after="0" w:line="276" w:lineRule="auto"/>
        <w:ind w:left="360"/>
        <w:rPr>
          <w:rFonts w:ascii="Times New Roman" w:hAnsi="Times New Roman" w:cs="Times New Roman"/>
          <w:sz w:val="26"/>
          <w:szCs w:val="26"/>
        </w:rPr>
      </w:pPr>
    </w:p>
    <w:p w:rsidRPr="00C10F5D" w:rsidR="00945E1B" w:rsidP="00945E1B" w:rsidRDefault="00945E1B" w14:paraId="2257E201" w14:textId="77777777">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There are no start-up or other non-labor costs.</w:t>
      </w:r>
    </w:p>
    <w:p w:rsidRPr="00C10F5D" w:rsidR="00945E1B" w:rsidP="00945E1B" w:rsidRDefault="00945E1B" w14:paraId="2085F796" w14:textId="77777777">
      <w:pPr>
        <w:spacing w:after="0" w:line="276" w:lineRule="auto"/>
        <w:rPr>
          <w:rFonts w:ascii="Times New Roman" w:hAnsi="Times New Roman" w:cs="Times New Roman"/>
          <w:sz w:val="26"/>
          <w:szCs w:val="26"/>
        </w:rPr>
      </w:pPr>
    </w:p>
    <w:p w:rsidRPr="00C10F5D" w:rsidR="00945E1B" w:rsidP="00945E1B" w:rsidRDefault="00945E1B" w14:paraId="4E780A4F" w14:textId="77777777">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Total Capital and Start-up cost: $0</w:t>
      </w:r>
    </w:p>
    <w:p w:rsidRPr="00C10F5D" w:rsidR="00945E1B" w:rsidP="00945E1B" w:rsidRDefault="00945E1B" w14:paraId="6E306A37" w14:textId="77777777">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Total Operation, Maintenance, and Purchase of Services: $0</w:t>
      </w:r>
    </w:p>
    <w:p w:rsidRPr="00C10F5D" w:rsidR="00945E1B" w:rsidP="00945E1B" w:rsidRDefault="00945E1B" w14:paraId="5267A0F0" w14:textId="77777777">
      <w:pPr>
        <w:spacing w:after="0" w:line="276" w:lineRule="auto"/>
        <w:rPr>
          <w:rFonts w:ascii="Times New Roman" w:hAnsi="Times New Roman" w:cs="Times New Roman"/>
          <w:sz w:val="26"/>
          <w:szCs w:val="26"/>
        </w:rPr>
      </w:pPr>
    </w:p>
    <w:p w:rsidRPr="00C10F5D" w:rsidR="00945E1B" w:rsidP="00945E1B" w:rsidRDefault="00650020" w14:paraId="6C95F2D3" w14:textId="51BD2F9A">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lastRenderedPageBreak/>
        <w:t>All</w:t>
      </w:r>
      <w:r w:rsidRPr="00C10F5D" w:rsidR="00945E1B">
        <w:rPr>
          <w:rFonts w:ascii="Times New Roman" w:hAnsi="Times New Roman" w:cs="Times New Roman"/>
          <w:sz w:val="26"/>
          <w:szCs w:val="26"/>
        </w:rPr>
        <w:t xml:space="preserve"> the costs in the FERC-725K information collection are associated with burden hours (labor) and described in Questions #12 and #15 in this supporting statement.</w:t>
      </w:r>
    </w:p>
    <w:p w:rsidRPr="00C10F5D" w:rsidR="00EE07DD" w:rsidP="005E5E49" w:rsidRDefault="00EE07DD" w14:paraId="4369C45D" w14:textId="77777777">
      <w:pPr>
        <w:spacing w:after="0" w:line="276" w:lineRule="auto"/>
        <w:rPr>
          <w:rFonts w:ascii="Times New Roman" w:hAnsi="Times New Roman" w:cs="Times New Roman"/>
          <w:sz w:val="26"/>
          <w:szCs w:val="26"/>
        </w:rPr>
      </w:pPr>
    </w:p>
    <w:p w:rsidRPr="00C10F5D" w:rsidR="00EE07DD" w:rsidP="005E5E49" w:rsidRDefault="00EE07DD" w14:paraId="4B9EF89B"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ESTIMATED ANNUALIZED COST TO FEDERAL GOVERNMENT</w:t>
      </w:r>
    </w:p>
    <w:p w:rsidRPr="00C10F5D" w:rsidR="00EE07DD" w:rsidP="005E5E49" w:rsidRDefault="00EE07DD" w14:paraId="2CB41D77" w14:textId="77777777">
      <w:pPr>
        <w:spacing w:after="0" w:line="276" w:lineRule="auto"/>
        <w:rPr>
          <w:rFonts w:ascii="Times New Roman" w:hAnsi="Times New Roman" w:cs="Times New Roman"/>
          <w:sz w:val="26"/>
          <w:szCs w:val="26"/>
        </w:rPr>
      </w:pPr>
    </w:p>
    <w:p w:rsidRPr="00C10F5D" w:rsidR="00EE07DD" w:rsidP="005E5E49" w:rsidRDefault="00EE07DD" w14:paraId="14DB18D4" w14:textId="77777777">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w:t>
      </w:r>
      <w:r w:rsidRPr="00C10F5D" w:rsidR="00F100E2">
        <w:rPr>
          <w:rFonts w:ascii="Times New Roman" w:hAnsi="Times New Roman" w:cs="Times New Roman"/>
          <w:sz w:val="26"/>
          <w:szCs w:val="26"/>
        </w:rPr>
        <w:t xml:space="preserve">information </w:t>
      </w:r>
      <w:r w:rsidRPr="00C10F5D">
        <w:rPr>
          <w:rFonts w:ascii="Times New Roman" w:hAnsi="Times New Roman" w:cs="Times New Roman"/>
          <w:sz w:val="26"/>
          <w:szCs w:val="26"/>
        </w:rPr>
        <w:t>collection (OMB Control No. 1902-0225) and is not par</w:t>
      </w:r>
      <w:r w:rsidRPr="00C10F5D" w:rsidR="00F100E2">
        <w:rPr>
          <w:rFonts w:ascii="Times New Roman" w:hAnsi="Times New Roman" w:cs="Times New Roman"/>
          <w:sz w:val="26"/>
          <w:szCs w:val="26"/>
        </w:rPr>
        <w:t xml:space="preserve">t of this request/ICR </w:t>
      </w:r>
      <w:r w:rsidRPr="00C10F5D">
        <w:rPr>
          <w:rFonts w:ascii="Times New Roman" w:hAnsi="Times New Roman" w:cs="Times New Roman"/>
          <w:sz w:val="26"/>
          <w:szCs w:val="26"/>
        </w:rPr>
        <w:t xml:space="preserve">package.  </w:t>
      </w:r>
    </w:p>
    <w:p w:rsidRPr="00C10F5D" w:rsidR="00EE07DD" w:rsidP="005E5E49" w:rsidRDefault="00EE07DD" w14:paraId="34543224" w14:textId="77777777">
      <w:pPr>
        <w:spacing w:after="0" w:line="276" w:lineRule="auto"/>
        <w:rPr>
          <w:rFonts w:ascii="Times New Roman" w:hAnsi="Times New Roman" w:cs="Times New Roman"/>
          <w:sz w:val="26"/>
          <w:szCs w:val="26"/>
        </w:rPr>
      </w:pPr>
    </w:p>
    <w:p w:rsidRPr="00C10F5D" w:rsidR="00EE07DD" w:rsidP="005E5E49" w:rsidRDefault="00EE07DD" w14:paraId="1D14609A" w14:textId="0EE539B2">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The PRA Administ</w:t>
      </w:r>
      <w:r w:rsidRPr="00C10F5D" w:rsidR="001F499B">
        <w:rPr>
          <w:rFonts w:ascii="Times New Roman" w:hAnsi="Times New Roman" w:cs="Times New Roman"/>
          <w:sz w:val="26"/>
          <w:szCs w:val="26"/>
        </w:rPr>
        <w:t>rative Cost (estimate of $</w:t>
      </w:r>
      <w:r w:rsidRPr="00C10F5D" w:rsidR="005324E1">
        <w:rPr>
          <w:rFonts w:ascii="Times New Roman" w:hAnsi="Times New Roman" w:cs="Times New Roman"/>
          <w:sz w:val="26"/>
          <w:szCs w:val="26"/>
        </w:rPr>
        <w:t>8</w:t>
      </w:r>
      <w:r w:rsidRPr="00C10F5D" w:rsidR="001F499B">
        <w:rPr>
          <w:rFonts w:ascii="Times New Roman" w:hAnsi="Times New Roman" w:cs="Times New Roman"/>
          <w:sz w:val="26"/>
          <w:szCs w:val="26"/>
        </w:rPr>
        <w:t>,</w:t>
      </w:r>
      <w:r w:rsidRPr="00C10F5D" w:rsidR="00D777D3">
        <w:rPr>
          <w:rFonts w:ascii="Times New Roman" w:hAnsi="Times New Roman" w:cs="Times New Roman"/>
          <w:sz w:val="26"/>
          <w:szCs w:val="26"/>
        </w:rPr>
        <w:t>279</w:t>
      </w:r>
      <w:r w:rsidRPr="00C10F5D">
        <w:rPr>
          <w:rFonts w:ascii="Times New Roman" w:hAnsi="Times New Roman" w:cs="Times New Roman"/>
          <w:sz w:val="26"/>
          <w:szCs w:val="26"/>
        </w:rPr>
        <w:t xml:space="preserve"> per collection annually) is a Federal Cost associated with preparing, issuing, and submitting materials necessary to comply with the Paperwork Reduction Act of 1995 (PRA) for rulemakings, orders, or any other vehicle used to create, modify, extend, or discontinue an information collection.  This average annual cost includes requests for extensions, all associated rulemakings or orders, and other changes to the collection</w:t>
      </w:r>
      <w:r w:rsidRPr="00C10F5D" w:rsidR="003706A1">
        <w:rPr>
          <w:rFonts w:ascii="Times New Roman" w:hAnsi="Times New Roman" w:cs="Times New Roman"/>
          <w:sz w:val="26"/>
          <w:szCs w:val="26"/>
        </w:rPr>
        <w:t>, as well as necessary publications in the Federal Register</w:t>
      </w:r>
      <w:r w:rsidRPr="00C10F5D">
        <w:rPr>
          <w:rFonts w:ascii="Times New Roman" w:hAnsi="Times New Roman" w:cs="Times New Roman"/>
          <w:sz w:val="26"/>
          <w:szCs w:val="26"/>
        </w:rPr>
        <w:t xml:space="preserve">. </w:t>
      </w:r>
    </w:p>
    <w:p w:rsidRPr="00C10F5D" w:rsidR="00EE07DD" w:rsidP="005E5E49" w:rsidRDefault="00EE07DD" w14:paraId="31CABF66" w14:textId="77777777">
      <w:pPr>
        <w:spacing w:after="0" w:line="276"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C10F5D" w:rsidR="00EE07DD" w:rsidTr="00022939" w14:paraId="5CB0A7F2"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C10F5D" w:rsidR="00EE07DD" w:rsidP="00041CA6" w:rsidRDefault="00EE07DD" w14:paraId="4A1D8286" w14:textId="77777777">
            <w:pPr>
              <w:spacing w:after="0" w:line="240"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C10F5D" w:rsidR="00EE07DD" w:rsidP="00041CA6" w:rsidRDefault="00EE07DD" w14:paraId="692519AE" w14:textId="77777777">
            <w:pPr>
              <w:spacing w:after="0" w:line="240" w:lineRule="auto"/>
              <w:rPr>
                <w:rFonts w:ascii="Times New Roman" w:hAnsi="Times New Roman" w:cs="Times New Roman"/>
                <w:b/>
                <w:sz w:val="26"/>
                <w:szCs w:val="26"/>
              </w:rPr>
            </w:pPr>
            <w:r w:rsidRPr="00C10F5D">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C10F5D" w:rsidR="00EE07DD" w:rsidP="00041CA6" w:rsidRDefault="00EE07DD" w14:paraId="4F572198" w14:textId="77777777">
            <w:pPr>
              <w:spacing w:after="0" w:line="240" w:lineRule="auto"/>
              <w:rPr>
                <w:rFonts w:ascii="Times New Roman" w:hAnsi="Times New Roman" w:cs="Times New Roman"/>
                <w:b/>
                <w:sz w:val="26"/>
                <w:szCs w:val="26"/>
              </w:rPr>
            </w:pPr>
            <w:r w:rsidRPr="00C10F5D">
              <w:rPr>
                <w:rFonts w:ascii="Times New Roman" w:hAnsi="Times New Roman" w:cs="Times New Roman"/>
                <w:b/>
                <w:sz w:val="26"/>
                <w:szCs w:val="26"/>
              </w:rPr>
              <w:t>Estimated Annual Federal Cost</w:t>
            </w:r>
          </w:p>
        </w:tc>
      </w:tr>
      <w:tr w:rsidRPr="00C10F5D" w:rsidR="00EE07DD" w:rsidTr="00022939" w14:paraId="786C7D04" w14:textId="77777777">
        <w:tc>
          <w:tcPr>
            <w:tcW w:w="3182" w:type="dxa"/>
            <w:tcBorders>
              <w:top w:val="single" w:color="auto" w:sz="4" w:space="0"/>
              <w:left w:val="single" w:color="auto" w:sz="4" w:space="0"/>
              <w:bottom w:val="single" w:color="auto" w:sz="4" w:space="0"/>
              <w:right w:val="single" w:color="auto" w:sz="4" w:space="0"/>
            </w:tcBorders>
            <w:hideMark/>
          </w:tcPr>
          <w:p w:rsidRPr="00C10F5D" w:rsidR="00EE07DD" w:rsidP="00041CA6" w:rsidRDefault="00EE07DD" w14:paraId="0027E60E" w14:textId="14B2091E">
            <w:pPr>
              <w:spacing w:after="0" w:line="240" w:lineRule="auto"/>
              <w:rPr>
                <w:rFonts w:ascii="Times New Roman" w:hAnsi="Times New Roman" w:cs="Times New Roman"/>
                <w:sz w:val="26"/>
                <w:szCs w:val="26"/>
              </w:rPr>
            </w:pPr>
            <w:r w:rsidRPr="00C10F5D">
              <w:rPr>
                <w:rFonts w:ascii="Times New Roman" w:hAnsi="Times New Roman" w:cs="Times New Roman"/>
                <w:sz w:val="26"/>
                <w:szCs w:val="26"/>
              </w:rPr>
              <w:t>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C10F5D" w:rsidR="00EE07DD" w:rsidP="00041CA6" w:rsidRDefault="00EE07DD" w14:paraId="15B15339" w14:textId="77777777">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C10F5D" w:rsidR="00EE07DD" w:rsidP="00041CA6" w:rsidRDefault="00EE07DD" w14:paraId="4ED264A9" w14:textId="77777777">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 xml:space="preserve">0  </w:t>
            </w:r>
          </w:p>
        </w:tc>
      </w:tr>
      <w:tr w:rsidRPr="00C10F5D" w:rsidR="00EE07DD" w:rsidTr="00022939" w14:paraId="58ADFFFD" w14:textId="77777777">
        <w:tc>
          <w:tcPr>
            <w:tcW w:w="3182" w:type="dxa"/>
            <w:tcBorders>
              <w:top w:val="single" w:color="auto" w:sz="4" w:space="0"/>
              <w:left w:val="single" w:color="auto" w:sz="4" w:space="0"/>
              <w:bottom w:val="single" w:color="auto" w:sz="4" w:space="0"/>
              <w:right w:val="single" w:color="auto" w:sz="4" w:space="0"/>
            </w:tcBorders>
            <w:hideMark/>
          </w:tcPr>
          <w:p w:rsidRPr="00C10F5D" w:rsidR="00EE07DD" w:rsidP="00A57102" w:rsidRDefault="00945E1B" w14:paraId="7504FBC2" w14:textId="79338A74">
            <w:pPr>
              <w:spacing w:after="0" w:line="240" w:lineRule="auto"/>
              <w:rPr>
                <w:rFonts w:ascii="Times New Roman" w:hAnsi="Times New Roman" w:cs="Times New Roman"/>
                <w:sz w:val="26"/>
                <w:szCs w:val="26"/>
              </w:rPr>
            </w:pPr>
            <w:r w:rsidRPr="00C10F5D">
              <w:rPr>
                <w:rFonts w:ascii="Times New Roman" w:hAnsi="Times New Roman" w:cs="Times New Roman"/>
                <w:sz w:val="26"/>
                <w:szCs w:val="26"/>
              </w:rPr>
              <w:t>PRA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bottom"/>
          </w:tcPr>
          <w:p w:rsidRPr="00C10F5D" w:rsidR="00EE07DD" w:rsidP="00041CA6" w:rsidRDefault="00EE07DD" w14:paraId="5B3B44AD" w14:textId="77777777">
            <w:pPr>
              <w:spacing w:after="0"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C10F5D" w:rsidR="00EE07DD" w:rsidP="00041CA6" w:rsidRDefault="00EE07DD" w14:paraId="0BC67CCA" w14:textId="7384B203">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w:t>
            </w:r>
            <w:r w:rsidRPr="00C10F5D" w:rsidR="00D777D3">
              <w:rPr>
                <w:rFonts w:ascii="Times New Roman" w:hAnsi="Times New Roman" w:cs="Times New Roman"/>
                <w:sz w:val="26"/>
                <w:szCs w:val="26"/>
              </w:rPr>
              <w:t>8</w:t>
            </w:r>
            <w:r w:rsidRPr="00C10F5D" w:rsidR="00945E1B">
              <w:rPr>
                <w:rFonts w:ascii="Times New Roman" w:hAnsi="Times New Roman" w:cs="Times New Roman"/>
                <w:sz w:val="26"/>
                <w:szCs w:val="26"/>
              </w:rPr>
              <w:t>,</w:t>
            </w:r>
            <w:r w:rsidRPr="00C10F5D" w:rsidR="00D777D3">
              <w:rPr>
                <w:rFonts w:ascii="Times New Roman" w:hAnsi="Times New Roman" w:cs="Times New Roman"/>
                <w:sz w:val="26"/>
                <w:szCs w:val="26"/>
              </w:rPr>
              <w:t>279</w:t>
            </w:r>
          </w:p>
        </w:tc>
      </w:tr>
      <w:tr w:rsidRPr="00C10F5D" w:rsidR="00EE07DD" w:rsidTr="00022939" w14:paraId="05041B54" w14:textId="77777777">
        <w:tc>
          <w:tcPr>
            <w:tcW w:w="3182" w:type="dxa"/>
            <w:tcBorders>
              <w:top w:val="single" w:color="auto" w:sz="4" w:space="0"/>
              <w:left w:val="single" w:color="auto" w:sz="4" w:space="0"/>
              <w:bottom w:val="single" w:color="auto" w:sz="4" w:space="0"/>
              <w:right w:val="single" w:color="auto" w:sz="4" w:space="0"/>
            </w:tcBorders>
            <w:hideMark/>
          </w:tcPr>
          <w:p w:rsidRPr="00C10F5D" w:rsidR="00EE07DD" w:rsidP="00041CA6" w:rsidRDefault="00EE07DD" w14:paraId="26426600" w14:textId="77777777">
            <w:pPr>
              <w:spacing w:after="0" w:line="240" w:lineRule="auto"/>
              <w:rPr>
                <w:rFonts w:ascii="Times New Roman" w:hAnsi="Times New Roman" w:cs="Times New Roman"/>
                <w:b/>
                <w:sz w:val="26"/>
                <w:szCs w:val="26"/>
              </w:rPr>
            </w:pPr>
            <w:r w:rsidRPr="00C10F5D">
              <w:rPr>
                <w:rFonts w:ascii="Times New Roman" w:hAnsi="Times New Roman" w:cs="Times New Roman"/>
                <w:b/>
                <w:sz w:val="26"/>
                <w:szCs w:val="26"/>
              </w:rPr>
              <w:t>FERC Total</w:t>
            </w:r>
          </w:p>
        </w:tc>
        <w:tc>
          <w:tcPr>
            <w:tcW w:w="0" w:type="auto"/>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EE07DD" w:rsidP="00041CA6" w:rsidRDefault="00EE07DD" w14:paraId="5C4FE6B7" w14:textId="77777777">
            <w:pPr>
              <w:spacing w:after="0" w:line="240" w:lineRule="auto"/>
              <w:jc w:val="right"/>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bottom"/>
            <w:hideMark/>
          </w:tcPr>
          <w:p w:rsidRPr="00C10F5D" w:rsidR="00EE07DD" w:rsidP="00041CA6" w:rsidRDefault="00945E1B" w14:paraId="0052D6B9" w14:textId="36B9E581">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w:t>
            </w:r>
            <w:r w:rsidRPr="00C10F5D" w:rsidR="00D777D3">
              <w:rPr>
                <w:rFonts w:ascii="Times New Roman" w:hAnsi="Times New Roman" w:cs="Times New Roman"/>
                <w:sz w:val="26"/>
                <w:szCs w:val="26"/>
              </w:rPr>
              <w:t>8,279</w:t>
            </w:r>
          </w:p>
        </w:tc>
      </w:tr>
    </w:tbl>
    <w:p w:rsidRPr="00C10F5D" w:rsidR="00EE07DD" w:rsidP="005E5E49" w:rsidRDefault="00EE07DD" w14:paraId="099907C3" w14:textId="77777777">
      <w:pPr>
        <w:spacing w:after="0" w:line="276" w:lineRule="auto"/>
        <w:rPr>
          <w:rFonts w:ascii="Times New Roman" w:hAnsi="Times New Roman" w:cs="Times New Roman"/>
          <w:sz w:val="26"/>
          <w:szCs w:val="26"/>
        </w:rPr>
      </w:pPr>
    </w:p>
    <w:p w:rsidRPr="00C10F5D" w:rsidR="00EE07DD" w:rsidP="005E5E49" w:rsidRDefault="00EE07DD" w14:paraId="4ECB8610"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REASONS FOR CHANGES IN BURDEN INCLUDING THE NEED FOR ANY INCREASE</w:t>
      </w:r>
    </w:p>
    <w:p w:rsidRPr="00C10F5D" w:rsidR="00EE07DD" w:rsidP="005E5E49" w:rsidRDefault="00EE07DD" w14:paraId="70E2ECA3" w14:textId="77777777">
      <w:pPr>
        <w:spacing w:after="0" w:line="276" w:lineRule="auto"/>
        <w:rPr>
          <w:rFonts w:ascii="Times New Roman" w:hAnsi="Times New Roman" w:cs="Times New Roman"/>
          <w:b/>
          <w:sz w:val="26"/>
          <w:szCs w:val="26"/>
        </w:rPr>
      </w:pPr>
    </w:p>
    <w:p w:rsidR="007F4481" w:rsidP="00945E1B" w:rsidRDefault="00945E1B" w14:paraId="6AD53A2C" w14:textId="61D7FB63">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 xml:space="preserve">There are </w:t>
      </w:r>
      <w:r w:rsidRPr="00C10F5D" w:rsidR="00AA3219">
        <w:rPr>
          <w:rFonts w:ascii="Times New Roman" w:hAnsi="Times New Roman" w:cs="Times New Roman"/>
          <w:sz w:val="26"/>
          <w:szCs w:val="26"/>
        </w:rPr>
        <w:t>some</w:t>
      </w:r>
      <w:r w:rsidRPr="00C10F5D">
        <w:rPr>
          <w:rFonts w:ascii="Times New Roman" w:hAnsi="Times New Roman" w:cs="Times New Roman"/>
          <w:sz w:val="26"/>
          <w:szCs w:val="26"/>
        </w:rPr>
        <w:t xml:space="preserve"> changes to reporting </w:t>
      </w:r>
      <w:r w:rsidRPr="00C10F5D" w:rsidR="00A57102">
        <w:rPr>
          <w:rFonts w:ascii="Times New Roman" w:hAnsi="Times New Roman" w:cs="Times New Roman"/>
          <w:sz w:val="26"/>
          <w:szCs w:val="26"/>
        </w:rPr>
        <w:t xml:space="preserve">or recordkeeping </w:t>
      </w:r>
      <w:r w:rsidRPr="00C10F5D">
        <w:rPr>
          <w:rFonts w:ascii="Times New Roman" w:hAnsi="Times New Roman" w:cs="Times New Roman"/>
          <w:sz w:val="26"/>
          <w:szCs w:val="26"/>
        </w:rPr>
        <w:t>requirements</w:t>
      </w:r>
      <w:r w:rsidRPr="00C10F5D" w:rsidR="00A57102">
        <w:rPr>
          <w:rFonts w:ascii="Times New Roman" w:hAnsi="Times New Roman" w:cs="Times New Roman"/>
          <w:sz w:val="26"/>
          <w:szCs w:val="26"/>
        </w:rPr>
        <w:t xml:space="preserve"> and </w:t>
      </w:r>
      <w:r w:rsidRPr="00C10F5D" w:rsidR="00AA3219">
        <w:rPr>
          <w:rFonts w:ascii="Times New Roman" w:hAnsi="Times New Roman" w:cs="Times New Roman"/>
          <w:sz w:val="26"/>
          <w:szCs w:val="26"/>
        </w:rPr>
        <w:t>some</w:t>
      </w:r>
      <w:r w:rsidRPr="00C10F5D">
        <w:rPr>
          <w:rFonts w:ascii="Times New Roman" w:hAnsi="Times New Roman" w:cs="Times New Roman"/>
          <w:sz w:val="26"/>
          <w:szCs w:val="26"/>
        </w:rPr>
        <w:t xml:space="preserve"> change to the burden estimate in the FERC-725K information </w:t>
      </w:r>
      <w:r w:rsidRPr="00C10F5D" w:rsidR="00AA3219">
        <w:rPr>
          <w:rFonts w:ascii="Times New Roman" w:hAnsi="Times New Roman" w:cs="Times New Roman"/>
          <w:sz w:val="26"/>
          <w:szCs w:val="26"/>
        </w:rPr>
        <w:t>collection resulting from the reduction in burden due to the modification from Docket No. RD22-1-000</w:t>
      </w:r>
      <w:r w:rsidR="007F4481">
        <w:rPr>
          <w:rFonts w:ascii="Times New Roman" w:hAnsi="Times New Roman" w:cs="Times New Roman"/>
          <w:sz w:val="26"/>
          <w:szCs w:val="26"/>
        </w:rPr>
        <w:t xml:space="preserve">.  </w:t>
      </w:r>
      <w:r w:rsidRPr="00C10F5D" w:rsidR="00AA3219">
        <w:rPr>
          <w:rFonts w:ascii="Times New Roman" w:hAnsi="Times New Roman" w:cs="Times New Roman"/>
          <w:sz w:val="26"/>
          <w:szCs w:val="26"/>
        </w:rPr>
        <w:t xml:space="preserve">The reduction in burden is reflected in Table 1 of question 12. </w:t>
      </w:r>
    </w:p>
    <w:p w:rsidR="007F4481" w:rsidP="00945E1B" w:rsidRDefault="007F4481" w14:paraId="6A07E753" w14:textId="77777777">
      <w:pPr>
        <w:spacing w:after="0" w:line="276" w:lineRule="auto"/>
        <w:rPr>
          <w:rFonts w:ascii="Times New Roman" w:hAnsi="Times New Roman" w:cs="Times New Roman"/>
          <w:sz w:val="26"/>
          <w:szCs w:val="26"/>
        </w:rPr>
      </w:pPr>
    </w:p>
    <w:p w:rsidRPr="00C10F5D" w:rsidR="00945E1B" w:rsidP="00945E1B" w:rsidRDefault="007F4481" w14:paraId="70EECC00" w14:textId="62613F3A">
      <w:pPr>
        <w:spacing w:after="0" w:line="276" w:lineRule="auto"/>
        <w:rPr>
          <w:rFonts w:ascii="Times New Roman" w:hAnsi="Times New Roman" w:cs="Times New Roman"/>
          <w:sz w:val="26"/>
          <w:szCs w:val="26"/>
        </w:rPr>
      </w:pPr>
      <w:r>
        <w:rPr>
          <w:rFonts w:ascii="Times New Roman" w:hAnsi="Times New Roman" w:cs="Times New Roman"/>
          <w:sz w:val="26"/>
          <w:szCs w:val="26"/>
        </w:rPr>
        <w:t>However, overall, there is an</w:t>
      </w:r>
      <w:r w:rsidRPr="00C10F5D" w:rsidR="00AA3219">
        <w:rPr>
          <w:rFonts w:ascii="Times New Roman" w:hAnsi="Times New Roman" w:cs="Times New Roman"/>
          <w:sz w:val="26"/>
          <w:szCs w:val="26"/>
        </w:rPr>
        <w:t xml:space="preserve"> increase in burden hours and responses are due to a change in agency estimate due to </w:t>
      </w:r>
      <w:r>
        <w:rPr>
          <w:rFonts w:ascii="Times New Roman" w:hAnsi="Times New Roman" w:cs="Times New Roman"/>
          <w:sz w:val="26"/>
          <w:szCs w:val="26"/>
        </w:rPr>
        <w:t>adjustments in the industry.  Specifically in this case, SERC merged with the Florida Reliability Coordinating Council (FRCC) on July 1, 2019, which led to an increase of firms (respondents) to 175 from 125.</w:t>
      </w:r>
      <w:r w:rsidR="00AA76CA">
        <w:rPr>
          <w:rFonts w:ascii="Times New Roman" w:hAnsi="Times New Roman" w:cs="Times New Roman"/>
          <w:sz w:val="26"/>
          <w:szCs w:val="26"/>
        </w:rPr>
        <w:t xml:space="preserve">  Additionally, </w:t>
      </w:r>
      <w:r w:rsidR="00FB2A13">
        <w:rPr>
          <w:rFonts w:ascii="Times New Roman" w:hAnsi="Times New Roman" w:cs="Times New Roman"/>
          <w:sz w:val="26"/>
          <w:szCs w:val="26"/>
        </w:rPr>
        <w:t xml:space="preserve">since the update of PRC-006-SERC-03, planning coordinators also are required to design and </w:t>
      </w:r>
      <w:r w:rsidR="00EA08D1">
        <w:rPr>
          <w:rFonts w:ascii="Times New Roman" w:hAnsi="Times New Roman" w:cs="Times New Roman"/>
          <w:sz w:val="26"/>
          <w:szCs w:val="26"/>
        </w:rPr>
        <w:t xml:space="preserve">document </w:t>
      </w:r>
      <w:r w:rsidR="00EA08D1">
        <w:rPr>
          <w:rFonts w:ascii="Times New Roman" w:hAnsi="Times New Roman" w:cs="Times New Roman"/>
          <w:sz w:val="26"/>
          <w:szCs w:val="26"/>
        </w:rPr>
        <w:lastRenderedPageBreak/>
        <w:t xml:space="preserve">their updated UFLS </w:t>
      </w:r>
      <w:r w:rsidR="00EC1987">
        <w:rPr>
          <w:rFonts w:ascii="Times New Roman" w:hAnsi="Times New Roman" w:cs="Times New Roman"/>
          <w:sz w:val="26"/>
          <w:szCs w:val="26"/>
        </w:rPr>
        <w:t xml:space="preserve">program </w:t>
      </w:r>
      <w:r w:rsidR="00534D7B">
        <w:rPr>
          <w:rFonts w:ascii="Times New Roman" w:hAnsi="Times New Roman" w:cs="Times New Roman"/>
          <w:sz w:val="26"/>
          <w:szCs w:val="26"/>
        </w:rPr>
        <w:t>which</w:t>
      </w:r>
      <w:r w:rsidR="00EC1987">
        <w:rPr>
          <w:rFonts w:ascii="Times New Roman" w:hAnsi="Times New Roman" w:cs="Times New Roman"/>
          <w:sz w:val="26"/>
          <w:szCs w:val="26"/>
        </w:rPr>
        <w:t xml:space="preserve"> </w:t>
      </w:r>
      <w:r w:rsidR="00534D7B">
        <w:rPr>
          <w:rFonts w:ascii="Times New Roman" w:hAnsi="Times New Roman" w:cs="Times New Roman"/>
          <w:sz w:val="26"/>
          <w:szCs w:val="26"/>
        </w:rPr>
        <w:t>creates</w:t>
      </w:r>
      <w:r w:rsidR="00EC1987">
        <w:rPr>
          <w:rFonts w:ascii="Times New Roman" w:hAnsi="Times New Roman" w:cs="Times New Roman"/>
          <w:sz w:val="26"/>
          <w:szCs w:val="26"/>
        </w:rPr>
        <w:t xml:space="preserve"> 28 additional responses, </w:t>
      </w:r>
      <w:r w:rsidR="00534D7B">
        <w:rPr>
          <w:rFonts w:ascii="Times New Roman" w:hAnsi="Times New Roman" w:cs="Times New Roman"/>
          <w:sz w:val="26"/>
          <w:szCs w:val="26"/>
        </w:rPr>
        <w:t>bringing the</w:t>
      </w:r>
      <w:r w:rsidR="00EC1987">
        <w:rPr>
          <w:rFonts w:ascii="Times New Roman" w:hAnsi="Times New Roman" w:cs="Times New Roman"/>
          <w:sz w:val="26"/>
          <w:szCs w:val="26"/>
        </w:rPr>
        <w:t xml:space="preserve"> total responses</w:t>
      </w:r>
      <w:r w:rsidR="00534D7B">
        <w:rPr>
          <w:rFonts w:ascii="Times New Roman" w:hAnsi="Times New Roman" w:cs="Times New Roman"/>
          <w:sz w:val="26"/>
          <w:szCs w:val="26"/>
        </w:rPr>
        <w:t xml:space="preserve"> to 203.</w:t>
      </w:r>
      <w:r>
        <w:rPr>
          <w:rFonts w:ascii="Times New Roman" w:hAnsi="Times New Roman" w:cs="Times New Roman"/>
          <w:sz w:val="26"/>
          <w:szCs w:val="26"/>
        </w:rPr>
        <w:t xml:space="preserve"> </w:t>
      </w:r>
      <w:r w:rsidR="00534D7B">
        <w:rPr>
          <w:rFonts w:ascii="Times New Roman" w:hAnsi="Times New Roman" w:cs="Times New Roman"/>
          <w:sz w:val="26"/>
          <w:szCs w:val="26"/>
        </w:rPr>
        <w:t xml:space="preserve"> The increase in </w:t>
      </w:r>
      <w:proofErr w:type="gramStart"/>
      <w:r w:rsidR="00534D7B">
        <w:rPr>
          <w:rFonts w:ascii="Times New Roman" w:hAnsi="Times New Roman" w:cs="Times New Roman"/>
          <w:sz w:val="26"/>
          <w:szCs w:val="26"/>
        </w:rPr>
        <w:t>firms</w:t>
      </w:r>
      <w:proofErr w:type="gramEnd"/>
      <w:r w:rsidR="00534D7B">
        <w:rPr>
          <w:rFonts w:ascii="Times New Roman" w:hAnsi="Times New Roman" w:cs="Times New Roman"/>
          <w:sz w:val="26"/>
          <w:szCs w:val="26"/>
        </w:rPr>
        <w:t xml:space="preserve"> t</w:t>
      </w:r>
      <w:r>
        <w:rPr>
          <w:rFonts w:ascii="Times New Roman" w:hAnsi="Times New Roman" w:cs="Times New Roman"/>
          <w:sz w:val="26"/>
          <w:szCs w:val="26"/>
        </w:rPr>
        <w:t xml:space="preserve">herefore, </w:t>
      </w:r>
      <w:r w:rsidR="00534D7B">
        <w:rPr>
          <w:rFonts w:ascii="Times New Roman" w:hAnsi="Times New Roman" w:cs="Times New Roman"/>
          <w:sz w:val="26"/>
          <w:szCs w:val="26"/>
        </w:rPr>
        <w:t xml:space="preserve">also </w:t>
      </w:r>
      <w:r>
        <w:rPr>
          <w:rFonts w:ascii="Times New Roman" w:hAnsi="Times New Roman" w:cs="Times New Roman"/>
          <w:sz w:val="26"/>
          <w:szCs w:val="26"/>
        </w:rPr>
        <w:t>increase</w:t>
      </w:r>
      <w:r w:rsidR="00534D7B">
        <w:rPr>
          <w:rFonts w:ascii="Times New Roman" w:hAnsi="Times New Roman" w:cs="Times New Roman"/>
          <w:sz w:val="26"/>
          <w:szCs w:val="26"/>
        </w:rPr>
        <w:t>s</w:t>
      </w:r>
      <w:r>
        <w:rPr>
          <w:rFonts w:ascii="Times New Roman" w:hAnsi="Times New Roman" w:cs="Times New Roman"/>
          <w:sz w:val="26"/>
          <w:szCs w:val="26"/>
        </w:rPr>
        <w:t xml:space="preserve"> the total burden hours from 2,584 hrs. to </w:t>
      </w:r>
      <w:r w:rsidR="00EE5321">
        <w:rPr>
          <w:rFonts w:ascii="Times New Roman" w:hAnsi="Times New Roman" w:cs="Times New Roman"/>
          <w:sz w:val="26"/>
          <w:szCs w:val="26"/>
        </w:rPr>
        <w:t xml:space="preserve">3,724 hrs. </w:t>
      </w:r>
    </w:p>
    <w:p w:rsidRPr="00C10F5D" w:rsidR="00EE07DD" w:rsidP="005E5E49" w:rsidRDefault="00EE07DD" w14:paraId="7EC22ED4" w14:textId="77777777">
      <w:pPr>
        <w:spacing w:after="0" w:line="276" w:lineRule="auto"/>
        <w:rPr>
          <w:rFonts w:ascii="Times New Roman" w:hAnsi="Times New Roman" w:cs="Times New Roman"/>
          <w:sz w:val="26"/>
          <w:szCs w:val="26"/>
        </w:rPr>
      </w:pPr>
    </w:p>
    <w:p w:rsidRPr="00C10F5D" w:rsidR="00945E1B" w:rsidP="007C489E" w:rsidRDefault="00945E1B" w14:paraId="1C8BF4AA" w14:textId="77777777">
      <w:pPr>
        <w:pBdr>
          <w:bottom w:val="single" w:color="auto" w:sz="4" w:space="1"/>
        </w:pBd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The following table shows the total burden of the collection of information.  The format, labels, and definitions of the table follow the ROCIS submission system’s “Information Collection Request Summary of Burden” for the metadata.</w:t>
      </w:r>
    </w:p>
    <w:p w:rsidRPr="00C10F5D" w:rsidR="00965E15" w:rsidP="005E5E49" w:rsidRDefault="00965E15" w14:paraId="552537F4" w14:textId="77777777">
      <w:pPr>
        <w:spacing w:after="0" w:line="276" w:lineRule="auto"/>
        <w:rPr>
          <w:rFonts w:ascii="Times New Roman" w:hAnsi="Times New Roman" w:cs="Times New Roman"/>
          <w:sz w:val="26"/>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79"/>
        <w:gridCol w:w="1461"/>
        <w:gridCol w:w="1620"/>
        <w:gridCol w:w="1800"/>
        <w:gridCol w:w="1800"/>
      </w:tblGrid>
      <w:tr w:rsidRPr="00C10F5D" w:rsidR="00EE07DD" w:rsidTr="00022939" w14:paraId="6BFD0D23" w14:textId="77777777">
        <w:trPr>
          <w:trHeight w:val="870"/>
        </w:trPr>
        <w:tc>
          <w:tcPr>
            <w:tcW w:w="26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EE07DD" w:rsidP="00945E1B" w:rsidRDefault="00945E1B" w14:paraId="0FE06AE1" w14:textId="48AA75DB">
            <w:pPr>
              <w:spacing w:after="0" w:line="240" w:lineRule="auto"/>
              <w:rPr>
                <w:rFonts w:ascii="Times New Roman" w:hAnsi="Times New Roman" w:cs="Times New Roman"/>
                <w:b/>
                <w:sz w:val="26"/>
                <w:szCs w:val="26"/>
              </w:rPr>
            </w:pPr>
            <w:r w:rsidRPr="00C10F5D">
              <w:rPr>
                <w:rFonts w:ascii="Times New Roman" w:hAnsi="Times New Roman" w:cs="Times New Roman"/>
                <w:b/>
                <w:sz w:val="26"/>
                <w:szCs w:val="26"/>
              </w:rPr>
              <w:t>FERC-725K</w:t>
            </w:r>
          </w:p>
        </w:tc>
        <w:tc>
          <w:tcPr>
            <w:tcW w:w="1461"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EE07DD" w:rsidP="00945E1B" w:rsidRDefault="00EE07DD" w14:paraId="2F70E80C" w14:textId="77777777">
            <w:pPr>
              <w:spacing w:after="0" w:line="240" w:lineRule="auto"/>
              <w:rPr>
                <w:rFonts w:ascii="Times New Roman" w:hAnsi="Times New Roman" w:cs="Times New Roman"/>
                <w:b/>
                <w:sz w:val="26"/>
                <w:szCs w:val="26"/>
              </w:rPr>
            </w:pPr>
            <w:r w:rsidRPr="00C10F5D">
              <w:rPr>
                <w:rFonts w:ascii="Times New Roman" w:hAnsi="Times New Roman" w:cs="Times New Roman"/>
                <w:b/>
                <w:sz w:val="26"/>
                <w:szCs w:val="26"/>
              </w:rPr>
              <w:t>Total Request</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EE07DD" w:rsidP="00945E1B" w:rsidRDefault="00EE07DD" w14:paraId="1982D194" w14:textId="77777777">
            <w:pPr>
              <w:spacing w:after="0" w:line="240" w:lineRule="auto"/>
              <w:rPr>
                <w:rFonts w:ascii="Times New Roman" w:hAnsi="Times New Roman" w:cs="Times New Roman"/>
                <w:b/>
                <w:sz w:val="26"/>
                <w:szCs w:val="26"/>
              </w:rPr>
            </w:pPr>
            <w:r w:rsidRPr="00C10F5D">
              <w:rPr>
                <w:rFonts w:ascii="Times New Roman" w:hAnsi="Times New Roman" w:cs="Times New Roman"/>
                <w:b/>
                <w:sz w:val="26"/>
                <w:szCs w:val="26"/>
              </w:rPr>
              <w:t>Previously Approved</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EE07DD" w:rsidP="00945E1B" w:rsidRDefault="00EE07DD" w14:paraId="4AAEDD9A" w14:textId="77777777">
            <w:pPr>
              <w:spacing w:after="0" w:line="240" w:lineRule="auto"/>
              <w:rPr>
                <w:rFonts w:ascii="Times New Roman" w:hAnsi="Times New Roman" w:cs="Times New Roman"/>
                <w:b/>
                <w:sz w:val="26"/>
                <w:szCs w:val="26"/>
              </w:rPr>
            </w:pPr>
            <w:r w:rsidRPr="00C10F5D">
              <w:rPr>
                <w:rFonts w:ascii="Times New Roman" w:hAnsi="Times New Roman" w:cs="Times New Roman"/>
                <w:b/>
                <w:sz w:val="26"/>
                <w:szCs w:val="26"/>
              </w:rPr>
              <w:t>Change due to Adjustment in Estimate</w:t>
            </w:r>
          </w:p>
        </w:tc>
        <w:tc>
          <w:tcPr>
            <w:tcW w:w="180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C10F5D" w:rsidR="00EE07DD" w:rsidP="00945E1B" w:rsidRDefault="00EE07DD" w14:paraId="317837AF" w14:textId="77777777">
            <w:pPr>
              <w:spacing w:after="0" w:line="240" w:lineRule="auto"/>
              <w:rPr>
                <w:rFonts w:ascii="Times New Roman" w:hAnsi="Times New Roman" w:cs="Times New Roman"/>
                <w:b/>
                <w:sz w:val="26"/>
                <w:szCs w:val="26"/>
              </w:rPr>
            </w:pPr>
            <w:r w:rsidRPr="00C10F5D">
              <w:rPr>
                <w:rFonts w:ascii="Times New Roman" w:hAnsi="Times New Roman" w:cs="Times New Roman"/>
                <w:b/>
                <w:sz w:val="26"/>
                <w:szCs w:val="26"/>
              </w:rPr>
              <w:t>Change Due to Agency Discretion</w:t>
            </w:r>
          </w:p>
        </w:tc>
      </w:tr>
      <w:tr w:rsidRPr="00C10F5D" w:rsidR="00EE07DD" w:rsidTr="00022939" w14:paraId="2291A558" w14:textId="77777777">
        <w:trPr>
          <w:trHeight w:val="591"/>
        </w:trPr>
        <w:tc>
          <w:tcPr>
            <w:tcW w:w="2679"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EE07DD" w14:paraId="65EDEC60" w14:textId="77777777">
            <w:pPr>
              <w:spacing w:after="0" w:line="240" w:lineRule="auto"/>
              <w:rPr>
                <w:rFonts w:ascii="Times New Roman" w:hAnsi="Times New Roman" w:cs="Times New Roman"/>
                <w:sz w:val="26"/>
                <w:szCs w:val="26"/>
              </w:rPr>
            </w:pPr>
            <w:r w:rsidRPr="00C10F5D">
              <w:rPr>
                <w:rFonts w:ascii="Times New Roman" w:hAnsi="Times New Roman" w:cs="Times New Roman"/>
                <w:sz w:val="26"/>
                <w:szCs w:val="26"/>
              </w:rPr>
              <w:t>Annual Number of Responses</w:t>
            </w:r>
          </w:p>
        </w:tc>
        <w:tc>
          <w:tcPr>
            <w:tcW w:w="1461"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DD3A77" w14:paraId="73921808" w14:textId="47C379D3">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203</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945E1B" w14:paraId="46B0E018" w14:textId="25EEDD1E">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125</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DD3A77" w14:paraId="0A91D5DC" w14:textId="312560C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+78</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945E1B" w14:paraId="17C603EF" w14:textId="3AC5DEDF">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0</w:t>
            </w:r>
          </w:p>
        </w:tc>
      </w:tr>
      <w:tr w:rsidRPr="00C10F5D" w:rsidR="00EE07DD" w:rsidTr="00022939" w14:paraId="52175776" w14:textId="77777777">
        <w:trPr>
          <w:trHeight w:val="674"/>
        </w:trPr>
        <w:tc>
          <w:tcPr>
            <w:tcW w:w="2679"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EE07DD" w14:paraId="4880D951" w14:textId="77777777">
            <w:pPr>
              <w:spacing w:after="0" w:line="240" w:lineRule="auto"/>
              <w:rPr>
                <w:rFonts w:ascii="Times New Roman" w:hAnsi="Times New Roman" w:cs="Times New Roman"/>
                <w:sz w:val="26"/>
                <w:szCs w:val="26"/>
              </w:rPr>
            </w:pPr>
            <w:r w:rsidRPr="00C10F5D">
              <w:rPr>
                <w:rFonts w:ascii="Times New Roman" w:hAnsi="Times New Roman" w:cs="Times New Roman"/>
                <w:sz w:val="26"/>
                <w:szCs w:val="26"/>
              </w:rPr>
              <w:t>Annual Time Burden (Hr.)</w:t>
            </w:r>
          </w:p>
        </w:tc>
        <w:tc>
          <w:tcPr>
            <w:tcW w:w="1461"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AA3219" w14:paraId="121DC2AF" w14:textId="53BD49F8">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3,724</w:t>
            </w:r>
          </w:p>
        </w:tc>
        <w:tc>
          <w:tcPr>
            <w:tcW w:w="1620" w:type="dxa"/>
            <w:tcBorders>
              <w:top w:val="single" w:color="auto" w:sz="4" w:space="0"/>
              <w:left w:val="single" w:color="auto" w:sz="4" w:space="0"/>
              <w:bottom w:val="single" w:color="auto" w:sz="4" w:space="0"/>
              <w:right w:val="single" w:color="auto" w:sz="4" w:space="0"/>
            </w:tcBorders>
            <w:vAlign w:val="bottom"/>
          </w:tcPr>
          <w:p w:rsidRPr="00C10F5D" w:rsidR="00EE07DD" w:rsidP="00945E1B" w:rsidRDefault="00945E1B" w14:paraId="1AC26747" w14:textId="47929B78">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2,584</w:t>
            </w:r>
          </w:p>
        </w:tc>
        <w:tc>
          <w:tcPr>
            <w:tcW w:w="1800" w:type="dxa"/>
            <w:tcBorders>
              <w:top w:val="single" w:color="auto" w:sz="4" w:space="0"/>
              <w:left w:val="single" w:color="auto" w:sz="4" w:space="0"/>
              <w:bottom w:val="single" w:color="auto" w:sz="4" w:space="0"/>
              <w:right w:val="single" w:color="auto" w:sz="4" w:space="0"/>
            </w:tcBorders>
            <w:vAlign w:val="bottom"/>
          </w:tcPr>
          <w:p w:rsidRPr="00C10F5D" w:rsidR="00EE07DD" w:rsidP="00945E1B" w:rsidRDefault="007F4481" w14:paraId="2F00CF02" w14:textId="01FDA26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+1,140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945E1B" w14:paraId="4D124CC1" w14:textId="4E3350A9">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0</w:t>
            </w:r>
          </w:p>
        </w:tc>
      </w:tr>
      <w:tr w:rsidRPr="00C10F5D" w:rsidR="00EE07DD" w:rsidTr="00022939" w14:paraId="341CC373" w14:textId="77777777">
        <w:trPr>
          <w:trHeight w:val="295"/>
        </w:trPr>
        <w:tc>
          <w:tcPr>
            <w:tcW w:w="2679"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EE07DD" w14:paraId="6483316B" w14:textId="77777777">
            <w:pPr>
              <w:spacing w:after="0" w:line="240" w:lineRule="auto"/>
              <w:rPr>
                <w:rFonts w:ascii="Times New Roman" w:hAnsi="Times New Roman" w:cs="Times New Roman"/>
                <w:sz w:val="26"/>
                <w:szCs w:val="26"/>
              </w:rPr>
            </w:pPr>
            <w:r w:rsidRPr="00C10F5D">
              <w:rPr>
                <w:rFonts w:ascii="Times New Roman" w:hAnsi="Times New Roman" w:cs="Times New Roman"/>
                <w:sz w:val="26"/>
                <w:szCs w:val="26"/>
              </w:rPr>
              <w:t>Annual Cost Burden ($)</w:t>
            </w:r>
          </w:p>
        </w:tc>
        <w:tc>
          <w:tcPr>
            <w:tcW w:w="1461"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945E1B" w14:paraId="180BB0C3" w14:textId="2B884C57">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$0</w:t>
            </w:r>
          </w:p>
        </w:tc>
        <w:tc>
          <w:tcPr>
            <w:tcW w:w="1620"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945E1B" w14:paraId="1388E8FB" w14:textId="005F2F0B">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945E1B" w14:paraId="065EAB3F" w14:textId="3AB52494">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$0</w:t>
            </w:r>
          </w:p>
        </w:tc>
        <w:tc>
          <w:tcPr>
            <w:tcW w:w="1800" w:type="dxa"/>
            <w:tcBorders>
              <w:top w:val="single" w:color="auto" w:sz="4" w:space="0"/>
              <w:left w:val="single" w:color="auto" w:sz="4" w:space="0"/>
              <w:bottom w:val="single" w:color="auto" w:sz="4" w:space="0"/>
              <w:right w:val="single" w:color="auto" w:sz="4" w:space="0"/>
            </w:tcBorders>
            <w:vAlign w:val="bottom"/>
            <w:hideMark/>
          </w:tcPr>
          <w:p w:rsidRPr="00C10F5D" w:rsidR="00EE07DD" w:rsidP="00945E1B" w:rsidRDefault="00945E1B" w14:paraId="78DC3CFE" w14:textId="5B844114">
            <w:pPr>
              <w:spacing w:after="0" w:line="240" w:lineRule="auto"/>
              <w:jc w:val="right"/>
              <w:rPr>
                <w:rFonts w:ascii="Times New Roman" w:hAnsi="Times New Roman" w:cs="Times New Roman"/>
                <w:sz w:val="26"/>
                <w:szCs w:val="26"/>
              </w:rPr>
            </w:pPr>
            <w:r w:rsidRPr="00C10F5D">
              <w:rPr>
                <w:rFonts w:ascii="Times New Roman" w:hAnsi="Times New Roman" w:cs="Times New Roman"/>
                <w:sz w:val="26"/>
                <w:szCs w:val="26"/>
              </w:rPr>
              <w:t>$0</w:t>
            </w:r>
          </w:p>
        </w:tc>
      </w:tr>
    </w:tbl>
    <w:p w:rsidRPr="00C10F5D" w:rsidR="0076658D" w:rsidP="005E5E49" w:rsidRDefault="0076658D" w14:paraId="3F4392F6" w14:textId="77777777">
      <w:pPr>
        <w:spacing w:after="0" w:line="276" w:lineRule="auto"/>
        <w:rPr>
          <w:rFonts w:ascii="Times New Roman" w:hAnsi="Times New Roman" w:cs="Times New Roman"/>
          <w:sz w:val="26"/>
          <w:szCs w:val="26"/>
        </w:rPr>
      </w:pPr>
    </w:p>
    <w:p w:rsidRPr="00C10F5D" w:rsidR="00EE07DD" w:rsidP="005E5E49" w:rsidRDefault="00EE07DD" w14:paraId="1E69C388"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TIME SCHEDULE FOR PUBLICATION OF DATA</w:t>
      </w:r>
    </w:p>
    <w:p w:rsidRPr="00C10F5D" w:rsidR="00EE07DD" w:rsidP="005E5E49" w:rsidRDefault="00EE07DD" w14:paraId="5A7EFBEA" w14:textId="77777777">
      <w:pPr>
        <w:spacing w:after="0" w:line="276" w:lineRule="auto"/>
        <w:rPr>
          <w:rFonts w:ascii="Times New Roman" w:hAnsi="Times New Roman" w:cs="Times New Roman"/>
          <w:sz w:val="26"/>
          <w:szCs w:val="26"/>
        </w:rPr>
      </w:pPr>
    </w:p>
    <w:p w:rsidRPr="00C10F5D" w:rsidR="00EE07DD" w:rsidP="005E5E49" w:rsidRDefault="00EE07DD" w14:paraId="54933319" w14:textId="77777777">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There are no data publications.</w:t>
      </w:r>
    </w:p>
    <w:p w:rsidRPr="00C10F5D" w:rsidR="00EE07DD" w:rsidP="005E5E49" w:rsidRDefault="00EE07DD" w14:paraId="2E1C1FEC" w14:textId="77777777">
      <w:pPr>
        <w:spacing w:after="0" w:line="276" w:lineRule="auto"/>
        <w:rPr>
          <w:rFonts w:ascii="Times New Roman" w:hAnsi="Times New Roman" w:cs="Times New Roman"/>
          <w:sz w:val="26"/>
          <w:szCs w:val="26"/>
        </w:rPr>
      </w:pPr>
    </w:p>
    <w:p w:rsidRPr="00C10F5D" w:rsidR="00EE07DD" w:rsidP="005E5E49" w:rsidRDefault="00EE07DD" w14:paraId="08017269"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DISPLAY OF EXPIRATION DATE</w:t>
      </w:r>
    </w:p>
    <w:p w:rsidRPr="00C10F5D" w:rsidR="00EE07DD" w:rsidP="005E5E49" w:rsidRDefault="00EE07DD" w14:paraId="3A8ED92C" w14:textId="77777777">
      <w:pPr>
        <w:spacing w:after="0" w:line="276" w:lineRule="auto"/>
        <w:rPr>
          <w:rFonts w:ascii="Times New Roman" w:hAnsi="Times New Roman" w:cs="Times New Roman"/>
          <w:sz w:val="26"/>
          <w:szCs w:val="26"/>
        </w:rPr>
      </w:pPr>
    </w:p>
    <w:p w:rsidRPr="00C10F5D" w:rsidR="00945E1B" w:rsidP="00945E1B" w:rsidRDefault="00945E1B" w14:paraId="771F942D" w14:textId="7F9F8C97">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The expiration dates are displayed in a table posted on ferc.gov at</w:t>
      </w:r>
      <w:r w:rsidR="00317F9F">
        <w:rPr>
          <w:rFonts w:ascii="Times New Roman" w:hAnsi="Times New Roman" w:cs="Times New Roman"/>
          <w:sz w:val="26"/>
          <w:szCs w:val="26"/>
        </w:rPr>
        <w:t xml:space="preserve"> </w:t>
      </w:r>
      <w:hyperlink w:history="1" r:id="rId11">
        <w:r w:rsidRPr="00317F9F" w:rsidR="00317F9F">
          <w:rPr>
            <w:rStyle w:val="Hyperlink"/>
            <w:sz w:val="26"/>
            <w:szCs w:val="26"/>
          </w:rPr>
          <w:t>Information Collections | Federal Energy Regulatory Commission (ferc.gov)</w:t>
        </w:r>
      </w:hyperlink>
      <w:r w:rsidRPr="00C10F5D">
        <w:rPr>
          <w:rFonts w:ascii="Times New Roman" w:hAnsi="Times New Roman" w:cs="Times New Roman"/>
          <w:sz w:val="26"/>
          <w:szCs w:val="26"/>
        </w:rPr>
        <w:t>.</w:t>
      </w:r>
    </w:p>
    <w:p w:rsidRPr="00C10F5D" w:rsidR="00EE07DD" w:rsidP="005E5E49" w:rsidRDefault="00EE07DD" w14:paraId="29A2525F" w14:textId="77777777">
      <w:pPr>
        <w:spacing w:after="0" w:line="276" w:lineRule="auto"/>
        <w:rPr>
          <w:rFonts w:ascii="Times New Roman" w:hAnsi="Times New Roman" w:cs="Times New Roman"/>
          <w:sz w:val="26"/>
          <w:szCs w:val="26"/>
        </w:rPr>
      </w:pPr>
    </w:p>
    <w:p w:rsidRPr="00C10F5D" w:rsidR="00EE07DD" w:rsidP="005E5E49" w:rsidRDefault="00EE07DD" w14:paraId="533ED27D" w14:textId="77777777">
      <w:pPr>
        <w:numPr>
          <w:ilvl w:val="0"/>
          <w:numId w:val="2"/>
        </w:numPr>
        <w:spacing w:after="0" w:line="276" w:lineRule="auto"/>
        <w:rPr>
          <w:rFonts w:ascii="Times New Roman" w:hAnsi="Times New Roman" w:cs="Times New Roman"/>
          <w:b/>
          <w:sz w:val="26"/>
          <w:szCs w:val="26"/>
        </w:rPr>
      </w:pPr>
      <w:r w:rsidRPr="00C10F5D">
        <w:rPr>
          <w:rFonts w:ascii="Times New Roman" w:hAnsi="Times New Roman" w:cs="Times New Roman"/>
          <w:b/>
          <w:sz w:val="26"/>
          <w:szCs w:val="26"/>
        </w:rPr>
        <w:t>EXCEPTIONS TO THE CERTIFICATION STATEMENT</w:t>
      </w:r>
    </w:p>
    <w:p w:rsidRPr="00C10F5D" w:rsidR="00EE07DD" w:rsidP="005E5E49" w:rsidRDefault="00EE07DD" w14:paraId="2C1DE64B" w14:textId="77777777">
      <w:pPr>
        <w:spacing w:after="0" w:line="276" w:lineRule="auto"/>
        <w:rPr>
          <w:rFonts w:ascii="Times New Roman" w:hAnsi="Times New Roman" w:cs="Times New Roman"/>
          <w:b/>
          <w:sz w:val="26"/>
          <w:szCs w:val="26"/>
        </w:rPr>
      </w:pPr>
    </w:p>
    <w:p w:rsidRPr="00C10F5D" w:rsidR="00EE07DD" w:rsidP="005E5E49" w:rsidRDefault="00945E1B" w14:paraId="12189FC5" w14:textId="114756EE">
      <w:pPr>
        <w:spacing w:after="0" w:line="276" w:lineRule="auto"/>
        <w:rPr>
          <w:rFonts w:ascii="Times New Roman" w:hAnsi="Times New Roman" w:cs="Times New Roman"/>
          <w:sz w:val="26"/>
          <w:szCs w:val="26"/>
        </w:rPr>
      </w:pPr>
      <w:r w:rsidRPr="00C10F5D">
        <w:rPr>
          <w:rFonts w:ascii="Times New Roman" w:hAnsi="Times New Roman" w:cs="Times New Roman"/>
          <w:sz w:val="26"/>
          <w:szCs w:val="26"/>
        </w:rPr>
        <w:t>There are no exceptions.</w:t>
      </w:r>
    </w:p>
    <w:sectPr w:rsidRPr="00C10F5D" w:rsidR="00EE07D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75592" w14:textId="77777777" w:rsidR="00AE38DA" w:rsidRDefault="00AE38DA" w:rsidP="00EE07DD">
      <w:pPr>
        <w:spacing w:after="0" w:line="240" w:lineRule="auto"/>
      </w:pPr>
      <w:r>
        <w:separator/>
      </w:r>
    </w:p>
  </w:endnote>
  <w:endnote w:type="continuationSeparator" w:id="0">
    <w:p w14:paraId="2775BC4F" w14:textId="77777777" w:rsidR="00AE38DA" w:rsidRDefault="00AE38DA" w:rsidP="00EE07DD">
      <w:pPr>
        <w:spacing w:after="0" w:line="240" w:lineRule="auto"/>
      </w:pPr>
      <w:r>
        <w:continuationSeparator/>
      </w:r>
    </w:p>
  </w:endnote>
  <w:endnote w:type="continuationNotice" w:id="1">
    <w:p w14:paraId="44EC948B" w14:textId="77777777" w:rsidR="00AE38DA" w:rsidRDefault="00AE3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652269"/>
      <w:docPartObj>
        <w:docPartGallery w:val="Page Numbers (Bottom of Page)"/>
        <w:docPartUnique/>
      </w:docPartObj>
    </w:sdtPr>
    <w:sdtEndPr>
      <w:rPr>
        <w:noProof/>
      </w:rPr>
    </w:sdtEndPr>
    <w:sdtContent>
      <w:p w14:paraId="3DED26F5" w14:textId="77777777" w:rsidR="00417C7C" w:rsidRDefault="00417C7C">
        <w:pPr>
          <w:pStyle w:val="Footer"/>
          <w:jc w:val="right"/>
        </w:pPr>
        <w:r>
          <w:fldChar w:fldCharType="begin"/>
        </w:r>
        <w:r>
          <w:instrText xml:space="preserve"> PAGE   \* MERGEFORMAT </w:instrText>
        </w:r>
        <w:r>
          <w:fldChar w:fldCharType="separate"/>
        </w:r>
        <w:r w:rsidR="00FB1D0C">
          <w:rPr>
            <w:noProof/>
          </w:rPr>
          <w:t>1</w:t>
        </w:r>
        <w:r>
          <w:rPr>
            <w:noProof/>
          </w:rPr>
          <w:fldChar w:fldCharType="end"/>
        </w:r>
      </w:p>
    </w:sdtContent>
  </w:sdt>
  <w:p w14:paraId="4DFC68BC" w14:textId="77777777" w:rsidR="00417C7C" w:rsidRDefault="00417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B4902" w14:textId="77777777" w:rsidR="00AE38DA" w:rsidRDefault="00AE38DA" w:rsidP="00EE07DD">
      <w:pPr>
        <w:spacing w:after="0" w:line="240" w:lineRule="auto"/>
      </w:pPr>
      <w:r>
        <w:separator/>
      </w:r>
    </w:p>
  </w:footnote>
  <w:footnote w:type="continuationSeparator" w:id="0">
    <w:p w14:paraId="797569FF" w14:textId="77777777" w:rsidR="00AE38DA" w:rsidRDefault="00AE38DA" w:rsidP="00EE07DD">
      <w:pPr>
        <w:spacing w:after="0" w:line="240" w:lineRule="auto"/>
      </w:pPr>
      <w:r>
        <w:continuationSeparator/>
      </w:r>
    </w:p>
  </w:footnote>
  <w:footnote w:type="continuationNotice" w:id="1">
    <w:p w14:paraId="76529D60" w14:textId="77777777" w:rsidR="00AE38DA" w:rsidRDefault="00AE38DA">
      <w:pPr>
        <w:spacing w:after="0" w:line="240" w:lineRule="auto"/>
      </w:pPr>
    </w:p>
  </w:footnote>
  <w:footnote w:id="2">
    <w:p w14:paraId="04852BDF" w14:textId="5A9182FC" w:rsidR="005E5E49" w:rsidRPr="002C7620" w:rsidRDefault="005E5E49" w:rsidP="005E5E49">
      <w:pPr>
        <w:pStyle w:val="FootnoteText"/>
        <w:rPr>
          <w:rFonts w:ascii="Times New Roman" w:hAnsi="Times New Roman" w:cs="Times New Roman"/>
          <w:sz w:val="26"/>
          <w:szCs w:val="26"/>
        </w:rPr>
      </w:pPr>
      <w:r w:rsidRPr="003107BE">
        <w:rPr>
          <w:rStyle w:val="FootnoteReference"/>
          <w:rFonts w:ascii="Times New Roman" w:hAnsi="Times New Roman" w:cs="Times New Roman"/>
          <w:sz w:val="26"/>
          <w:szCs w:val="26"/>
        </w:rPr>
        <w:footnoteRef/>
      </w:r>
      <w:r w:rsidRPr="003107BE">
        <w:rPr>
          <w:rStyle w:val="FootnoteReference"/>
          <w:sz w:val="26"/>
          <w:szCs w:val="26"/>
        </w:rPr>
        <w:t xml:space="preserve"> </w:t>
      </w:r>
      <w:r w:rsidRPr="002C7620">
        <w:rPr>
          <w:rFonts w:ascii="Times New Roman" w:hAnsi="Times New Roman" w:cs="Times New Roman"/>
          <w:i/>
          <w:iCs/>
          <w:sz w:val="26"/>
          <w:szCs w:val="26"/>
        </w:rPr>
        <w:t>North American Electric Reliability Corp</w:t>
      </w:r>
      <w:r w:rsidR="002C7620" w:rsidRPr="002C7620">
        <w:rPr>
          <w:rFonts w:ascii="Times New Roman" w:hAnsi="Times New Roman" w:cs="Times New Roman"/>
          <w:i/>
          <w:iCs/>
          <w:sz w:val="26"/>
          <w:szCs w:val="26"/>
        </w:rPr>
        <w:t>oration</w:t>
      </w:r>
      <w:r w:rsidRPr="002C7620">
        <w:rPr>
          <w:rFonts w:ascii="Times New Roman" w:hAnsi="Times New Roman" w:cs="Times New Roman"/>
          <w:i/>
          <w:iCs/>
          <w:sz w:val="26"/>
          <w:szCs w:val="26"/>
        </w:rPr>
        <w:t>.</w:t>
      </w:r>
      <w:r w:rsidRPr="002C7620">
        <w:rPr>
          <w:rFonts w:ascii="Times New Roman" w:hAnsi="Times New Roman" w:cs="Times New Roman"/>
          <w:sz w:val="26"/>
          <w:szCs w:val="26"/>
        </w:rPr>
        <w:t xml:space="preserve">, 116 FERC ¶ 61,062, </w:t>
      </w:r>
      <w:r w:rsidRPr="002C7620">
        <w:rPr>
          <w:rFonts w:ascii="Times New Roman" w:hAnsi="Times New Roman" w:cs="Times New Roman"/>
          <w:i/>
          <w:iCs/>
          <w:sz w:val="26"/>
          <w:szCs w:val="26"/>
        </w:rPr>
        <w:t>order on reh’g &amp; compliance</w:t>
      </w:r>
      <w:r w:rsidRPr="002C7620">
        <w:rPr>
          <w:rFonts w:ascii="Times New Roman" w:hAnsi="Times New Roman" w:cs="Times New Roman"/>
          <w:sz w:val="26"/>
          <w:szCs w:val="26"/>
        </w:rPr>
        <w:t xml:space="preserve">, 117 FERC ¶ 61,126 (2006), </w:t>
      </w:r>
      <w:r w:rsidRPr="002C7620">
        <w:rPr>
          <w:rFonts w:ascii="Times New Roman" w:hAnsi="Times New Roman" w:cs="Times New Roman"/>
          <w:i/>
          <w:sz w:val="26"/>
          <w:szCs w:val="26"/>
        </w:rPr>
        <w:t xml:space="preserve">aff’d </w:t>
      </w:r>
      <w:r w:rsidRPr="002C7620">
        <w:rPr>
          <w:rFonts w:ascii="Times New Roman" w:hAnsi="Times New Roman" w:cs="Times New Roman"/>
          <w:i/>
          <w:iCs/>
          <w:sz w:val="26"/>
          <w:szCs w:val="26"/>
        </w:rPr>
        <w:t>sub nom. Alcoa, Inc. v. FERC</w:t>
      </w:r>
      <w:r w:rsidRPr="002C7620">
        <w:rPr>
          <w:rFonts w:ascii="Times New Roman" w:hAnsi="Times New Roman" w:cs="Times New Roman"/>
          <w:sz w:val="26"/>
          <w:szCs w:val="26"/>
        </w:rPr>
        <w:t xml:space="preserve">, 564 F.3d 1342 (D.C. Cir. 2009).  </w:t>
      </w:r>
    </w:p>
  </w:footnote>
  <w:footnote w:id="3">
    <w:p w14:paraId="03F0AB82" w14:textId="77777777" w:rsidR="005E5E49" w:rsidRPr="00945E1B" w:rsidRDefault="005E5E49" w:rsidP="005E5E49">
      <w:pPr>
        <w:pStyle w:val="FootnoteText"/>
        <w:rPr>
          <w:rFonts w:ascii="Times New Roman" w:hAnsi="Times New Roman" w:cs="Times New Roman"/>
          <w:lang w:val="pt-BR"/>
        </w:rPr>
      </w:pPr>
      <w:r w:rsidRPr="003107BE">
        <w:rPr>
          <w:rStyle w:val="FootnoteReference"/>
          <w:rFonts w:ascii="Times New Roman" w:hAnsi="Times New Roman" w:cs="Times New Roman"/>
          <w:sz w:val="26"/>
          <w:szCs w:val="26"/>
        </w:rPr>
        <w:footnoteRef/>
      </w:r>
      <w:r w:rsidRPr="002C7620">
        <w:rPr>
          <w:rFonts w:ascii="Times New Roman" w:hAnsi="Times New Roman" w:cs="Times New Roman"/>
          <w:sz w:val="26"/>
          <w:szCs w:val="26"/>
          <w:lang w:val="pt-BR"/>
        </w:rPr>
        <w:t xml:space="preserve"> 16 U.S.C. </w:t>
      </w:r>
      <w:r w:rsidRPr="002C7620">
        <w:rPr>
          <w:rFonts w:ascii="Times New Roman" w:hAnsi="Times New Roman" w:cs="Times New Roman"/>
          <w:sz w:val="26"/>
          <w:szCs w:val="26"/>
          <w:lang w:val="es-ES"/>
        </w:rPr>
        <w:t xml:space="preserve">§ </w:t>
      </w:r>
      <w:r w:rsidRPr="002C7620">
        <w:rPr>
          <w:rFonts w:ascii="Times New Roman" w:hAnsi="Times New Roman" w:cs="Times New Roman"/>
          <w:sz w:val="26"/>
          <w:szCs w:val="26"/>
          <w:lang w:val="pt-BR"/>
        </w:rPr>
        <w:t xml:space="preserve">824o(e)(4).  </w:t>
      </w:r>
      <w:r w:rsidRPr="002C7620">
        <w:rPr>
          <w:rFonts w:ascii="Times New Roman" w:hAnsi="Times New Roman" w:cs="Times New Roman"/>
          <w:sz w:val="26"/>
          <w:szCs w:val="26"/>
        </w:rPr>
        <w:t xml:space="preserve">A Regional Entity is an entity that has been approved by the Commission to enforce Reliability Standards under delegated authority from the ERO.  </w:t>
      </w:r>
      <w:r w:rsidRPr="002C7620">
        <w:rPr>
          <w:rFonts w:ascii="Times New Roman" w:hAnsi="Times New Roman" w:cs="Times New Roman"/>
          <w:i/>
          <w:sz w:val="26"/>
          <w:szCs w:val="26"/>
          <w:lang w:val="pt-BR"/>
        </w:rPr>
        <w:t>See</w:t>
      </w:r>
      <w:r w:rsidRPr="002C7620">
        <w:rPr>
          <w:rFonts w:ascii="Times New Roman" w:hAnsi="Times New Roman" w:cs="Times New Roman"/>
          <w:sz w:val="26"/>
          <w:szCs w:val="26"/>
          <w:lang w:val="pt-BR"/>
        </w:rPr>
        <w:t xml:space="preserve"> 16 U.S.C. </w:t>
      </w:r>
      <w:r w:rsidRPr="002C7620">
        <w:rPr>
          <w:rFonts w:ascii="Times New Roman" w:hAnsi="Times New Roman" w:cs="Times New Roman"/>
          <w:sz w:val="26"/>
          <w:szCs w:val="26"/>
          <w:lang w:val="es-ES"/>
        </w:rPr>
        <w:t xml:space="preserve">§ </w:t>
      </w:r>
      <w:r w:rsidRPr="002C7620">
        <w:rPr>
          <w:rFonts w:ascii="Times New Roman" w:hAnsi="Times New Roman" w:cs="Times New Roman"/>
          <w:sz w:val="26"/>
          <w:szCs w:val="26"/>
          <w:lang w:val="pt-BR"/>
        </w:rPr>
        <w:t>824o(a)(7) and (e)(4).</w:t>
      </w:r>
    </w:p>
  </w:footnote>
  <w:footnote w:id="4">
    <w:p w14:paraId="42F0551F" w14:textId="77777777" w:rsidR="005E5E49" w:rsidRPr="00855BA6" w:rsidRDefault="005E5E49" w:rsidP="005E5E49">
      <w:pPr>
        <w:pStyle w:val="FootnoteText"/>
        <w:rPr>
          <w:rFonts w:ascii="Times New Roman" w:hAnsi="Times New Roman" w:cs="Times New Roman"/>
          <w:sz w:val="26"/>
          <w:szCs w:val="26"/>
          <w:lang w:val="pt-BR"/>
        </w:rPr>
      </w:pPr>
      <w:r w:rsidRPr="003107BE">
        <w:rPr>
          <w:rStyle w:val="FootnoteReference"/>
          <w:rFonts w:ascii="Times New Roman" w:hAnsi="Times New Roman" w:cs="Times New Roman"/>
          <w:sz w:val="26"/>
          <w:szCs w:val="26"/>
        </w:rPr>
        <w:footnoteRef/>
      </w:r>
      <w:r w:rsidRPr="003107BE">
        <w:rPr>
          <w:rStyle w:val="FootnoteReference"/>
        </w:rPr>
        <w:t xml:space="preserve"> </w:t>
      </w:r>
      <w:r w:rsidRPr="00855BA6">
        <w:rPr>
          <w:rFonts w:ascii="Times New Roman" w:hAnsi="Times New Roman" w:cs="Times New Roman"/>
          <w:sz w:val="26"/>
          <w:szCs w:val="26"/>
          <w:lang w:val="pt-BR"/>
        </w:rPr>
        <w:t xml:space="preserve">16 U.S.C. </w:t>
      </w:r>
      <w:r w:rsidRPr="00855BA6">
        <w:rPr>
          <w:rFonts w:ascii="Times New Roman" w:hAnsi="Times New Roman" w:cs="Times New Roman"/>
          <w:sz w:val="26"/>
          <w:szCs w:val="26"/>
          <w:lang w:val="es-ES"/>
        </w:rPr>
        <w:t xml:space="preserve">§ </w:t>
      </w:r>
      <w:r w:rsidRPr="00855BA6">
        <w:rPr>
          <w:rFonts w:ascii="Times New Roman" w:hAnsi="Times New Roman" w:cs="Times New Roman"/>
          <w:sz w:val="26"/>
          <w:szCs w:val="26"/>
          <w:lang w:val="pt-BR"/>
        </w:rPr>
        <w:t>824o(d)(3).</w:t>
      </w:r>
    </w:p>
  </w:footnote>
  <w:footnote w:id="5">
    <w:p w14:paraId="18FE5743" w14:textId="77777777" w:rsidR="005E5E49" w:rsidRPr="00945E1B" w:rsidRDefault="005E5E49" w:rsidP="005E5E49">
      <w:pPr>
        <w:pStyle w:val="FootnoteText"/>
        <w:rPr>
          <w:rFonts w:ascii="Times New Roman" w:hAnsi="Times New Roman" w:cs="Times New Roman"/>
          <w:lang w:val="pt-BR"/>
        </w:rPr>
      </w:pPr>
      <w:r w:rsidRPr="003107BE">
        <w:rPr>
          <w:rStyle w:val="FootnoteReference"/>
          <w:rFonts w:ascii="Times New Roman" w:hAnsi="Times New Roman" w:cs="Times New Roman"/>
          <w:sz w:val="26"/>
          <w:szCs w:val="26"/>
        </w:rPr>
        <w:footnoteRef/>
      </w:r>
      <w:r w:rsidRPr="003107BE">
        <w:rPr>
          <w:rStyle w:val="FootnoteReference"/>
        </w:rPr>
        <w:t xml:space="preserve"> </w:t>
      </w:r>
      <w:r w:rsidRPr="00855BA6">
        <w:rPr>
          <w:rFonts w:ascii="Times New Roman" w:hAnsi="Times New Roman" w:cs="Times New Roman"/>
          <w:i/>
          <w:sz w:val="26"/>
          <w:szCs w:val="26"/>
          <w:lang w:val="pt-BR"/>
        </w:rPr>
        <w:t>Id.</w:t>
      </w:r>
      <w:r w:rsidRPr="00855BA6">
        <w:rPr>
          <w:rFonts w:ascii="Times New Roman" w:hAnsi="Times New Roman" w:cs="Times New Roman"/>
          <w:sz w:val="26"/>
          <w:szCs w:val="26"/>
          <w:lang w:val="pt-BR"/>
        </w:rPr>
        <w:t xml:space="preserve"> </w:t>
      </w:r>
      <w:r w:rsidRPr="00855BA6">
        <w:rPr>
          <w:rFonts w:ascii="Times New Roman" w:hAnsi="Times New Roman" w:cs="Times New Roman"/>
          <w:sz w:val="26"/>
          <w:szCs w:val="26"/>
          <w:lang w:val="es-ES"/>
        </w:rPr>
        <w:t xml:space="preserve">§ </w:t>
      </w:r>
      <w:r w:rsidRPr="00855BA6">
        <w:rPr>
          <w:rFonts w:ascii="Times New Roman" w:hAnsi="Times New Roman" w:cs="Times New Roman"/>
          <w:sz w:val="26"/>
          <w:szCs w:val="26"/>
          <w:lang w:val="pt-BR"/>
        </w:rPr>
        <w:t>824o(d)(2).</w:t>
      </w:r>
    </w:p>
  </w:footnote>
  <w:footnote w:id="6">
    <w:p w14:paraId="33F19CA0" w14:textId="77777777" w:rsidR="00CD79F5" w:rsidRPr="00D84E00" w:rsidRDefault="00CD79F5" w:rsidP="00CD79F5">
      <w:pPr>
        <w:pStyle w:val="FootnoteText"/>
        <w:rPr>
          <w:sz w:val="26"/>
          <w:szCs w:val="26"/>
        </w:rPr>
      </w:pPr>
      <w:r w:rsidRPr="00855BA6">
        <w:rPr>
          <w:rStyle w:val="FootnoteReference"/>
          <w:rFonts w:ascii="Times New Roman" w:hAnsi="Times New Roman" w:cs="Times New Roman"/>
          <w:sz w:val="26"/>
          <w:szCs w:val="26"/>
        </w:rPr>
        <w:footnoteRef/>
      </w:r>
      <w:r w:rsidRPr="00855BA6">
        <w:rPr>
          <w:rFonts w:ascii="Times New Roman" w:hAnsi="Times New Roman" w:cs="Times New Roman"/>
          <w:sz w:val="26"/>
          <w:szCs w:val="26"/>
        </w:rPr>
        <w:t xml:space="preserve"> Letter Order Approving the Joint Petition Requesting Certain Approvals in connection with the Dissolution of FRCC, 167 FERC ¶ 61,095, (2019</w:t>
      </w:r>
      <w:r w:rsidRPr="00D84E00">
        <w:rPr>
          <w:sz w:val="26"/>
          <w:szCs w:val="26"/>
        </w:rPr>
        <w:t xml:space="preserve">). </w:t>
      </w:r>
    </w:p>
  </w:footnote>
  <w:footnote w:id="7">
    <w:p w14:paraId="1F426BF5" w14:textId="77777777" w:rsidR="00417C7C" w:rsidRPr="00945E1B" w:rsidRDefault="00417C7C" w:rsidP="00570228">
      <w:pPr>
        <w:pStyle w:val="FootnoteText"/>
        <w:rPr>
          <w:rFonts w:ascii="Times New Roman" w:hAnsi="Times New Roman" w:cs="Times New Roman"/>
        </w:rPr>
      </w:pPr>
      <w:r w:rsidRPr="003107BE">
        <w:rPr>
          <w:rStyle w:val="FootnoteReference"/>
          <w:rFonts w:ascii="Times New Roman" w:hAnsi="Times New Roman" w:cs="Times New Roman"/>
          <w:sz w:val="26"/>
          <w:szCs w:val="26"/>
        </w:rPr>
        <w:footnoteRef/>
      </w:r>
      <w:r w:rsidRPr="003107BE">
        <w:rPr>
          <w:rStyle w:val="FootnoteReference"/>
          <w:sz w:val="26"/>
          <w:szCs w:val="26"/>
        </w:rPr>
        <w:t xml:space="preserve"> </w:t>
      </w:r>
      <w:r w:rsidRPr="00C10F5D">
        <w:rPr>
          <w:rFonts w:ascii="Times New Roman" w:hAnsi="Times New Roman" w:cs="Times New Roman"/>
          <w:sz w:val="26"/>
          <w:szCs w:val="26"/>
        </w:rPr>
        <w:t xml:space="preserve">Details of the current ERO Reliability Standard processes are available on the NERC website at </w:t>
      </w:r>
      <w:hyperlink r:id="rId1" w:history="1">
        <w:r w:rsidRPr="00C10F5D">
          <w:rPr>
            <w:rStyle w:val="Hyperlink"/>
            <w:sz w:val="26"/>
            <w:szCs w:val="26"/>
          </w:rPr>
          <w:t>http://www.nerc.com/FilingsOrders/us/RuleOfProcedureDL/Appendix_3A_StandardProcessesManual_20130626.pdf</w:t>
        </w:r>
      </w:hyperlink>
      <w:r w:rsidRPr="00C10F5D">
        <w:rPr>
          <w:rFonts w:ascii="Times New Roman" w:hAnsi="Times New Roman" w:cs="Times New Roman"/>
          <w:sz w:val="26"/>
          <w:szCs w:val="26"/>
        </w:rPr>
        <w:t>.</w:t>
      </w:r>
    </w:p>
  </w:footnote>
  <w:footnote w:id="8">
    <w:p w14:paraId="58CF7F30" w14:textId="45D386FC" w:rsidR="00F45983" w:rsidRPr="00945E1B" w:rsidRDefault="00F45983" w:rsidP="00F45983">
      <w:pPr>
        <w:pStyle w:val="FootnoteText"/>
        <w:rPr>
          <w:rFonts w:ascii="Times New Roman" w:hAnsi="Times New Roman" w:cs="Times New Roman"/>
        </w:rPr>
      </w:pPr>
      <w:r w:rsidRPr="003107BE">
        <w:rPr>
          <w:rStyle w:val="FootnoteReference"/>
          <w:rFonts w:ascii="Times New Roman" w:hAnsi="Times New Roman" w:cs="Times New Roman"/>
          <w:sz w:val="26"/>
          <w:szCs w:val="26"/>
        </w:rPr>
        <w:footnoteRef/>
      </w:r>
      <w:r w:rsidRPr="003107BE">
        <w:rPr>
          <w:rStyle w:val="FootnoteReference"/>
          <w:sz w:val="26"/>
          <w:szCs w:val="26"/>
        </w:rPr>
        <w:t xml:space="preserve"> </w:t>
      </w:r>
      <w:r w:rsidRPr="00855BA6">
        <w:rPr>
          <w:rFonts w:ascii="Times New Roman" w:hAnsi="Times New Roman" w:cs="Times New Roman"/>
          <w:sz w:val="26"/>
          <w:szCs w:val="26"/>
        </w:rPr>
        <w:t xml:space="preserve">Page </w:t>
      </w:r>
      <w:r w:rsidR="00610ED7" w:rsidRPr="00855BA6">
        <w:rPr>
          <w:rFonts w:ascii="Times New Roman" w:hAnsi="Times New Roman" w:cs="Times New Roman"/>
          <w:sz w:val="26"/>
          <w:szCs w:val="26"/>
        </w:rPr>
        <w:t>6</w:t>
      </w:r>
      <w:r w:rsidRPr="00855BA6">
        <w:rPr>
          <w:rFonts w:ascii="Times New Roman" w:hAnsi="Times New Roman" w:cs="Times New Roman"/>
          <w:sz w:val="26"/>
          <w:szCs w:val="26"/>
        </w:rPr>
        <w:t xml:space="preserve"> of </w:t>
      </w:r>
      <w:r w:rsidR="00610ED7" w:rsidRPr="00855BA6">
        <w:rPr>
          <w:rFonts w:ascii="Times New Roman" w:hAnsi="Times New Roman" w:cs="Times New Roman"/>
          <w:sz w:val="26"/>
          <w:szCs w:val="26"/>
        </w:rPr>
        <w:t>15</w:t>
      </w:r>
      <w:r w:rsidRPr="00855BA6">
        <w:rPr>
          <w:rFonts w:ascii="Times New Roman" w:hAnsi="Times New Roman" w:cs="Times New Roman"/>
          <w:sz w:val="26"/>
          <w:szCs w:val="26"/>
        </w:rPr>
        <w:t xml:space="preserve"> of the PRC-006-SERC-0</w:t>
      </w:r>
      <w:r w:rsidR="00610ED7" w:rsidRPr="00855BA6">
        <w:rPr>
          <w:rFonts w:ascii="Times New Roman" w:hAnsi="Times New Roman" w:cs="Times New Roman"/>
          <w:sz w:val="26"/>
          <w:szCs w:val="26"/>
        </w:rPr>
        <w:t>3</w:t>
      </w:r>
      <w:r w:rsidRPr="00855BA6">
        <w:rPr>
          <w:rFonts w:ascii="Times New Roman" w:hAnsi="Times New Roman" w:cs="Times New Roman"/>
          <w:sz w:val="26"/>
          <w:szCs w:val="26"/>
        </w:rPr>
        <w:t xml:space="preserve"> Reliability Standard (</w:t>
      </w:r>
      <w:r w:rsidR="00610ED7" w:rsidRPr="00855BA6">
        <w:rPr>
          <w:rStyle w:val="Hyperlink"/>
          <w:sz w:val="26"/>
          <w:szCs w:val="26"/>
        </w:rPr>
        <w:t>https://www.nerc.com/pa/Stand/RegionalReliabilityStandardsUnder%20Development/Regional_PRC-006-SERC-03_CLEAN_08252021.pdf</w:t>
      </w:r>
      <w:r w:rsidRPr="00855BA6">
        <w:rPr>
          <w:rFonts w:ascii="Times New Roman" w:hAnsi="Times New Roman" w:cs="Times New Roman"/>
          <w:sz w:val="26"/>
          <w:szCs w:val="26"/>
        </w:rPr>
        <w:t>)</w:t>
      </w:r>
    </w:p>
  </w:footnote>
  <w:footnote w:id="9">
    <w:p w14:paraId="52344AFA" w14:textId="77777777" w:rsidR="00417C7C" w:rsidRPr="005A5E5C" w:rsidRDefault="00417C7C" w:rsidP="00570228">
      <w:pPr>
        <w:pStyle w:val="FootnoteText"/>
        <w:rPr>
          <w:rFonts w:ascii="Times New Roman" w:hAnsi="Times New Roman" w:cs="Times New Roman"/>
          <w:sz w:val="26"/>
          <w:szCs w:val="26"/>
        </w:rPr>
      </w:pPr>
      <w:r w:rsidRPr="003107BE">
        <w:rPr>
          <w:rStyle w:val="FootnoteReference"/>
          <w:rFonts w:ascii="Times New Roman" w:hAnsi="Times New Roman" w:cs="Times New Roman"/>
          <w:sz w:val="26"/>
          <w:szCs w:val="26"/>
        </w:rPr>
        <w:footnoteRef/>
      </w:r>
      <w:r w:rsidRPr="003107BE">
        <w:rPr>
          <w:rStyle w:val="FootnoteReference"/>
          <w:sz w:val="26"/>
          <w:szCs w:val="26"/>
        </w:rPr>
        <w:t xml:space="preserve"> </w:t>
      </w:r>
      <w:r w:rsidRPr="005A5E5C">
        <w:rPr>
          <w:rFonts w:ascii="Times New Roman" w:hAnsi="Times New Roman" w:cs="Times New Roman"/>
          <w:sz w:val="26"/>
          <w:szCs w:val="26"/>
        </w:rPr>
        <w:t xml:space="preserve">Details of the current ERO Reliability Standard processes are available on the NERC website at </w:t>
      </w:r>
      <w:hyperlink r:id="rId2" w:history="1">
        <w:r w:rsidRPr="005A5E5C">
          <w:rPr>
            <w:rStyle w:val="Hyperlink"/>
            <w:sz w:val="26"/>
            <w:szCs w:val="26"/>
          </w:rPr>
          <w:t>http://www.nerc.com/FilingsOrders/us/RuleOfProcedureDL/Appendix_3A_StandardProcessesManual_20130626.pdf</w:t>
        </w:r>
      </w:hyperlink>
      <w:r w:rsidRPr="005A5E5C">
        <w:rPr>
          <w:rFonts w:ascii="Times New Roman" w:hAnsi="Times New Roman" w:cs="Times New Roman"/>
          <w:sz w:val="26"/>
          <w:szCs w:val="26"/>
        </w:rPr>
        <w:t xml:space="preserve">. </w:t>
      </w:r>
    </w:p>
  </w:footnote>
  <w:footnote w:id="10">
    <w:p w14:paraId="4FD7EBB7" w14:textId="77777777" w:rsidR="00F45983" w:rsidRPr="005A5E5C" w:rsidRDefault="00F45983" w:rsidP="00F45983">
      <w:pPr>
        <w:pStyle w:val="FootnoteText"/>
        <w:rPr>
          <w:rFonts w:ascii="Times New Roman" w:hAnsi="Times New Roman" w:cs="Times New Roman"/>
          <w:sz w:val="26"/>
          <w:szCs w:val="26"/>
          <w:lang w:val="fr-FR"/>
        </w:rPr>
      </w:pPr>
      <w:r w:rsidRPr="003107BE">
        <w:rPr>
          <w:rStyle w:val="FootnoteReference"/>
          <w:rFonts w:ascii="Times New Roman" w:hAnsi="Times New Roman" w:cs="Times New Roman"/>
          <w:sz w:val="26"/>
          <w:szCs w:val="26"/>
        </w:rPr>
        <w:footnoteRef/>
      </w:r>
      <w:r w:rsidRPr="003107BE">
        <w:rPr>
          <w:rStyle w:val="FootnoteReference"/>
        </w:rPr>
        <w:t xml:space="preserve"> </w:t>
      </w:r>
      <w:r w:rsidRPr="005A5E5C">
        <w:rPr>
          <w:rFonts w:ascii="Times New Roman" w:hAnsi="Times New Roman" w:cs="Times New Roman"/>
          <w:sz w:val="26"/>
          <w:szCs w:val="26"/>
          <w:lang w:val="fr-FR"/>
        </w:rPr>
        <w:t>5 CFR 1320.8(d)</w:t>
      </w:r>
    </w:p>
  </w:footnote>
  <w:footnote w:id="11">
    <w:p w14:paraId="297A9D3B" w14:textId="773EB26B" w:rsidR="00F45983" w:rsidRPr="005A5E5C" w:rsidRDefault="00F45983" w:rsidP="00F45983">
      <w:pPr>
        <w:pStyle w:val="FootnoteText"/>
        <w:rPr>
          <w:rFonts w:ascii="Times New Roman" w:hAnsi="Times New Roman" w:cs="Times New Roman"/>
          <w:sz w:val="26"/>
          <w:szCs w:val="26"/>
          <w:lang w:val="fr-FR"/>
        </w:rPr>
      </w:pPr>
      <w:r w:rsidRPr="003107BE">
        <w:rPr>
          <w:rStyle w:val="FootnoteReference"/>
          <w:rFonts w:ascii="Times New Roman" w:hAnsi="Times New Roman" w:cs="Times New Roman"/>
          <w:sz w:val="26"/>
          <w:szCs w:val="26"/>
        </w:rPr>
        <w:footnoteRef/>
      </w:r>
      <w:r w:rsidRPr="005A5E5C">
        <w:rPr>
          <w:rFonts w:ascii="Times New Roman" w:hAnsi="Times New Roman" w:cs="Times New Roman"/>
          <w:sz w:val="26"/>
          <w:szCs w:val="26"/>
          <w:lang w:val="fr-FR"/>
        </w:rPr>
        <w:t xml:space="preserve"> </w:t>
      </w:r>
      <w:r w:rsidR="00945E1B" w:rsidRPr="005A5E5C">
        <w:rPr>
          <w:rFonts w:ascii="Times New Roman" w:hAnsi="Times New Roman" w:cs="Times New Roman"/>
          <w:sz w:val="26"/>
          <w:szCs w:val="26"/>
          <w:lang w:val="fr-FR"/>
        </w:rPr>
        <w:t>83 FR</w:t>
      </w:r>
      <w:r w:rsidRPr="005A5E5C">
        <w:rPr>
          <w:rFonts w:ascii="Times New Roman" w:hAnsi="Times New Roman" w:cs="Times New Roman"/>
          <w:sz w:val="26"/>
          <w:szCs w:val="26"/>
          <w:lang w:val="fr-FR"/>
        </w:rPr>
        <w:t xml:space="preserve"> </w:t>
      </w:r>
      <w:r w:rsidR="00945E1B" w:rsidRPr="005A5E5C">
        <w:rPr>
          <w:rFonts w:ascii="Times New Roman" w:hAnsi="Times New Roman" w:cs="Times New Roman"/>
          <w:sz w:val="26"/>
          <w:szCs w:val="26"/>
          <w:lang w:val="fr-FR"/>
        </w:rPr>
        <w:t>63494</w:t>
      </w:r>
    </w:p>
  </w:footnote>
  <w:footnote w:id="12">
    <w:p w14:paraId="5FEE9A6D" w14:textId="211AE3A1" w:rsidR="00F45983" w:rsidRPr="00945E1B" w:rsidRDefault="00F45983" w:rsidP="00F45983">
      <w:pPr>
        <w:pStyle w:val="FootnoteText"/>
        <w:rPr>
          <w:rFonts w:ascii="Times New Roman" w:hAnsi="Times New Roman" w:cs="Times New Roman"/>
          <w:lang w:val="fr-FR"/>
        </w:rPr>
      </w:pPr>
      <w:r w:rsidRPr="003107BE">
        <w:rPr>
          <w:rStyle w:val="FootnoteReference"/>
          <w:rFonts w:ascii="Times New Roman" w:hAnsi="Times New Roman" w:cs="Times New Roman"/>
          <w:sz w:val="26"/>
          <w:szCs w:val="26"/>
        </w:rPr>
        <w:footnoteRef/>
      </w:r>
      <w:r w:rsidRPr="003107BE">
        <w:rPr>
          <w:rStyle w:val="FootnoteReference"/>
        </w:rPr>
        <w:t xml:space="preserve"> </w:t>
      </w:r>
      <w:r w:rsidR="00945E1B" w:rsidRPr="005A5E5C">
        <w:rPr>
          <w:rFonts w:ascii="Times New Roman" w:hAnsi="Times New Roman" w:cs="Times New Roman"/>
          <w:sz w:val="26"/>
          <w:szCs w:val="26"/>
          <w:lang w:val="fr-FR"/>
        </w:rPr>
        <w:t>84</w:t>
      </w:r>
      <w:r w:rsidRPr="005A5E5C">
        <w:rPr>
          <w:rFonts w:ascii="Times New Roman" w:hAnsi="Times New Roman" w:cs="Times New Roman"/>
          <w:sz w:val="26"/>
          <w:szCs w:val="26"/>
          <w:lang w:val="fr-FR"/>
        </w:rPr>
        <w:t xml:space="preserve"> FR </w:t>
      </w:r>
      <w:r w:rsidR="00945E1B" w:rsidRPr="005A5E5C">
        <w:rPr>
          <w:rFonts w:ascii="Times New Roman" w:hAnsi="Times New Roman" w:cs="Times New Roman"/>
          <w:sz w:val="26"/>
          <w:szCs w:val="26"/>
          <w:lang w:val="fr-FR"/>
        </w:rPr>
        <w:t>10055</w:t>
      </w:r>
    </w:p>
  </w:footnote>
  <w:footnote w:id="13">
    <w:p w14:paraId="771AF3E8" w14:textId="77777777" w:rsidR="005324E1" w:rsidRPr="005324E1" w:rsidRDefault="005324E1" w:rsidP="005324E1">
      <w:pPr>
        <w:pStyle w:val="FootnoteText"/>
        <w:rPr>
          <w:rFonts w:ascii="Times New Roman" w:hAnsi="Times New Roman" w:cs="Times New Roman"/>
          <w:sz w:val="26"/>
          <w:szCs w:val="26"/>
        </w:rPr>
      </w:pPr>
      <w:r w:rsidRPr="00F3256D">
        <w:rPr>
          <w:rStyle w:val="FootnoteReference"/>
          <w:rFonts w:ascii="Times New Roman" w:hAnsi="Times New Roman" w:cs="Times New Roman"/>
          <w:sz w:val="26"/>
          <w:szCs w:val="26"/>
        </w:rPr>
        <w:footnoteRef/>
      </w:r>
      <w:r w:rsidRPr="00F3256D">
        <w:rPr>
          <w:rStyle w:val="FootnoteReference"/>
          <w:rFonts w:ascii="Times New Roman" w:hAnsi="Times New Roman" w:cs="Times New Roman"/>
        </w:rPr>
        <w:t xml:space="preserve"> </w:t>
      </w:r>
      <w:r w:rsidRPr="005324E1">
        <w:rPr>
          <w:rFonts w:ascii="Times New Roman" w:hAnsi="Times New Roman" w:cs="Times New Roman"/>
          <w:sz w:val="26"/>
          <w:szCs w:val="26"/>
        </w:rPr>
        <w:t>Between previous information collection there is an increase in the number of PCs and GOs which largely reflect entities from the former FRCC and SPP regions now applicable PRC-006-SERC-03.</w:t>
      </w:r>
    </w:p>
  </w:footnote>
  <w:footnote w:id="14">
    <w:p w14:paraId="600C0F74" w14:textId="229A20D3" w:rsidR="005324E1" w:rsidRPr="009E2D36" w:rsidRDefault="005324E1" w:rsidP="005324E1">
      <w:pPr>
        <w:pStyle w:val="FootnoteText"/>
        <w:rPr>
          <w:sz w:val="26"/>
          <w:szCs w:val="26"/>
        </w:rPr>
      </w:pPr>
      <w:r w:rsidRPr="005324E1">
        <w:rPr>
          <w:rStyle w:val="FootnoteReference"/>
          <w:rFonts w:ascii="Times New Roman" w:hAnsi="Times New Roman" w:cs="Times New Roman"/>
          <w:sz w:val="26"/>
          <w:szCs w:val="26"/>
        </w:rPr>
        <w:footnoteRef/>
      </w:r>
      <w:r w:rsidRPr="005324E1">
        <w:rPr>
          <w:rFonts w:ascii="Times New Roman" w:hAnsi="Times New Roman" w:cs="Times New Roman"/>
          <w:sz w:val="26"/>
          <w:szCs w:val="26"/>
        </w:rPr>
        <w:t xml:space="preserve"> The estimated hourly cost (salary plus benefits) provided in this section is based on the salary figures and benefits of the average 2021 FERC FTE costs ($180,703 per year, or $87.00 per hour), which we estimate is comparable for salary plus benefits costs of a utilities staff.</w:t>
      </w:r>
      <w:r>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D55C" w14:textId="77777777" w:rsidR="007F4481" w:rsidRDefault="007F4481">
    <w:pPr>
      <w:pStyle w:val="Header"/>
      <w:rPr>
        <w:rFonts w:ascii="Times New Roman" w:hAnsi="Times New Roman" w:cs="Times New Roman"/>
        <w:sz w:val="26"/>
        <w:szCs w:val="26"/>
      </w:rPr>
    </w:pPr>
    <w:r>
      <w:rPr>
        <w:rFonts w:ascii="Times New Roman" w:hAnsi="Times New Roman" w:cs="Times New Roman"/>
        <w:sz w:val="26"/>
        <w:szCs w:val="26"/>
      </w:rPr>
      <w:t xml:space="preserve">Renewal: </w:t>
    </w:r>
    <w:r w:rsidR="00E857E9">
      <w:rPr>
        <w:rFonts w:ascii="Times New Roman" w:hAnsi="Times New Roman" w:cs="Times New Roman"/>
        <w:sz w:val="26"/>
        <w:szCs w:val="26"/>
      </w:rPr>
      <w:t xml:space="preserve">FERC-725K </w:t>
    </w:r>
    <w:r w:rsidR="00417C7C">
      <w:rPr>
        <w:rFonts w:ascii="Times New Roman" w:hAnsi="Times New Roman" w:cs="Times New Roman"/>
        <w:sz w:val="26"/>
        <w:szCs w:val="26"/>
      </w:rPr>
      <w:t>(OMB Control No. 1902-0260</w:t>
    </w:r>
    <w:r w:rsidR="00417C7C" w:rsidRPr="00DE4765">
      <w:rPr>
        <w:rFonts w:ascii="Times New Roman" w:hAnsi="Times New Roman" w:cs="Times New Roman"/>
        <w:sz w:val="26"/>
        <w:szCs w:val="26"/>
      </w:rPr>
      <w:t>)</w:t>
    </w:r>
    <w:r w:rsidR="004945D8">
      <w:rPr>
        <w:rFonts w:ascii="Times New Roman" w:hAnsi="Times New Roman" w:cs="Times New Roman"/>
        <w:sz w:val="26"/>
        <w:szCs w:val="26"/>
      </w:rPr>
      <w:t xml:space="preserve"> </w:t>
    </w:r>
  </w:p>
  <w:p w14:paraId="6ED5C772" w14:textId="26E176EA" w:rsidR="00417C7C" w:rsidRDefault="004945D8">
    <w:pPr>
      <w:pStyle w:val="Header"/>
      <w:rPr>
        <w:rFonts w:ascii="Times New Roman" w:hAnsi="Times New Roman" w:cs="Times New Roman"/>
        <w:sz w:val="26"/>
        <w:szCs w:val="26"/>
      </w:rPr>
    </w:pPr>
    <w:r>
      <w:rPr>
        <w:rFonts w:ascii="Times New Roman" w:hAnsi="Times New Roman" w:cs="Times New Roman"/>
        <w:sz w:val="26"/>
        <w:szCs w:val="26"/>
      </w:rPr>
      <w:t>Docket No. RD22-1-000</w:t>
    </w:r>
    <w:r w:rsidR="007F4481">
      <w:rPr>
        <w:rFonts w:ascii="Times New Roman" w:hAnsi="Times New Roman" w:cs="Times New Roman"/>
        <w:sz w:val="26"/>
        <w:szCs w:val="26"/>
      </w:rPr>
      <w:t xml:space="preserve"> &amp; IC22-7-000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C41"/>
    <w:multiLevelType w:val="hybridMultilevel"/>
    <w:tmpl w:val="ED04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C0FA8"/>
    <w:multiLevelType w:val="hybridMultilevel"/>
    <w:tmpl w:val="8822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C011D"/>
    <w:multiLevelType w:val="hybridMultilevel"/>
    <w:tmpl w:val="DEB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76466"/>
    <w:multiLevelType w:val="hybridMultilevel"/>
    <w:tmpl w:val="78E68C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F5BEB"/>
    <w:multiLevelType w:val="hybridMultilevel"/>
    <w:tmpl w:val="1BEC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CC1895"/>
    <w:multiLevelType w:val="hybridMultilevel"/>
    <w:tmpl w:val="E52203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FD5BCC"/>
    <w:multiLevelType w:val="hybridMultilevel"/>
    <w:tmpl w:val="D10E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42BFA"/>
    <w:multiLevelType w:val="hybridMultilevel"/>
    <w:tmpl w:val="84E01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010DA"/>
    <w:multiLevelType w:val="hybridMultilevel"/>
    <w:tmpl w:val="66B007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C2F66AD"/>
    <w:multiLevelType w:val="hybridMultilevel"/>
    <w:tmpl w:val="9C0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438EC"/>
    <w:multiLevelType w:val="hybridMultilevel"/>
    <w:tmpl w:val="EDE4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8"/>
  </w:num>
  <w:num w:numId="6">
    <w:abstractNumId w:val="3"/>
  </w:num>
  <w:num w:numId="7">
    <w:abstractNumId w:val="4"/>
  </w:num>
  <w:num w:numId="8">
    <w:abstractNumId w:val="5"/>
  </w:num>
  <w:num w:numId="9">
    <w:abstractNumId w:val="10"/>
  </w:num>
  <w:num w:numId="10">
    <w:abstractNumId w:val="11"/>
  </w:num>
  <w:num w:numId="11">
    <w:abstractNumId w:val="1"/>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7DD"/>
    <w:rsid w:val="00014369"/>
    <w:rsid w:val="00022939"/>
    <w:rsid w:val="0004171E"/>
    <w:rsid w:val="00041CA6"/>
    <w:rsid w:val="00043630"/>
    <w:rsid w:val="0006289C"/>
    <w:rsid w:val="00065504"/>
    <w:rsid w:val="00065EF2"/>
    <w:rsid w:val="00081C15"/>
    <w:rsid w:val="00084E31"/>
    <w:rsid w:val="00095BCF"/>
    <w:rsid w:val="000A6469"/>
    <w:rsid w:val="000B196E"/>
    <w:rsid w:val="000C2AA0"/>
    <w:rsid w:val="000C6BFC"/>
    <w:rsid w:val="000D2AEC"/>
    <w:rsid w:val="000D7513"/>
    <w:rsid w:val="000F2F31"/>
    <w:rsid w:val="0014043E"/>
    <w:rsid w:val="00160FEE"/>
    <w:rsid w:val="001905C8"/>
    <w:rsid w:val="001907FC"/>
    <w:rsid w:val="0019214F"/>
    <w:rsid w:val="001A153B"/>
    <w:rsid w:val="001B178A"/>
    <w:rsid w:val="001B2950"/>
    <w:rsid w:val="001E73A6"/>
    <w:rsid w:val="001E7D56"/>
    <w:rsid w:val="001F171A"/>
    <w:rsid w:val="001F499B"/>
    <w:rsid w:val="001F6968"/>
    <w:rsid w:val="00216221"/>
    <w:rsid w:val="00231271"/>
    <w:rsid w:val="00232F79"/>
    <w:rsid w:val="0024377F"/>
    <w:rsid w:val="0025702F"/>
    <w:rsid w:val="00261928"/>
    <w:rsid w:val="002A2A70"/>
    <w:rsid w:val="002A764D"/>
    <w:rsid w:val="002C460A"/>
    <w:rsid w:val="002C7620"/>
    <w:rsid w:val="002C7D36"/>
    <w:rsid w:val="002E0CF6"/>
    <w:rsid w:val="002E6E27"/>
    <w:rsid w:val="002F6772"/>
    <w:rsid w:val="002F76FC"/>
    <w:rsid w:val="003009CB"/>
    <w:rsid w:val="003107BE"/>
    <w:rsid w:val="00317F9F"/>
    <w:rsid w:val="003418C6"/>
    <w:rsid w:val="003463E6"/>
    <w:rsid w:val="00347DBA"/>
    <w:rsid w:val="003608F6"/>
    <w:rsid w:val="003706A1"/>
    <w:rsid w:val="003A0B8F"/>
    <w:rsid w:val="003C187C"/>
    <w:rsid w:val="003C1C29"/>
    <w:rsid w:val="003C3B80"/>
    <w:rsid w:val="003D34F1"/>
    <w:rsid w:val="003E4D3C"/>
    <w:rsid w:val="003F46CF"/>
    <w:rsid w:val="00417C7C"/>
    <w:rsid w:val="004232B1"/>
    <w:rsid w:val="00450F42"/>
    <w:rsid w:val="00460C6A"/>
    <w:rsid w:val="0047785C"/>
    <w:rsid w:val="0048671E"/>
    <w:rsid w:val="004945D8"/>
    <w:rsid w:val="004B124E"/>
    <w:rsid w:val="004B34A4"/>
    <w:rsid w:val="004C30FF"/>
    <w:rsid w:val="004D380D"/>
    <w:rsid w:val="004D7711"/>
    <w:rsid w:val="004F19B9"/>
    <w:rsid w:val="00520CC6"/>
    <w:rsid w:val="005324E1"/>
    <w:rsid w:val="00534D7B"/>
    <w:rsid w:val="00545E7E"/>
    <w:rsid w:val="00570228"/>
    <w:rsid w:val="00573D61"/>
    <w:rsid w:val="00587C53"/>
    <w:rsid w:val="00595138"/>
    <w:rsid w:val="005A5E5C"/>
    <w:rsid w:val="005B1365"/>
    <w:rsid w:val="005C4E97"/>
    <w:rsid w:val="005D4D82"/>
    <w:rsid w:val="005E5E49"/>
    <w:rsid w:val="005F2368"/>
    <w:rsid w:val="00607035"/>
    <w:rsid w:val="00610ED7"/>
    <w:rsid w:val="006140AE"/>
    <w:rsid w:val="0061721D"/>
    <w:rsid w:val="00617D50"/>
    <w:rsid w:val="0062150E"/>
    <w:rsid w:val="00627B74"/>
    <w:rsid w:val="00632813"/>
    <w:rsid w:val="0064201D"/>
    <w:rsid w:val="00644588"/>
    <w:rsid w:val="00650020"/>
    <w:rsid w:val="0067266E"/>
    <w:rsid w:val="006A4B16"/>
    <w:rsid w:val="006D6BF7"/>
    <w:rsid w:val="006E39C1"/>
    <w:rsid w:val="007002ED"/>
    <w:rsid w:val="00716C63"/>
    <w:rsid w:val="007173D4"/>
    <w:rsid w:val="00725449"/>
    <w:rsid w:val="00740F80"/>
    <w:rsid w:val="0076658D"/>
    <w:rsid w:val="00775575"/>
    <w:rsid w:val="007A668B"/>
    <w:rsid w:val="007B29B4"/>
    <w:rsid w:val="007C489E"/>
    <w:rsid w:val="007C76D7"/>
    <w:rsid w:val="007F4481"/>
    <w:rsid w:val="008041C5"/>
    <w:rsid w:val="00807167"/>
    <w:rsid w:val="00824371"/>
    <w:rsid w:val="00830A5B"/>
    <w:rsid w:val="00831BE0"/>
    <w:rsid w:val="00843FF1"/>
    <w:rsid w:val="00855BA6"/>
    <w:rsid w:val="008633A0"/>
    <w:rsid w:val="00872BDC"/>
    <w:rsid w:val="0087323D"/>
    <w:rsid w:val="008847C0"/>
    <w:rsid w:val="00892B3C"/>
    <w:rsid w:val="008A1D23"/>
    <w:rsid w:val="008B1AFF"/>
    <w:rsid w:val="008D5783"/>
    <w:rsid w:val="008E15F4"/>
    <w:rsid w:val="008E4006"/>
    <w:rsid w:val="00904875"/>
    <w:rsid w:val="00945E1B"/>
    <w:rsid w:val="0094713B"/>
    <w:rsid w:val="00947EBE"/>
    <w:rsid w:val="00956A8A"/>
    <w:rsid w:val="00962AEE"/>
    <w:rsid w:val="00965E15"/>
    <w:rsid w:val="009710D9"/>
    <w:rsid w:val="00971D82"/>
    <w:rsid w:val="009766BA"/>
    <w:rsid w:val="00991159"/>
    <w:rsid w:val="00993CFC"/>
    <w:rsid w:val="00995314"/>
    <w:rsid w:val="009A0BF6"/>
    <w:rsid w:val="009B23E4"/>
    <w:rsid w:val="009B3AA9"/>
    <w:rsid w:val="009B6241"/>
    <w:rsid w:val="009C0126"/>
    <w:rsid w:val="009C1B1F"/>
    <w:rsid w:val="009E03C9"/>
    <w:rsid w:val="009E4D9E"/>
    <w:rsid w:val="00A075EF"/>
    <w:rsid w:val="00A113F6"/>
    <w:rsid w:val="00A41FFE"/>
    <w:rsid w:val="00A56BAC"/>
    <w:rsid w:val="00A57102"/>
    <w:rsid w:val="00A77695"/>
    <w:rsid w:val="00A8777B"/>
    <w:rsid w:val="00AA0D88"/>
    <w:rsid w:val="00AA3219"/>
    <w:rsid w:val="00AA680A"/>
    <w:rsid w:val="00AA76CA"/>
    <w:rsid w:val="00AD49EA"/>
    <w:rsid w:val="00AD72E6"/>
    <w:rsid w:val="00AD79C8"/>
    <w:rsid w:val="00AE3654"/>
    <w:rsid w:val="00AE38DA"/>
    <w:rsid w:val="00AE5690"/>
    <w:rsid w:val="00AE5A7D"/>
    <w:rsid w:val="00AE649E"/>
    <w:rsid w:val="00B063B8"/>
    <w:rsid w:val="00B31120"/>
    <w:rsid w:val="00B4636D"/>
    <w:rsid w:val="00B51DC7"/>
    <w:rsid w:val="00B541BD"/>
    <w:rsid w:val="00B608A6"/>
    <w:rsid w:val="00B65F92"/>
    <w:rsid w:val="00B72FAE"/>
    <w:rsid w:val="00B77B3D"/>
    <w:rsid w:val="00BA1856"/>
    <w:rsid w:val="00BA6ED3"/>
    <w:rsid w:val="00BB214B"/>
    <w:rsid w:val="00BC58F3"/>
    <w:rsid w:val="00BF3570"/>
    <w:rsid w:val="00BF49A0"/>
    <w:rsid w:val="00BF6782"/>
    <w:rsid w:val="00C002C5"/>
    <w:rsid w:val="00C10F5D"/>
    <w:rsid w:val="00C3740A"/>
    <w:rsid w:val="00C46833"/>
    <w:rsid w:val="00C614CD"/>
    <w:rsid w:val="00C62C08"/>
    <w:rsid w:val="00CB5397"/>
    <w:rsid w:val="00CB70A0"/>
    <w:rsid w:val="00CC4096"/>
    <w:rsid w:val="00CD7109"/>
    <w:rsid w:val="00CD79F5"/>
    <w:rsid w:val="00D06456"/>
    <w:rsid w:val="00D203D1"/>
    <w:rsid w:val="00D21DD1"/>
    <w:rsid w:val="00D455B5"/>
    <w:rsid w:val="00D46460"/>
    <w:rsid w:val="00D55989"/>
    <w:rsid w:val="00D568D4"/>
    <w:rsid w:val="00D642F8"/>
    <w:rsid w:val="00D7116E"/>
    <w:rsid w:val="00D752A4"/>
    <w:rsid w:val="00D75DCE"/>
    <w:rsid w:val="00D777D3"/>
    <w:rsid w:val="00D8690C"/>
    <w:rsid w:val="00DB24BD"/>
    <w:rsid w:val="00DB56DF"/>
    <w:rsid w:val="00DD3A77"/>
    <w:rsid w:val="00DE100E"/>
    <w:rsid w:val="00DE4765"/>
    <w:rsid w:val="00DF55BB"/>
    <w:rsid w:val="00E11F0D"/>
    <w:rsid w:val="00E477E5"/>
    <w:rsid w:val="00E7287B"/>
    <w:rsid w:val="00E829BB"/>
    <w:rsid w:val="00E8521E"/>
    <w:rsid w:val="00E857E9"/>
    <w:rsid w:val="00E915E5"/>
    <w:rsid w:val="00EA08D1"/>
    <w:rsid w:val="00EA32D8"/>
    <w:rsid w:val="00EB3B0A"/>
    <w:rsid w:val="00EB7F94"/>
    <w:rsid w:val="00EC1987"/>
    <w:rsid w:val="00ED5F9E"/>
    <w:rsid w:val="00EE07DD"/>
    <w:rsid w:val="00EE5321"/>
    <w:rsid w:val="00EF4A10"/>
    <w:rsid w:val="00EF775D"/>
    <w:rsid w:val="00F0276C"/>
    <w:rsid w:val="00F100E2"/>
    <w:rsid w:val="00F11EF0"/>
    <w:rsid w:val="00F12A94"/>
    <w:rsid w:val="00F2144C"/>
    <w:rsid w:val="00F304C0"/>
    <w:rsid w:val="00F3256D"/>
    <w:rsid w:val="00F45983"/>
    <w:rsid w:val="00F46F6D"/>
    <w:rsid w:val="00F81B09"/>
    <w:rsid w:val="00F8673D"/>
    <w:rsid w:val="00FB0AA5"/>
    <w:rsid w:val="00FB148F"/>
    <w:rsid w:val="00FB1D0C"/>
    <w:rsid w:val="00FB2A13"/>
    <w:rsid w:val="00FE26A2"/>
    <w:rsid w:val="00FF4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F52918"/>
  <w15:docId w15:val="{24432F6B-EA55-4439-9D67-09475667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unhideWhenUsed/>
    <w:qFormat/>
    <w:rsid w:val="00EE07DD"/>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rsid w:val="00EE07DD"/>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qFormat/>
    <w:rsid w:val="00EE07DD"/>
    <w:rPr>
      <w:vertAlign w:val="superscript"/>
    </w:rPr>
  </w:style>
  <w:style w:type="character" w:styleId="Hyperlink">
    <w:name w:val="Hyperlink"/>
    <w:basedOn w:val="DefaultParagraphFont"/>
    <w:uiPriority w:val="99"/>
    <w:unhideWhenUsed/>
    <w:rsid w:val="00EE07DD"/>
    <w:rPr>
      <w:rFonts w:ascii="Times New Roman" w:hAnsi="Times New Roman" w:cs="Times New Roman" w:hint="default"/>
      <w:color w:val="0000FF"/>
      <w:u w:val="single"/>
    </w:rPr>
  </w:style>
  <w:style w:type="paragraph" w:styleId="Header">
    <w:name w:val="header"/>
    <w:basedOn w:val="Normal"/>
    <w:link w:val="HeaderChar"/>
    <w:uiPriority w:val="99"/>
    <w:unhideWhenUsed/>
    <w:rsid w:val="006445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588"/>
  </w:style>
  <w:style w:type="paragraph" w:styleId="Footer">
    <w:name w:val="footer"/>
    <w:basedOn w:val="Normal"/>
    <w:link w:val="FooterChar"/>
    <w:uiPriority w:val="99"/>
    <w:unhideWhenUsed/>
    <w:rsid w:val="00644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588"/>
  </w:style>
  <w:style w:type="character" w:styleId="FollowedHyperlink">
    <w:name w:val="FollowedHyperlink"/>
    <w:basedOn w:val="DefaultParagraphFont"/>
    <w:uiPriority w:val="99"/>
    <w:semiHidden/>
    <w:unhideWhenUsed/>
    <w:rsid w:val="00E8521E"/>
    <w:rPr>
      <w:color w:val="954F72" w:themeColor="followedHyperlink"/>
      <w:u w:val="single"/>
    </w:rPr>
  </w:style>
  <w:style w:type="paragraph" w:styleId="BalloonText">
    <w:name w:val="Balloon Text"/>
    <w:basedOn w:val="Normal"/>
    <w:link w:val="BalloonTextChar"/>
    <w:uiPriority w:val="99"/>
    <w:semiHidden/>
    <w:unhideWhenUsed/>
    <w:rsid w:val="0087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BDC"/>
    <w:rPr>
      <w:rFonts w:ascii="Segoe UI" w:hAnsi="Segoe UI" w:cs="Segoe UI"/>
      <w:sz w:val="18"/>
      <w:szCs w:val="18"/>
    </w:rPr>
  </w:style>
  <w:style w:type="paragraph" w:styleId="ListParagraph">
    <w:name w:val="List Paragraph"/>
    <w:basedOn w:val="Normal"/>
    <w:uiPriority w:val="34"/>
    <w:qFormat/>
    <w:rsid w:val="00232F79"/>
    <w:pPr>
      <w:ind w:left="720"/>
      <w:contextualSpacing/>
    </w:pPr>
  </w:style>
  <w:style w:type="character" w:styleId="CommentReference">
    <w:name w:val="annotation reference"/>
    <w:basedOn w:val="DefaultParagraphFont"/>
    <w:uiPriority w:val="99"/>
    <w:semiHidden/>
    <w:unhideWhenUsed/>
    <w:rsid w:val="00261928"/>
    <w:rPr>
      <w:sz w:val="16"/>
      <w:szCs w:val="16"/>
    </w:rPr>
  </w:style>
  <w:style w:type="paragraph" w:styleId="CommentText">
    <w:name w:val="annotation text"/>
    <w:basedOn w:val="Normal"/>
    <w:link w:val="CommentTextChar"/>
    <w:uiPriority w:val="99"/>
    <w:semiHidden/>
    <w:unhideWhenUsed/>
    <w:rsid w:val="00261928"/>
    <w:pPr>
      <w:spacing w:line="240" w:lineRule="auto"/>
    </w:pPr>
    <w:rPr>
      <w:sz w:val="20"/>
      <w:szCs w:val="20"/>
    </w:rPr>
  </w:style>
  <w:style w:type="character" w:customStyle="1" w:styleId="CommentTextChar">
    <w:name w:val="Comment Text Char"/>
    <w:basedOn w:val="DefaultParagraphFont"/>
    <w:link w:val="CommentText"/>
    <w:uiPriority w:val="99"/>
    <w:semiHidden/>
    <w:rsid w:val="00261928"/>
    <w:rPr>
      <w:sz w:val="20"/>
      <w:szCs w:val="20"/>
    </w:rPr>
  </w:style>
  <w:style w:type="paragraph" w:styleId="CommentSubject">
    <w:name w:val="annotation subject"/>
    <w:basedOn w:val="CommentText"/>
    <w:next w:val="CommentText"/>
    <w:link w:val="CommentSubjectChar"/>
    <w:uiPriority w:val="99"/>
    <w:semiHidden/>
    <w:unhideWhenUsed/>
    <w:rsid w:val="00261928"/>
    <w:rPr>
      <w:b/>
      <w:bCs/>
    </w:rPr>
  </w:style>
  <w:style w:type="character" w:customStyle="1" w:styleId="CommentSubjectChar">
    <w:name w:val="Comment Subject Char"/>
    <w:basedOn w:val="CommentTextChar"/>
    <w:link w:val="CommentSubject"/>
    <w:uiPriority w:val="99"/>
    <w:semiHidden/>
    <w:rsid w:val="00261928"/>
    <w:rPr>
      <w:b/>
      <w:bCs/>
      <w:sz w:val="20"/>
      <w:szCs w:val="20"/>
    </w:rPr>
  </w:style>
  <w:style w:type="character" w:styleId="UnresolvedMention">
    <w:name w:val="Unresolved Mention"/>
    <w:basedOn w:val="DefaultParagraphFont"/>
    <w:uiPriority w:val="99"/>
    <w:semiHidden/>
    <w:unhideWhenUsed/>
    <w:rsid w:val="00317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294">
      <w:bodyDiv w:val="1"/>
      <w:marLeft w:val="0"/>
      <w:marRight w:val="0"/>
      <w:marTop w:val="0"/>
      <w:marBottom w:val="0"/>
      <w:divBdr>
        <w:top w:val="none" w:sz="0" w:space="0" w:color="auto"/>
        <w:left w:val="none" w:sz="0" w:space="0" w:color="auto"/>
        <w:bottom w:val="none" w:sz="0" w:space="0" w:color="auto"/>
        <w:right w:val="none" w:sz="0" w:space="0" w:color="auto"/>
      </w:divBdr>
    </w:div>
    <w:div w:id="931084946">
      <w:bodyDiv w:val="1"/>
      <w:marLeft w:val="0"/>
      <w:marRight w:val="0"/>
      <w:marTop w:val="0"/>
      <w:marBottom w:val="0"/>
      <w:divBdr>
        <w:top w:val="none" w:sz="0" w:space="0" w:color="auto"/>
        <w:left w:val="none" w:sz="0" w:space="0" w:color="auto"/>
        <w:bottom w:val="none" w:sz="0" w:space="0" w:color="auto"/>
        <w:right w:val="none" w:sz="0" w:space="0" w:color="auto"/>
      </w:divBdr>
    </w:div>
    <w:div w:id="1133913530">
      <w:bodyDiv w:val="1"/>
      <w:marLeft w:val="0"/>
      <w:marRight w:val="0"/>
      <w:marTop w:val="0"/>
      <w:marBottom w:val="0"/>
      <w:divBdr>
        <w:top w:val="none" w:sz="0" w:space="0" w:color="auto"/>
        <w:left w:val="none" w:sz="0" w:space="0" w:color="auto"/>
        <w:bottom w:val="none" w:sz="0" w:space="0" w:color="auto"/>
        <w:right w:val="none" w:sz="0" w:space="0" w:color="auto"/>
      </w:divBdr>
    </w:div>
    <w:div w:id="1736926470">
      <w:bodyDiv w:val="1"/>
      <w:marLeft w:val="0"/>
      <w:marRight w:val="0"/>
      <w:marTop w:val="0"/>
      <w:marBottom w:val="0"/>
      <w:divBdr>
        <w:top w:val="none" w:sz="0" w:space="0" w:color="auto"/>
        <w:left w:val="none" w:sz="0" w:space="0" w:color="auto"/>
        <w:bottom w:val="none" w:sz="0" w:space="0" w:color="auto"/>
        <w:right w:val="none" w:sz="0" w:space="0" w:color="auto"/>
      </w:divBdr>
    </w:div>
    <w:div w:id="1739354893">
      <w:bodyDiv w:val="1"/>
      <w:marLeft w:val="0"/>
      <w:marRight w:val="0"/>
      <w:marTop w:val="0"/>
      <w:marBottom w:val="0"/>
      <w:divBdr>
        <w:top w:val="none" w:sz="0" w:space="0" w:color="auto"/>
        <w:left w:val="none" w:sz="0" w:space="0" w:color="auto"/>
        <w:bottom w:val="none" w:sz="0" w:space="0" w:color="auto"/>
        <w:right w:val="none" w:sz="0" w:space="0" w:color="auto"/>
      </w:divBdr>
    </w:div>
    <w:div w:id="21029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rc.gov/media/information-colle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FilingsOrders/us/RuleOfProcedureDL/Appendix_3A_StandardProcessesManual_20130626.pdf" TargetMode="External"/><Relationship Id="rId1" Type="http://schemas.openxmlformats.org/officeDocument/2006/relationships/hyperlink" Target="http://www.nerc.com/FilingsOrders/us/RuleOfProcedureDL/Appendix_3A_StandardProcessesManual_201306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C08D5A02AC04F9546F36E0E5190F1" ma:contentTypeVersion="20" ma:contentTypeDescription="Create a new document." ma:contentTypeScope="" ma:versionID="ccbeb8a2b9a607d6c71629b88f62d6e7">
  <xsd:schema xmlns:xsd="http://www.w3.org/2001/XMLSchema" xmlns:xs="http://www.w3.org/2001/XMLSchema" xmlns:p="http://schemas.microsoft.com/office/2006/metadata/properties" xmlns:ns2="d6eefc7d-9817-4fa6-84d5-3bc009be21b8" targetNamespace="http://schemas.microsoft.com/office/2006/metadata/properties" ma:root="true" ma:fieldsID="61d167fcbfad815095c2c334d2d9d70e"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725K</_x0031__x002e__x0020_Collection_x0020_Number>
    <Date xmlns="d6eefc7d-9817-4fa6-84d5-3bc009be21b8">2022-03-30T04:00:00+00:00</Date>
    <Status xmlns="d6eefc7d-9817-4fa6-84d5-3bc009be21b8">Draft</Status>
    <_x0032__x002e__x0020_Docket_x0020_Number xmlns="d6eefc7d-9817-4fa6-84d5-3bc009be21b8">RD22-1</_x0032__x002e__x0020_Docket_x0020_Number>
    <_x0032__x002e__x0020_Collection_x0020_Number xmlns="d6eefc7d-9817-4fa6-84d5-3bc009be21b8" xsi:nil="true"/>
    <_x0031__x002e__x0020_Docket_x0020_Number xmlns="d6eefc7d-9817-4fa6-84d5-3bc009be21b8">IC22-7</_x0031__x002e__x0020_Docket_x0020_Number>
    <_x0033__x002e__x0020_Collection_x0020_Number xmlns="d6eefc7d-9817-4fa6-84d5-3bc009be21b8" xsi:nil="true"/>
  </documentManagement>
</p:properties>
</file>

<file path=customXml/itemProps1.xml><?xml version="1.0" encoding="utf-8"?>
<ds:datastoreItem xmlns:ds="http://schemas.openxmlformats.org/officeDocument/2006/customXml" ds:itemID="{7FB82BF2-6DA2-47CB-B83C-BED03F686F0A}">
  <ds:schemaRefs>
    <ds:schemaRef ds:uri="http://schemas.openxmlformats.org/officeDocument/2006/bibliography"/>
  </ds:schemaRefs>
</ds:datastoreItem>
</file>

<file path=customXml/itemProps2.xml><?xml version="1.0" encoding="utf-8"?>
<ds:datastoreItem xmlns:ds="http://schemas.openxmlformats.org/officeDocument/2006/customXml" ds:itemID="{87D1D8D9-7D66-4B82-8F84-7C686D50719E}">
  <ds:schemaRefs>
    <ds:schemaRef ds:uri="http://schemas.microsoft.com/sharepoint/v3/contenttype/forms"/>
  </ds:schemaRefs>
</ds:datastoreItem>
</file>

<file path=customXml/itemProps3.xml><?xml version="1.0" encoding="utf-8"?>
<ds:datastoreItem xmlns:ds="http://schemas.openxmlformats.org/officeDocument/2006/customXml" ds:itemID="{4B21A4A3-2BDD-4E8D-A840-DBB80866B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5995B-DA6B-4E16-A395-CABD895ECCE6}">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d6eefc7d-9817-4fa6-84d5-3bc009be21b8"/>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FERC-725K supporting statement</vt:lpstr>
    </vt:vector>
  </TitlesOfParts>
  <Company>FERC</Company>
  <LinksUpToDate>false</LinksUpToDate>
  <CharactersWithSpaces>19847</CharactersWithSpaces>
  <SharedDoc>false</SharedDoc>
  <HLinks>
    <vt:vector size="18" baseType="variant">
      <vt:variant>
        <vt:i4>3014692</vt:i4>
      </vt:variant>
      <vt:variant>
        <vt:i4>0</vt:i4>
      </vt:variant>
      <vt:variant>
        <vt:i4>0</vt:i4>
      </vt:variant>
      <vt:variant>
        <vt:i4>5</vt:i4>
      </vt:variant>
      <vt:variant>
        <vt:lpwstr>https://www.ferc.gov/media/information-collections</vt:lpwstr>
      </vt:variant>
      <vt:variant>
        <vt:lpwstr/>
      </vt:variant>
      <vt:variant>
        <vt:i4>589944</vt:i4>
      </vt:variant>
      <vt:variant>
        <vt:i4>3</vt:i4>
      </vt:variant>
      <vt:variant>
        <vt:i4>0</vt:i4>
      </vt:variant>
      <vt:variant>
        <vt:i4>5</vt:i4>
      </vt:variant>
      <vt:variant>
        <vt:lpwstr>http://www.nerc.com/FilingsOrders/us/RuleOfProcedureDL/Appendix_3A_StandardProcessesManual_20130626.pdf</vt:lpwstr>
      </vt:variant>
      <vt:variant>
        <vt:lpwstr/>
      </vt:variant>
      <vt:variant>
        <vt:i4>589944</vt:i4>
      </vt:variant>
      <vt:variant>
        <vt:i4>0</vt:i4>
      </vt:variant>
      <vt:variant>
        <vt:i4>0</vt:i4>
      </vt:variant>
      <vt:variant>
        <vt:i4>5</vt:i4>
      </vt:variant>
      <vt:variant>
        <vt:lpwstr>http://www.nerc.com/FilingsOrders/us/RuleOfProcedureDL/Appendix_3A_StandardProcessesManual_20130626.pdf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FERC-725K supporting statement</dc:title>
  <dc:subject/>
  <dc:creator>Michele Chambers</dc:creator>
  <cp:keywords/>
  <dc:description/>
  <cp:lastModifiedBy>Christopher Kozler</cp:lastModifiedBy>
  <cp:revision>2</cp:revision>
  <cp:lastPrinted>2019-03-19T18:19:00Z</cp:lastPrinted>
  <dcterms:created xsi:type="dcterms:W3CDTF">2022-05-18T20:02:00Z</dcterms:created>
  <dcterms:modified xsi:type="dcterms:W3CDTF">2022-05-18T20:02:00Z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0x010100DCBC08D5A02AC04F9546F36E0E5190F1</vt:lpwstr>
  </property>
  <property fmtid="{D5CDD505-2E9C-101B-9397-08002B2CF9AE}" pid="3" name="MSIP_Label_6155a89b-0f08-4a93-8ea2-8a916d6643b5_Enabled">
    <vt:lpwstr>true</vt:lpwstr>
  </property>
  <property fmtid="{D5CDD505-2E9C-101B-9397-08002B2CF9AE}" pid="4" name="MSIP_Label_6155a89b-0f08-4a93-8ea2-8a916d6643b5_SetDate">
    <vt:lpwstr>2022-03-14T15:19:03Z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4bf88b63-ecbe-4178-b7d8-1f79075584ac</vt:lpwstr>
  </property>
  <property fmtid="{D5CDD505-2E9C-101B-9397-08002B2CF9AE}" pid="9" name="MSIP_Label_6155a89b-0f08-4a93-8ea2-8a916d6643b5_ContentBits">
    <vt:lpwstr>0</vt:lpwstr>
  </property>
  <property fmtid="{D5CDD505-2E9C-101B-9397-08002B2CF9AE}" pid="10" name="Order">
    <vt:r8>1163500</vt:r8>
  </property>
</Properties>
</file>