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43E71" w:rsidP="00F43E71" w:rsidRDefault="00F43E71" w14:paraId="3321286F" w14:textId="77777777">
      <w:pPr>
        <w:autoSpaceDE w:val="0"/>
        <w:autoSpaceDN w:val="0"/>
        <w:adjustRightInd w:val="0"/>
        <w:rPr>
          <w:b/>
          <w:bCs/>
          <w:szCs w:val="24"/>
        </w:rPr>
      </w:pPr>
    </w:p>
    <w:p w:rsidRPr="003F64AA" w:rsidR="00F43E71" w:rsidP="00F43E71" w:rsidRDefault="00F43E71" w14:paraId="1A1907D6" w14:textId="77777777">
      <w:pPr>
        <w:autoSpaceDE w:val="0"/>
        <w:autoSpaceDN w:val="0"/>
        <w:adjustRightInd w:val="0"/>
        <w:jc w:val="center"/>
        <w:outlineLvl w:val="0"/>
        <w:rPr>
          <w:b/>
          <w:bCs/>
          <w:szCs w:val="24"/>
        </w:rPr>
      </w:pPr>
      <w:r w:rsidRPr="003F64AA">
        <w:rPr>
          <w:b/>
          <w:bCs/>
          <w:szCs w:val="24"/>
        </w:rPr>
        <w:t>SUPPORTING STATEMENT – INFORMATION COLLECTION REQUEST</w:t>
      </w:r>
    </w:p>
    <w:p w:rsidRPr="00D00284" w:rsidR="00D00284" w:rsidP="009F332A" w:rsidRDefault="00D00284" w14:paraId="51A6B001" w14:textId="77777777">
      <w:pPr>
        <w:jc w:val="center"/>
        <w:rPr>
          <w:rFonts w:eastAsia="Times New Roman"/>
          <w:szCs w:val="24"/>
        </w:rPr>
      </w:pPr>
      <w:r w:rsidRPr="00D00284">
        <w:rPr>
          <w:rFonts w:eastAsia="Times New Roman"/>
          <w:szCs w:val="24"/>
        </w:rPr>
        <w:t>ICR for the Proposed Rule, Federal Implementation Plan Addressing Regional Ozone Transport for the 2015 Primary Ozone National Ambient Air Quality Standard: Transport Obligations for Electric Generating Units</w:t>
      </w:r>
    </w:p>
    <w:p w:rsidRPr="003F64AA" w:rsidR="00F43E71" w:rsidP="00F43E71" w:rsidRDefault="00F43E71" w14:paraId="4D4E6A98" w14:textId="1D731F55">
      <w:pPr>
        <w:autoSpaceDE w:val="0"/>
        <w:autoSpaceDN w:val="0"/>
        <w:adjustRightInd w:val="0"/>
        <w:jc w:val="center"/>
        <w:rPr>
          <w:b/>
          <w:bCs/>
          <w:szCs w:val="24"/>
        </w:rPr>
      </w:pPr>
    </w:p>
    <w:p w:rsidRPr="003F64AA" w:rsidR="00F43E71" w:rsidP="00F43E71" w:rsidRDefault="00F43E71" w14:paraId="545C187E" w14:textId="77777777">
      <w:pPr>
        <w:autoSpaceDE w:val="0"/>
        <w:autoSpaceDN w:val="0"/>
        <w:adjustRightInd w:val="0"/>
        <w:outlineLvl w:val="0"/>
        <w:rPr>
          <w:b/>
          <w:bCs/>
          <w:szCs w:val="24"/>
        </w:rPr>
      </w:pPr>
      <w:proofErr w:type="gramStart"/>
      <w:r w:rsidRPr="003F64AA">
        <w:rPr>
          <w:b/>
          <w:bCs/>
          <w:szCs w:val="24"/>
        </w:rPr>
        <w:t>1.0  I</w:t>
      </w:r>
      <w:r w:rsidRPr="003F64AA">
        <w:rPr>
          <w:rFonts w:ascii="Times New Roman Bold" w:hAnsi="Times New Roman Bold"/>
          <w:b/>
          <w:bCs/>
          <w:szCs w:val="24"/>
        </w:rPr>
        <w:t>dentification</w:t>
      </w:r>
      <w:proofErr w:type="gramEnd"/>
      <w:r w:rsidRPr="003F64AA">
        <w:rPr>
          <w:rFonts w:ascii="Times New Roman Bold" w:hAnsi="Times New Roman Bold"/>
          <w:b/>
          <w:bCs/>
          <w:szCs w:val="24"/>
        </w:rPr>
        <w:t xml:space="preserve"> of the Information Collection</w:t>
      </w:r>
    </w:p>
    <w:p w:rsidRPr="003F64AA" w:rsidR="00F43E71" w:rsidP="00F43E71" w:rsidRDefault="00F43E71" w14:paraId="6C247A5B" w14:textId="77777777">
      <w:pPr>
        <w:autoSpaceDE w:val="0"/>
        <w:autoSpaceDN w:val="0"/>
        <w:adjustRightInd w:val="0"/>
        <w:rPr>
          <w:b/>
          <w:bCs/>
          <w:szCs w:val="24"/>
        </w:rPr>
      </w:pPr>
    </w:p>
    <w:p w:rsidRPr="003F64AA" w:rsidR="00F43E71" w:rsidP="00F43E71" w:rsidRDefault="00F43E71" w14:paraId="4E76D411" w14:textId="77777777">
      <w:pPr>
        <w:autoSpaceDE w:val="0"/>
        <w:autoSpaceDN w:val="0"/>
        <w:adjustRightInd w:val="0"/>
        <w:ind w:left="360"/>
        <w:outlineLvl w:val="0"/>
        <w:rPr>
          <w:b/>
          <w:bCs/>
          <w:szCs w:val="24"/>
        </w:rPr>
      </w:pPr>
      <w:proofErr w:type="gramStart"/>
      <w:r w:rsidRPr="003F64AA">
        <w:rPr>
          <w:b/>
          <w:bCs/>
          <w:szCs w:val="24"/>
        </w:rPr>
        <w:t>1.1  Title</w:t>
      </w:r>
      <w:proofErr w:type="gramEnd"/>
      <w:r w:rsidRPr="003F64AA">
        <w:rPr>
          <w:b/>
          <w:bCs/>
          <w:szCs w:val="24"/>
        </w:rPr>
        <w:t xml:space="preserve"> of the Information Collection</w:t>
      </w:r>
    </w:p>
    <w:p w:rsidRPr="003F64AA" w:rsidR="00F43E71" w:rsidP="00F43E71" w:rsidRDefault="00F43E71" w14:paraId="3FB2764E" w14:textId="77777777">
      <w:pPr>
        <w:autoSpaceDE w:val="0"/>
        <w:autoSpaceDN w:val="0"/>
        <w:adjustRightInd w:val="0"/>
        <w:ind w:left="360"/>
        <w:rPr>
          <w:b/>
          <w:bCs/>
          <w:szCs w:val="24"/>
        </w:rPr>
      </w:pPr>
    </w:p>
    <w:p w:rsidRPr="009F332A" w:rsidR="009F332A" w:rsidP="009F332A" w:rsidRDefault="00F43E71" w14:paraId="5782EC42" w14:textId="04B31542">
      <w:r w:rsidRPr="003F64AA">
        <w:rPr>
          <w:szCs w:val="24"/>
        </w:rPr>
        <w:tab/>
      </w:r>
      <w:r w:rsidRPr="56106579" w:rsidR="009F332A">
        <w:t>ICR for the Proposed Rule, Federal Implementation Plan Addressing Regional Ozone Transport for the 2015 Primary Ozone National Ambient Air Quality Standard: Transport Obligations for Electric Generating Units</w:t>
      </w:r>
      <w:r w:rsidR="00E148D3">
        <w:rPr>
          <w:szCs w:val="24"/>
        </w:rPr>
        <w:t>.</w:t>
      </w:r>
      <w:r w:rsidR="748FA1D5">
        <w:rPr>
          <w:szCs w:val="24"/>
        </w:rPr>
        <w:t xml:space="preserve"> EPA ICR Number 2709.01, OMB Control Number 2060-NEW. </w:t>
      </w:r>
    </w:p>
    <w:p w:rsidRPr="003F64AA" w:rsidR="00F43E71" w:rsidP="00F43E71" w:rsidRDefault="00F43E71" w14:paraId="63469415" w14:textId="77777777">
      <w:pPr>
        <w:autoSpaceDE w:val="0"/>
        <w:autoSpaceDN w:val="0"/>
        <w:adjustRightInd w:val="0"/>
        <w:rPr>
          <w:b/>
          <w:bCs/>
          <w:szCs w:val="24"/>
        </w:rPr>
      </w:pPr>
    </w:p>
    <w:p w:rsidRPr="003F64AA" w:rsidR="00F43E71" w:rsidP="00F43E71" w:rsidRDefault="00F43E71" w14:paraId="25ABCEEF" w14:textId="77777777">
      <w:pPr>
        <w:autoSpaceDE w:val="0"/>
        <w:autoSpaceDN w:val="0"/>
        <w:adjustRightInd w:val="0"/>
        <w:ind w:left="360"/>
        <w:outlineLvl w:val="0"/>
        <w:rPr>
          <w:b/>
          <w:bCs/>
          <w:szCs w:val="24"/>
        </w:rPr>
      </w:pPr>
      <w:proofErr w:type="gramStart"/>
      <w:r w:rsidRPr="003F64AA">
        <w:rPr>
          <w:b/>
          <w:bCs/>
          <w:szCs w:val="24"/>
        </w:rPr>
        <w:t>1.2  Short</w:t>
      </w:r>
      <w:proofErr w:type="gramEnd"/>
      <w:r w:rsidRPr="003F64AA">
        <w:rPr>
          <w:b/>
          <w:bCs/>
          <w:szCs w:val="24"/>
        </w:rPr>
        <w:t xml:space="preserve"> Characterization / Abstract</w:t>
      </w:r>
    </w:p>
    <w:p w:rsidRPr="003F64AA" w:rsidR="00F43E71" w:rsidP="00F43E71" w:rsidRDefault="00F43E71" w14:paraId="4B2E707A" w14:textId="77777777">
      <w:pPr>
        <w:autoSpaceDE w:val="0"/>
        <w:autoSpaceDN w:val="0"/>
        <w:adjustRightInd w:val="0"/>
        <w:ind w:firstLine="720"/>
        <w:rPr>
          <w:szCs w:val="24"/>
        </w:rPr>
      </w:pPr>
    </w:p>
    <w:p w:rsidR="00F04751" w:rsidP="00F412E0" w:rsidRDefault="00F43E71" w14:paraId="772C5096" w14:textId="49ACD7B1">
      <w:pPr>
        <w:autoSpaceDE w:val="0"/>
        <w:autoSpaceDN w:val="0"/>
        <w:adjustRightInd w:val="0"/>
        <w:ind w:firstLine="720"/>
      </w:pPr>
      <w:r>
        <w:t>The United States Environmental Protection Agency (EPA) is proposing an information collection request (ICR)</w:t>
      </w:r>
      <w:r w:rsidR="00655966">
        <w:t>,</w:t>
      </w:r>
      <w:r w:rsidR="00C83E68">
        <w:t xml:space="preserve"> </w:t>
      </w:r>
      <w:r w:rsidR="00655966">
        <w:t>related specifically to electric generating units</w:t>
      </w:r>
      <w:r w:rsidR="0026691C">
        <w:t xml:space="preserve"> (EGU)</w:t>
      </w:r>
      <w:r w:rsidR="00655966">
        <w:t xml:space="preserve">, </w:t>
      </w:r>
      <w:r w:rsidR="00C83E68">
        <w:t xml:space="preserve">for the </w:t>
      </w:r>
      <w:r w:rsidR="00423105">
        <w:t>proposed</w:t>
      </w:r>
      <w:r w:rsidR="00C83E68">
        <w:t xml:space="preserve"> Federal Implementation Plan Addressing Regional Ozone Transport for the 2015 Primary Ozone National Ambient Air Quality Standard.</w:t>
      </w:r>
      <w:r>
        <w:t xml:space="preserve"> </w:t>
      </w:r>
      <w:r w:rsidR="001A26BF">
        <w:t xml:space="preserve">The proposed rule would amend </w:t>
      </w:r>
      <w:r w:rsidR="00EC2980">
        <w:t>the Cross</w:t>
      </w:r>
      <w:r w:rsidR="00E558A8">
        <w:t>-State Air Pollution Rule (CSAPR)</w:t>
      </w:r>
      <w:r w:rsidR="00804CF2">
        <w:t xml:space="preserve"> </w:t>
      </w:r>
      <w:r w:rsidRPr="003F64AA" w:rsidR="00251A6F">
        <w:rPr>
          <w:szCs w:val="24"/>
        </w:rPr>
        <w:t>NO</w:t>
      </w:r>
      <w:r w:rsidRPr="003F64AA" w:rsidR="00251A6F">
        <w:rPr>
          <w:szCs w:val="24"/>
          <w:vertAlign w:val="subscript"/>
        </w:rPr>
        <w:t>X</w:t>
      </w:r>
      <w:r w:rsidR="004A54FC">
        <w:rPr>
          <w:vertAlign w:val="subscript"/>
        </w:rPr>
        <w:t xml:space="preserve"> </w:t>
      </w:r>
      <w:r w:rsidR="004A54FC">
        <w:t xml:space="preserve">Ozone Season </w:t>
      </w:r>
      <w:r w:rsidR="00735EB0">
        <w:t xml:space="preserve">Group 3 trading program </w:t>
      </w:r>
      <w:r w:rsidR="006113F0">
        <w:t xml:space="preserve">addressing </w:t>
      </w:r>
      <w:r w:rsidR="00A92D0A">
        <w:t>season</w:t>
      </w:r>
      <w:r w:rsidR="5463E8F9">
        <w:t>al</w:t>
      </w:r>
      <w:r w:rsidR="00A92D0A">
        <w:t xml:space="preserve"> </w:t>
      </w:r>
      <w:r w:rsidRPr="003F64AA" w:rsidR="00251A6F">
        <w:rPr>
          <w:szCs w:val="24"/>
        </w:rPr>
        <w:t>NO</w:t>
      </w:r>
      <w:r w:rsidRPr="003F64AA" w:rsidR="00251A6F">
        <w:rPr>
          <w:szCs w:val="24"/>
          <w:vertAlign w:val="subscript"/>
        </w:rPr>
        <w:t>X</w:t>
      </w:r>
      <w:r w:rsidR="00A92D0A">
        <w:t xml:space="preserve"> </w:t>
      </w:r>
      <w:r w:rsidR="006E63FF">
        <w:t xml:space="preserve">emissions </w:t>
      </w:r>
      <w:r w:rsidR="00E27EED">
        <w:t>in various states</w:t>
      </w:r>
      <w:r w:rsidR="00D84E1C">
        <w:t xml:space="preserve">. </w:t>
      </w:r>
      <w:r>
        <w:t xml:space="preserve">Under the proposed </w:t>
      </w:r>
      <w:r w:rsidR="00793DD7">
        <w:t>rule</w:t>
      </w:r>
      <w:r>
        <w:t>, all EGU sources in the original twelve Group 3 states (Illinois, Indiana, Kentucky, Louisiana, Maryland, Michigan, New Jersey, New York, Ohio, Pennsylvania, Virginia, and West Virginia) w</w:t>
      </w:r>
      <w:r w:rsidR="00677F89">
        <w:t>ould</w:t>
      </w:r>
      <w:r>
        <w:t xml:space="preserve"> remain. Additionally, EGU sources in </w:t>
      </w:r>
      <w:r w:rsidRPr="6B9F3142">
        <w:rPr>
          <w:color w:val="000000" w:themeColor="text1"/>
        </w:rPr>
        <w:t>eight states (</w:t>
      </w:r>
      <w:r>
        <w:t>Alabama, Arkansas, Mississippi, Missouri, Oklahoma, Tennessee, Texas, and Wisconsin)</w:t>
      </w:r>
      <w:r w:rsidRPr="6B9F3142">
        <w:rPr>
          <w:color w:val="000000" w:themeColor="text1"/>
        </w:rPr>
        <w:t xml:space="preserve"> currently covered by the CSAPR NO</w:t>
      </w:r>
      <w:r w:rsidRPr="6B9F3142">
        <w:rPr>
          <w:color w:val="000000" w:themeColor="text1"/>
          <w:vertAlign w:val="subscript"/>
        </w:rPr>
        <w:t>X</w:t>
      </w:r>
      <w:r w:rsidRPr="6B9F3142">
        <w:rPr>
          <w:color w:val="000000" w:themeColor="text1"/>
        </w:rPr>
        <w:t xml:space="preserve"> Ozone Season Group 2 Trading Program would transition from the Group 2 program to the revised Group 3 trading program beginning with the 2023 ozone season. Further, sources in five states not currently covered by any CSAPR NO</w:t>
      </w:r>
      <w:r w:rsidRPr="6B9F3142">
        <w:rPr>
          <w:color w:val="000000" w:themeColor="text1"/>
          <w:vertAlign w:val="subscript"/>
        </w:rPr>
        <w:t>X</w:t>
      </w:r>
      <w:r w:rsidRPr="6B9F3142">
        <w:rPr>
          <w:color w:val="000000" w:themeColor="text1"/>
        </w:rPr>
        <w:t xml:space="preserve"> ozone season trading program</w:t>
      </w:r>
      <w:r>
        <w:rPr>
          <w:color w:val="000000" w:themeColor="text1"/>
        </w:rPr>
        <w:t xml:space="preserve"> would join the revised Group 3 trading program</w:t>
      </w:r>
      <w:r w:rsidRPr="6B9F3142">
        <w:rPr>
          <w:color w:val="000000" w:themeColor="text1"/>
        </w:rPr>
        <w:t xml:space="preserve">: Delaware, Minnesota, Nevada, Utah, and Wyoming. </w:t>
      </w:r>
      <w:r>
        <w:t>In total, EGU sources in 25 states w</w:t>
      </w:r>
      <w:r w:rsidR="00E8742D">
        <w:t>ould</w:t>
      </w:r>
      <w:r>
        <w:t xml:space="preserve"> be covered by the Group 3 program.</w:t>
      </w:r>
      <w:r w:rsidR="00572563">
        <w:t xml:space="preserve"> </w:t>
      </w:r>
    </w:p>
    <w:p w:rsidR="00F04751" w:rsidP="00F412E0" w:rsidRDefault="00F04751" w14:paraId="30AEC6B1" w14:textId="77777777">
      <w:pPr>
        <w:autoSpaceDE w:val="0"/>
        <w:autoSpaceDN w:val="0"/>
        <w:adjustRightInd w:val="0"/>
        <w:ind w:firstLine="720"/>
      </w:pPr>
    </w:p>
    <w:p w:rsidR="00F43E71" w:rsidP="00F412E0" w:rsidRDefault="00572563" w14:paraId="2EB18C58" w14:textId="02D39B07">
      <w:pPr>
        <w:autoSpaceDE w:val="0"/>
        <w:autoSpaceDN w:val="0"/>
        <w:adjustRightInd w:val="0"/>
        <w:ind w:firstLine="720"/>
      </w:pPr>
      <w:r>
        <w:t xml:space="preserve">There is an existing ICR (OMB Control Number </w:t>
      </w:r>
      <w:r w:rsidRPr="7EDF893D">
        <w:rPr>
          <w:color w:val="000000" w:themeColor="text1"/>
        </w:rPr>
        <w:t>2060-0667</w:t>
      </w:r>
      <w:r>
        <w:t xml:space="preserve">), that includes information collection requirements placed on EGU sources for </w:t>
      </w:r>
      <w:r w:rsidR="0098141A">
        <w:t xml:space="preserve">the </w:t>
      </w:r>
      <w:r>
        <w:t>six Cross-State Air Pollution Rule (CSAPR) trading programs addressing sulfur dioxide (SO</w:t>
      </w:r>
      <w:r w:rsidRPr="6B9F3142">
        <w:rPr>
          <w:vertAlign w:val="subscript"/>
        </w:rPr>
        <w:t>2</w:t>
      </w:r>
      <w:r>
        <w:t xml:space="preserve">) emissions, annual nitrogen oxides </w:t>
      </w:r>
      <w:r w:rsidR="00697B3D">
        <w:t>(</w:t>
      </w:r>
      <w:r w:rsidRPr="003F64AA" w:rsidR="00F2621D">
        <w:rPr>
          <w:szCs w:val="24"/>
        </w:rPr>
        <w:t>NO</w:t>
      </w:r>
      <w:r w:rsidRPr="003F64AA" w:rsidR="00F2621D">
        <w:rPr>
          <w:szCs w:val="24"/>
          <w:vertAlign w:val="subscript"/>
        </w:rPr>
        <w:t>X</w:t>
      </w:r>
      <w:r>
        <w:t xml:space="preserve">) emissions, or seasonal </w:t>
      </w:r>
      <w:r w:rsidR="00697B3D">
        <w:t>NO</w:t>
      </w:r>
      <w:r w:rsidRPr="00B76809" w:rsidR="00697B3D">
        <w:rPr>
          <w:vertAlign w:val="subscript"/>
        </w:rPr>
        <w:t>x</w:t>
      </w:r>
      <w:r>
        <w:t xml:space="preserve"> emissions in various sets of states, and the Texas SO</w:t>
      </w:r>
      <w:r w:rsidRPr="6B9F3142">
        <w:rPr>
          <w:vertAlign w:val="subscript"/>
        </w:rPr>
        <w:t>2</w:t>
      </w:r>
      <w:r>
        <w:t xml:space="preserve"> trading program which is modeled after CSAPR.</w:t>
      </w:r>
      <w:r w:rsidR="00D83E5A">
        <w:t xml:space="preserve"> </w:t>
      </w:r>
      <w:r w:rsidR="00862D79">
        <w:t xml:space="preserve">This ICR accounts for the </w:t>
      </w:r>
      <w:r w:rsidR="0003049D">
        <w:t xml:space="preserve">additional </w:t>
      </w:r>
      <w:r w:rsidR="00862D79">
        <w:t xml:space="preserve">respondent burden </w:t>
      </w:r>
      <w:r w:rsidR="00044076">
        <w:t xml:space="preserve">related to the amendments to the CSAPR </w:t>
      </w:r>
      <w:r w:rsidRPr="003F64AA" w:rsidR="00251A6F">
        <w:rPr>
          <w:szCs w:val="24"/>
        </w:rPr>
        <w:t>NO</w:t>
      </w:r>
      <w:r w:rsidRPr="003F64AA" w:rsidR="00251A6F">
        <w:rPr>
          <w:szCs w:val="24"/>
          <w:vertAlign w:val="subscript"/>
        </w:rPr>
        <w:t>X</w:t>
      </w:r>
      <w:r w:rsidR="006D634C">
        <w:t xml:space="preserve"> Ozone Group 3 trading program. </w:t>
      </w:r>
    </w:p>
    <w:p w:rsidR="00F43E71" w:rsidP="00F43E71" w:rsidRDefault="00F43E71" w14:paraId="6C61C67C" w14:textId="77777777">
      <w:pPr>
        <w:autoSpaceDE w:val="0"/>
        <w:autoSpaceDN w:val="0"/>
        <w:adjustRightInd w:val="0"/>
        <w:ind w:firstLine="720"/>
        <w:rPr>
          <w:szCs w:val="24"/>
        </w:rPr>
      </w:pPr>
    </w:p>
    <w:p w:rsidR="00F43E71" w:rsidP="00F412E0" w:rsidRDefault="00F43E71" w14:paraId="7E087DED" w14:textId="77777777">
      <w:pPr>
        <w:autoSpaceDE w:val="0"/>
        <w:autoSpaceDN w:val="0"/>
        <w:adjustRightInd w:val="0"/>
        <w:ind w:firstLine="720"/>
        <w:rPr>
          <w:szCs w:val="24"/>
        </w:rPr>
      </w:pPr>
      <w:r>
        <w:rPr>
          <w:szCs w:val="24"/>
        </w:rPr>
        <w:t>The principal information collection requirements under the CSAPR and Texas trading programs relate to the monitoring and reporting of emissions and associated data in accordance with 40 CFR part 75. Other information collection requirements under the programs concern the submittal of information necessary to allocate and transfer emission allowances and the submittal of certificates of representation and other typically one-time registration forms.</w:t>
      </w:r>
    </w:p>
    <w:p w:rsidR="00F43E71" w:rsidP="00F43E71" w:rsidRDefault="00F43E71" w14:paraId="26D3E91B" w14:textId="77777777">
      <w:pPr>
        <w:autoSpaceDE w:val="0"/>
        <w:autoSpaceDN w:val="0"/>
        <w:adjustRightInd w:val="0"/>
        <w:ind w:firstLine="720"/>
        <w:rPr>
          <w:szCs w:val="24"/>
        </w:rPr>
      </w:pPr>
    </w:p>
    <w:p w:rsidR="00F43E71" w:rsidP="00F412E0" w:rsidRDefault="00F43E71" w14:paraId="2AA27BF7" w14:textId="530421DF">
      <w:pPr>
        <w:autoSpaceDE w:val="0"/>
        <w:autoSpaceDN w:val="0"/>
        <w:adjustRightInd w:val="0"/>
        <w:ind w:firstLine="720"/>
        <w:rPr>
          <w:szCs w:val="24"/>
        </w:rPr>
      </w:pPr>
      <w:r>
        <w:rPr>
          <w:szCs w:val="24"/>
        </w:rPr>
        <w:t xml:space="preserve">Affected sources under the CSAPR and Texas trading programs are generally stationary, fossil fuel-fired boilers and combustion turbines serving generators larger than 25 megawatts </w:t>
      </w:r>
      <w:r>
        <w:rPr>
          <w:szCs w:val="24"/>
        </w:rPr>
        <w:lastRenderedPageBreak/>
        <w:t>(MW) producing electricity for sal</w:t>
      </w:r>
      <w:r w:rsidRPr="00C45AB9">
        <w:rPr>
          <w:szCs w:val="24"/>
        </w:rPr>
        <w:t>e.</w:t>
      </w:r>
      <w:r>
        <w:rPr>
          <w:szCs w:val="24"/>
        </w:rPr>
        <w:t xml:space="preserve"> Most of these affected sources are also subject to the Acid Rain Program (ARP). The information collection requirements under the CSAPR and Texas trading programs and the ARP substantially overlap and are fully integrated. The burden and costs of overlapping requirements are accounted for in the ARP ICR (OMB Control Number 2060-0258). </w:t>
      </w:r>
      <w:r w:rsidR="00B76868">
        <w:rPr>
          <w:szCs w:val="24"/>
        </w:rPr>
        <w:t xml:space="preserve">Thus, this </w:t>
      </w:r>
      <w:r>
        <w:rPr>
          <w:szCs w:val="24"/>
        </w:rPr>
        <w:t xml:space="preserve">ICR accounts for information collection burden and costs under the CSAPR </w:t>
      </w:r>
      <w:r w:rsidR="002B3516">
        <w:rPr>
          <w:szCs w:val="24"/>
        </w:rPr>
        <w:t>NO</w:t>
      </w:r>
      <w:r w:rsidR="00915836">
        <w:rPr>
          <w:szCs w:val="24"/>
          <w:vertAlign w:val="subscript"/>
        </w:rPr>
        <w:t xml:space="preserve">x </w:t>
      </w:r>
      <w:r w:rsidR="00915836">
        <w:rPr>
          <w:szCs w:val="24"/>
        </w:rPr>
        <w:t xml:space="preserve">Ozone Season Group 3 trading </w:t>
      </w:r>
      <w:r w:rsidR="00FE23D2">
        <w:rPr>
          <w:szCs w:val="24"/>
        </w:rPr>
        <w:t xml:space="preserve">program </w:t>
      </w:r>
      <w:r>
        <w:rPr>
          <w:szCs w:val="24"/>
        </w:rPr>
        <w:t>that are incremental to the burden and costs already accounted for in</w:t>
      </w:r>
      <w:r w:rsidR="00B76868">
        <w:rPr>
          <w:szCs w:val="24"/>
        </w:rPr>
        <w:t xml:space="preserve"> both</w:t>
      </w:r>
      <w:r>
        <w:rPr>
          <w:szCs w:val="24"/>
        </w:rPr>
        <w:t xml:space="preserve"> the ARP </w:t>
      </w:r>
      <w:r w:rsidR="004C513E">
        <w:rPr>
          <w:szCs w:val="24"/>
        </w:rPr>
        <w:t xml:space="preserve">and CSAPR </w:t>
      </w:r>
      <w:r>
        <w:rPr>
          <w:szCs w:val="24"/>
        </w:rPr>
        <w:t>ICR</w:t>
      </w:r>
      <w:r w:rsidR="004C513E">
        <w:rPr>
          <w:szCs w:val="24"/>
        </w:rPr>
        <w:t>s</w:t>
      </w:r>
      <w:r>
        <w:rPr>
          <w:szCs w:val="24"/>
        </w:rPr>
        <w:t>.</w:t>
      </w:r>
    </w:p>
    <w:p w:rsidR="00F43E71" w:rsidP="00F43E71" w:rsidRDefault="00F43E71" w14:paraId="68E4F848" w14:textId="3315D71F">
      <w:pPr>
        <w:autoSpaceDE w:val="0"/>
        <w:autoSpaceDN w:val="0"/>
        <w:adjustRightInd w:val="0"/>
        <w:ind w:firstLine="720"/>
        <w:rPr>
          <w:szCs w:val="24"/>
        </w:rPr>
      </w:pPr>
    </w:p>
    <w:p w:rsidR="00F43E71" w:rsidP="00F43E71" w:rsidRDefault="00F43E71" w14:paraId="618F88FB" w14:textId="52672A8A">
      <w:pPr>
        <w:autoSpaceDE w:val="0"/>
        <w:autoSpaceDN w:val="0"/>
        <w:adjustRightInd w:val="0"/>
        <w:ind w:firstLine="720"/>
      </w:pPr>
      <w:r>
        <w:t xml:space="preserve">For </w:t>
      </w:r>
      <w:r w:rsidR="00FF2CEA">
        <w:t xml:space="preserve">most </w:t>
      </w:r>
      <w:r>
        <w:t xml:space="preserve">sources already reporting data under </w:t>
      </w:r>
      <w:r w:rsidR="00B21F26">
        <w:t xml:space="preserve">the </w:t>
      </w:r>
      <w:r>
        <w:t xml:space="preserve">CSAPR </w:t>
      </w:r>
      <w:r w:rsidR="00697B3D">
        <w:t>NO</w:t>
      </w:r>
      <w:r w:rsidRPr="24CF6A80" w:rsidR="00697B3D">
        <w:rPr>
          <w:vertAlign w:val="subscript"/>
        </w:rPr>
        <w:t>X</w:t>
      </w:r>
      <w:r>
        <w:t xml:space="preserve"> Ozone Season Group 3 </w:t>
      </w:r>
      <w:r w:rsidR="00B21F26">
        <w:t>or CSAPR NO</w:t>
      </w:r>
      <w:r w:rsidRPr="24CF6A80" w:rsidR="00B21F26">
        <w:rPr>
          <w:vertAlign w:val="subscript"/>
        </w:rPr>
        <w:t>x</w:t>
      </w:r>
      <w:r w:rsidR="00B21F26">
        <w:t xml:space="preserve"> Ozone Group 2 trading programs, </w:t>
      </w:r>
      <w:r>
        <w:t xml:space="preserve">there </w:t>
      </w:r>
      <w:r w:rsidR="00435652">
        <w:t>would be</w:t>
      </w:r>
      <w:r>
        <w:t xml:space="preserve"> no incremental burden or cost</w:t>
      </w:r>
      <w:r w:rsidR="006B5D95">
        <w:t xml:space="preserve">, </w:t>
      </w:r>
      <w:r w:rsidR="00B37398">
        <w:t>as reporting requirements will remain identical</w:t>
      </w:r>
      <w:r>
        <w:t xml:space="preserve">. </w:t>
      </w:r>
      <w:r w:rsidRPr="00BA7D07" w:rsidR="00881473">
        <w:t>Certain sources</w:t>
      </w:r>
      <w:r w:rsidRPr="00BA7D07" w:rsidR="007A4EA3">
        <w:t xml:space="preserve"> with a common st</w:t>
      </w:r>
      <w:r w:rsidRPr="00BA7D07" w:rsidR="7568761C">
        <w:t>a</w:t>
      </w:r>
      <w:r w:rsidRPr="00BA7D07" w:rsidR="007A4EA3">
        <w:t>ck confi</w:t>
      </w:r>
      <w:r w:rsidRPr="00BA7D07" w:rsidR="00CF244E">
        <w:t xml:space="preserve">guration </w:t>
      </w:r>
      <w:r w:rsidRPr="00BA7D07" w:rsidR="00135B30">
        <w:t>and</w:t>
      </w:r>
      <w:r w:rsidRPr="00BA7D07" w:rsidR="00996216">
        <w:t>/or</w:t>
      </w:r>
      <w:r w:rsidRPr="00BA7D07" w:rsidR="00135B30">
        <w:t xml:space="preserve"> </w:t>
      </w:r>
      <w:r w:rsidRPr="00BA7D07" w:rsidR="003E50B9">
        <w:t xml:space="preserve">those </w:t>
      </w:r>
      <w:r w:rsidRPr="00BA7D07" w:rsidR="00DB2685">
        <w:t>that are</w:t>
      </w:r>
      <w:r w:rsidRPr="00BA7D07" w:rsidR="003E50B9">
        <w:t xml:space="preserve"> </w:t>
      </w:r>
      <w:r w:rsidRPr="00BA7D07" w:rsidR="003D0626">
        <w:t xml:space="preserve">large, </w:t>
      </w:r>
      <w:proofErr w:type="gramStart"/>
      <w:r w:rsidRPr="00BA7D07" w:rsidR="003D0626">
        <w:t>coal-fired</w:t>
      </w:r>
      <w:proofErr w:type="gramEnd"/>
      <w:r w:rsidRPr="00BA7D07" w:rsidR="003D0626">
        <w:t xml:space="preserve"> </w:t>
      </w:r>
      <w:r w:rsidRPr="00BA7D07" w:rsidR="00E17ADC">
        <w:t>EGU</w:t>
      </w:r>
      <w:r w:rsidRPr="00BA7D07" w:rsidR="003D0626">
        <w:t>s,</w:t>
      </w:r>
      <w:r w:rsidR="003D0626">
        <w:t xml:space="preserve"> </w:t>
      </w:r>
      <w:r w:rsidR="00F33720">
        <w:t xml:space="preserve">will be subject to additional </w:t>
      </w:r>
      <w:r w:rsidR="00E17ADC">
        <w:t>emission reporting requirements under the proposed rule</w:t>
      </w:r>
      <w:r w:rsidR="00096698">
        <w:t xml:space="preserve">. These sources </w:t>
      </w:r>
      <w:r w:rsidR="00480519">
        <w:t xml:space="preserve">will need to make </w:t>
      </w:r>
      <w:r w:rsidR="001F55ED">
        <w:t xml:space="preserve">a one-time monitoring plan and </w:t>
      </w:r>
      <w:r w:rsidR="008F6802">
        <w:t xml:space="preserve">Data Acquisition and Handling </w:t>
      </w:r>
      <w:r w:rsidR="00CE32EE">
        <w:t>System (DAHS) update</w:t>
      </w:r>
      <w:r w:rsidR="00121367">
        <w:t xml:space="preserve"> </w:t>
      </w:r>
      <w:r w:rsidR="00D74090">
        <w:t xml:space="preserve">to meet the additional reporting requirements. </w:t>
      </w:r>
      <w:r>
        <w:t xml:space="preserve">Remaining for assessment of incremental cost and burden are only those sources in the five states not currently reporting data under a CSAPR </w:t>
      </w:r>
      <w:r w:rsidR="00E247A9">
        <w:t>NO</w:t>
      </w:r>
      <w:r w:rsidRPr="24CF6A80" w:rsidR="00E247A9">
        <w:rPr>
          <w:vertAlign w:val="subscript"/>
        </w:rPr>
        <w:t>X</w:t>
      </w:r>
      <w:r>
        <w:t xml:space="preserve"> Ozone Season program. Sources in Minnesota are already reporting data for the CSAPR</w:t>
      </w:r>
      <w:r w:rsidR="00E247A9">
        <w:t xml:space="preserve"> NO</w:t>
      </w:r>
      <w:r w:rsidRPr="24CF6A80" w:rsidR="00E247A9">
        <w:rPr>
          <w:vertAlign w:val="subscript"/>
        </w:rPr>
        <w:t>X</w:t>
      </w:r>
      <w:r w:rsidR="00E247A9">
        <w:t xml:space="preserve"> </w:t>
      </w:r>
      <w:r>
        <w:t xml:space="preserve">Annual program with almost identical information collection requirements, requiring only a one-time monitoring plan and DAHS update. Most of the affected sources in Delaware, Nevada, Utah, and Wyoming are already reporting data as part of the Acid Rain Program, thus only requiring a monitoring plan and DAHS update as well. Four additional EGUs in Delaware already report data under SIP requirements adopted to meet the </w:t>
      </w:r>
      <w:r w:rsidR="005D4CAD">
        <w:t>NO</w:t>
      </w:r>
      <w:r w:rsidRPr="24CF6A80" w:rsidR="005D4CAD">
        <w:rPr>
          <w:vertAlign w:val="subscript"/>
        </w:rPr>
        <w:t>X</w:t>
      </w:r>
      <w:r>
        <w:t xml:space="preserve"> SIP Call and would face identical information requirements under this proposal. For the units that already report to EPA under the Acid Rain Program or the </w:t>
      </w:r>
      <w:r w:rsidR="005D4CAD">
        <w:t>NO</w:t>
      </w:r>
      <w:r w:rsidRPr="24CF6A80" w:rsidR="005D4CAD">
        <w:rPr>
          <w:vertAlign w:val="subscript"/>
        </w:rPr>
        <w:t>X</w:t>
      </w:r>
      <w:r w:rsidR="005E13B4">
        <w:t xml:space="preserve"> </w:t>
      </w:r>
      <w:r>
        <w:t xml:space="preserve">SIP Call, with the exception of any one-time costs to update monitoring plans and DAHS, all information collection </w:t>
      </w:r>
      <w:proofErr w:type="gramStart"/>
      <w:r>
        <w:t>costs</w:t>
      </w:r>
      <w:proofErr w:type="gramEnd"/>
      <w:r>
        <w:t xml:space="preserve"> and burden are already reflected in the previously approved ICRs for those other rules (OMB Control Nos. 2060-0258 and 2060-0445).</w:t>
      </w:r>
    </w:p>
    <w:p w:rsidR="00F43E71" w:rsidP="00F43E71" w:rsidRDefault="00F43E71" w14:paraId="5A86EE75" w14:textId="77777777">
      <w:pPr>
        <w:autoSpaceDE w:val="0"/>
        <w:autoSpaceDN w:val="0"/>
        <w:adjustRightInd w:val="0"/>
      </w:pPr>
    </w:p>
    <w:p w:rsidR="00F43E71" w:rsidP="00976360" w:rsidRDefault="00F43E71" w14:paraId="0576E037" w14:textId="374EE35B">
      <w:pPr>
        <w:autoSpaceDE w:val="0"/>
        <w:autoSpaceDN w:val="0"/>
        <w:adjustRightInd w:val="0"/>
        <w:ind w:firstLine="720"/>
      </w:pPr>
      <w:r>
        <w:t>In total, there are an estimated 16 units in Delaware, Nevada, Utah, and Wyoming that do not already report data to EPA according to 40 CFR part 75 and that w</w:t>
      </w:r>
      <w:r w:rsidR="006B27C4">
        <w:t>ould</w:t>
      </w:r>
      <w:r>
        <w:t xml:space="preserve"> need to implement one of the Part 75 monitoring methodologies</w:t>
      </w:r>
      <w:r w:rsidR="0041710C">
        <w:t>,</w:t>
      </w:r>
      <w:r>
        <w:t xml:space="preserve"> including certification of monitoring systems or implementation of the low mass emissions methodology. </w:t>
      </w:r>
      <w:r w:rsidRPr="00976360">
        <w:t>These units w</w:t>
      </w:r>
      <w:r w:rsidR="006B27C4">
        <w:t>ould</w:t>
      </w:r>
      <w:r w:rsidRPr="00976360">
        <w:t xml:space="preserve"> also require monitoring plan and DAHS </w:t>
      </w:r>
      <w:r w:rsidRPr="00976360" w:rsidR="00976360">
        <w:t>updates</w:t>
      </w:r>
      <w:r w:rsidRPr="00976360">
        <w:t>.</w:t>
      </w:r>
      <w:r>
        <w:t xml:space="preserve"> </w:t>
      </w:r>
    </w:p>
    <w:p w:rsidR="00F43E71" w:rsidP="00F43E71" w:rsidRDefault="00F43E71" w14:paraId="3C844C10" w14:textId="77777777">
      <w:pPr>
        <w:autoSpaceDE w:val="0"/>
        <w:autoSpaceDN w:val="0"/>
        <w:adjustRightInd w:val="0"/>
      </w:pPr>
    </w:p>
    <w:p w:rsidR="00F43E71" w:rsidP="00976360" w:rsidRDefault="00F43E71" w14:paraId="3A66D07D" w14:textId="0293D6F5">
      <w:pPr>
        <w:autoSpaceDE w:val="0"/>
        <w:autoSpaceDN w:val="0"/>
        <w:adjustRightInd w:val="0"/>
        <w:ind w:firstLine="720"/>
      </w:pPr>
      <w:r>
        <w:t xml:space="preserve">Of these sixteen units, two units </w:t>
      </w:r>
      <w:r w:rsidR="0039417E">
        <w:t xml:space="preserve">would be </w:t>
      </w:r>
      <w:r>
        <w:t xml:space="preserve">expected to adopt low mass emissions (LME) as the monitoring method, thirteen </w:t>
      </w:r>
      <w:r w:rsidR="0039417E">
        <w:t xml:space="preserve">would be </w:t>
      </w:r>
      <w:r>
        <w:t xml:space="preserve">expected to adopt Appendix D monitoring methods, and one </w:t>
      </w:r>
      <w:r w:rsidR="0039417E">
        <w:t xml:space="preserve">would be </w:t>
      </w:r>
      <w:r>
        <w:t>expected to adopt CEMS monitoring methods.</w:t>
      </w:r>
    </w:p>
    <w:p w:rsidRPr="003F64AA" w:rsidR="00F43E71" w:rsidP="00302450" w:rsidRDefault="00F43E71" w14:paraId="121E0ECB" w14:textId="3BB00CFE">
      <w:pPr>
        <w:autoSpaceDE w:val="0"/>
        <w:autoSpaceDN w:val="0"/>
        <w:adjustRightInd w:val="0"/>
        <w:rPr>
          <w:szCs w:val="24"/>
        </w:rPr>
      </w:pPr>
    </w:p>
    <w:p w:rsidRPr="003F64AA" w:rsidR="00F43E71" w:rsidP="00F43E71" w:rsidRDefault="00F43E71" w14:paraId="262A3167" w14:textId="77777777">
      <w:pPr>
        <w:keepNext/>
        <w:autoSpaceDE w:val="0"/>
        <w:autoSpaceDN w:val="0"/>
        <w:adjustRightInd w:val="0"/>
        <w:outlineLvl w:val="0"/>
        <w:rPr>
          <w:b/>
          <w:bCs/>
          <w:szCs w:val="24"/>
        </w:rPr>
      </w:pPr>
      <w:proofErr w:type="gramStart"/>
      <w:r w:rsidRPr="003F64AA">
        <w:rPr>
          <w:b/>
          <w:bCs/>
          <w:szCs w:val="24"/>
        </w:rPr>
        <w:t>2.0  Need</w:t>
      </w:r>
      <w:proofErr w:type="gramEnd"/>
      <w:r w:rsidRPr="003F64AA">
        <w:rPr>
          <w:b/>
          <w:bCs/>
          <w:szCs w:val="24"/>
        </w:rPr>
        <w:t xml:space="preserve"> for and Use of the Collection</w:t>
      </w:r>
    </w:p>
    <w:p w:rsidRPr="003F64AA" w:rsidR="00F43E71" w:rsidP="00F43E71" w:rsidRDefault="00F43E71" w14:paraId="3BB603FA" w14:textId="77777777">
      <w:pPr>
        <w:keepNext/>
        <w:autoSpaceDE w:val="0"/>
        <w:autoSpaceDN w:val="0"/>
        <w:adjustRightInd w:val="0"/>
        <w:rPr>
          <w:b/>
          <w:bCs/>
          <w:szCs w:val="24"/>
        </w:rPr>
      </w:pPr>
    </w:p>
    <w:p w:rsidRPr="003F64AA" w:rsidR="00F43E71" w:rsidP="00F43E71" w:rsidRDefault="00F43E71" w14:paraId="50C35334" w14:textId="77777777">
      <w:pPr>
        <w:keepNext/>
        <w:autoSpaceDE w:val="0"/>
        <w:autoSpaceDN w:val="0"/>
        <w:adjustRightInd w:val="0"/>
        <w:ind w:left="360"/>
        <w:rPr>
          <w:b/>
          <w:bCs/>
          <w:szCs w:val="24"/>
        </w:rPr>
      </w:pPr>
      <w:proofErr w:type="gramStart"/>
      <w:r w:rsidRPr="003F64AA">
        <w:rPr>
          <w:b/>
          <w:bCs/>
          <w:szCs w:val="24"/>
        </w:rPr>
        <w:t>2.1  Need</w:t>
      </w:r>
      <w:proofErr w:type="gramEnd"/>
      <w:r w:rsidRPr="003F64AA">
        <w:rPr>
          <w:b/>
          <w:bCs/>
          <w:szCs w:val="24"/>
        </w:rPr>
        <w:t xml:space="preserve"> / Authority for the Collection</w:t>
      </w:r>
    </w:p>
    <w:p w:rsidRPr="003F64AA" w:rsidR="00F43E71" w:rsidP="00F43E71" w:rsidRDefault="00F43E71" w14:paraId="705BD35F" w14:textId="77777777">
      <w:pPr>
        <w:keepNext/>
        <w:autoSpaceDE w:val="0"/>
        <w:autoSpaceDN w:val="0"/>
        <w:adjustRightInd w:val="0"/>
        <w:rPr>
          <w:b/>
          <w:bCs/>
          <w:szCs w:val="24"/>
        </w:rPr>
      </w:pPr>
    </w:p>
    <w:p w:rsidRPr="003F64AA" w:rsidR="00F43E71" w:rsidP="00F43E71" w:rsidRDefault="00F43E71" w14:paraId="0DC8C96B" w14:textId="71C1E910">
      <w:pPr>
        <w:keepNext/>
        <w:autoSpaceDE w:val="0"/>
        <w:autoSpaceDN w:val="0"/>
        <w:adjustRightInd w:val="0"/>
        <w:ind w:firstLine="720"/>
      </w:pPr>
      <w:r>
        <w:t xml:space="preserve">Emissions data are of vital importance to EPA for fulfilling a host of monitoring, standard-setting, rulemaking, reviewing, and reporting duties. Allowance-related data are essential elements of regulatory approaches that use allowance trading as a mechanism to reduce the cost of achieving environmental objectives. Certificates of representation and other registration forms are needed to ensure authoritative and timely action by sources within the deadlines essential to operation of an effective allowance trading program, to relieve retired </w:t>
      </w:r>
      <w:r>
        <w:lastRenderedPageBreak/>
        <w:t xml:space="preserve">sources of compliance requirements, and to enable non-source entities to participate in allowance trading activities. </w:t>
      </w:r>
    </w:p>
    <w:p w:rsidRPr="003F64AA" w:rsidR="00F43E71" w:rsidP="00F43E71" w:rsidRDefault="00F43E71" w14:paraId="6AE3C28B" w14:textId="77777777">
      <w:pPr>
        <w:keepNext/>
        <w:autoSpaceDE w:val="0"/>
        <w:autoSpaceDN w:val="0"/>
        <w:adjustRightInd w:val="0"/>
        <w:ind w:firstLine="720"/>
        <w:rPr>
          <w:szCs w:val="24"/>
        </w:rPr>
      </w:pPr>
    </w:p>
    <w:p w:rsidRPr="003F64AA" w:rsidR="00F43E71" w:rsidP="00F43E71" w:rsidRDefault="00F43E71" w14:paraId="3EAB42EF" w14:textId="1B75B487">
      <w:pPr>
        <w:keepNext/>
        <w:autoSpaceDE w:val="0"/>
        <w:autoSpaceDN w:val="0"/>
        <w:adjustRightInd w:val="0"/>
        <w:ind w:firstLine="720"/>
      </w:pPr>
      <w:r>
        <w:t>Clean Air Act (CAA) section 110(a)(2)(D)(</w:t>
      </w:r>
      <w:proofErr w:type="spellStart"/>
      <w:r>
        <w:t>i</w:t>
      </w:r>
      <w:proofErr w:type="spellEnd"/>
      <w:r>
        <w:t>)(I), 42 U.S.C. § 7410(a)(2)(D)(</w:t>
      </w:r>
      <w:proofErr w:type="spellStart"/>
      <w:r>
        <w:t>i</w:t>
      </w:r>
      <w:proofErr w:type="spellEnd"/>
      <w:r>
        <w:t xml:space="preserve">)(I) – often referred to as the “good neighbor” provision – requires all states, within three years of EPA’s promulgation of a new or revised national ambient air quality standard (NAAQS), to revise their SIPs to prohibit certain emissions of air pollutants because of the adverse impact those emissions would have on air quality in other states. The first four CSAPR trading programs at 40 CFR part 97, subparts AAAAA through DDDDD, were promulgated in 2011 to </w:t>
      </w:r>
      <w:proofErr w:type="gramStart"/>
      <w:r>
        <w:t>fully or partially address multiple states’ good neighbor obligations</w:t>
      </w:r>
      <w:proofErr w:type="gramEnd"/>
      <w:r>
        <w:t xml:space="preserve"> with respect to the 1997 ozone NAAQS and the 1997 and 2006 fine particulate matter (PM</w:t>
      </w:r>
      <w:r w:rsidRPr="35C0C161">
        <w:rPr>
          <w:vertAlign w:val="subscript"/>
        </w:rPr>
        <w:t>2.5</w:t>
      </w:r>
      <w:r>
        <w:t xml:space="preserve">) NAAQS. The fifth CSAPR trading program at 40 CFR part 97, subpart EEEEE, was promulgated in 2016 to </w:t>
      </w:r>
      <w:proofErr w:type="gramStart"/>
      <w:r>
        <w:t>fully or partially address multiple states’ good neighbor obligations</w:t>
      </w:r>
      <w:proofErr w:type="gramEnd"/>
      <w:r>
        <w:t xml:space="preserve"> with respect to the 2008 ozone NAAQS. The sixth CSAPR trading program at 40 CFR part 97, subpart GGGGG, was promulgated in 2021 to fully address multiple states’ remaining good neighbor obligations with respect to the 2008 ozone NAAQS.</w:t>
      </w:r>
      <w:r w:rsidR="006033CA">
        <w:t xml:space="preserve"> </w:t>
      </w:r>
      <w:r w:rsidR="006033CA">
        <w:rPr>
          <w:szCs w:val="24"/>
        </w:rPr>
        <w:t xml:space="preserve">The current rulemaking will amend the sixth CSAPR trading program at 40 CFR part 97, subpart GGGGG, to address state’s obligations under the 2015 ozone NAAQS. </w:t>
      </w:r>
      <w:r w:rsidRPr="003F64AA">
        <w:rPr>
          <w:szCs w:val="24"/>
        </w:rPr>
        <w:t xml:space="preserve"> </w:t>
      </w:r>
    </w:p>
    <w:p w:rsidRPr="003F64AA" w:rsidR="00F43E71" w:rsidP="00F43E71" w:rsidRDefault="00F43E71" w14:paraId="4B33AF27" w14:textId="77777777">
      <w:pPr>
        <w:autoSpaceDE w:val="0"/>
        <w:autoSpaceDN w:val="0"/>
        <w:adjustRightInd w:val="0"/>
        <w:rPr>
          <w:szCs w:val="24"/>
        </w:rPr>
      </w:pPr>
    </w:p>
    <w:p w:rsidRPr="003F64AA" w:rsidR="00F43E71" w:rsidP="00F43E71" w:rsidRDefault="00F43E71" w14:paraId="18D34D54" w14:textId="19FB8B87">
      <w:pPr>
        <w:autoSpaceDE w:val="0"/>
        <w:autoSpaceDN w:val="0"/>
        <w:adjustRightInd w:val="0"/>
        <w:ind w:firstLine="720"/>
      </w:pPr>
      <w:r>
        <w:t>CAA section 169A, 42 U.S.C. § 7491, contains provisions addressing the impairment of visibility in certain areas, including requirements for certain sources to install and operate best available retrofit technology (BART). EPA’s regulations at 40 CFR 51.308(e) allow alternatives to BART under some circumstances. The Texas SO</w:t>
      </w:r>
      <w:r w:rsidRPr="35C0C161">
        <w:rPr>
          <w:vertAlign w:val="subscript"/>
        </w:rPr>
        <w:t>2</w:t>
      </w:r>
      <w:r>
        <w:t xml:space="preserve"> Trading Program at 40 CFR part 97, subpart FFFFF, was promulgated in 2017 as a BART alternative for Texas sources.  </w:t>
      </w:r>
    </w:p>
    <w:p w:rsidRPr="003F64AA" w:rsidR="00F43E71" w:rsidP="00F43E71" w:rsidRDefault="00F43E71" w14:paraId="7D4A410A" w14:textId="77777777">
      <w:pPr>
        <w:autoSpaceDE w:val="0"/>
        <w:autoSpaceDN w:val="0"/>
        <w:adjustRightInd w:val="0"/>
        <w:ind w:firstLine="720"/>
        <w:rPr>
          <w:szCs w:val="24"/>
        </w:rPr>
      </w:pPr>
    </w:p>
    <w:p w:rsidRPr="003F64AA" w:rsidR="00F43E71" w:rsidP="2A9279D6" w:rsidRDefault="00F43E71" w14:paraId="46F3EB25" w14:textId="5F03CB2C">
      <w:pPr>
        <w:autoSpaceDE w:val="0"/>
        <w:autoSpaceDN w:val="0"/>
        <w:adjustRightInd w:val="0"/>
        <w:ind w:firstLine="720"/>
        <w:rPr>
          <w:rFonts w:eastAsia="Times New Roman"/>
          <w:szCs w:val="24"/>
        </w:rPr>
      </w:pPr>
      <w:r>
        <w:t>EPA’s promulgation of the CSAPR and Texas trading programs is supported by t</w:t>
      </w:r>
      <w:r w:rsidR="73A75A2E">
        <w:t>hree</w:t>
      </w:r>
      <w:r>
        <w:t xml:space="preserve"> additional statutory provisions. First, CAA section 110(c)(1), 42 U.S.C. § 7410(c)(1), requires the EPA Administrator to promulgate a FIP at any time within two years after he or she finds that a state has failed to make a required SIP submission, finds that a SIP submission is incomplete, or disapproves a SIP submission. Second, CAA section 301(a)(1), 42 U.S.C. § 7601(a)(1), gives the Administrator general authority to prescribe such regulations as are necessary to carry out his or her statutory functions.</w:t>
      </w:r>
      <w:r w:rsidR="0C933025">
        <w:t xml:space="preserve"> </w:t>
      </w:r>
      <w:r w:rsidRPr="2A9279D6" w:rsidR="12CF373B">
        <w:rPr>
          <w:rFonts w:eastAsia="Times New Roman"/>
          <w:szCs w:val="24"/>
        </w:rPr>
        <w:t xml:space="preserve">Finally, CAA section 301(d)(4), 42 U.S.C. § 7601(d)(4), authorizes the Administrator to prescribe such regulations as are necessary or appropriate to administer CAA provisions in Indian country, including Indian reservation lands and other areas of Indian country over which EPA or a tribe has demonstrated that a tribe has jurisdiction. </w:t>
      </w:r>
    </w:p>
    <w:p w:rsidR="2A9279D6" w:rsidP="2A9279D6" w:rsidRDefault="2A9279D6" w14:paraId="44824165" w14:textId="0E1889B8">
      <w:pPr>
        <w:ind w:firstLine="720"/>
        <w:rPr>
          <w:szCs w:val="24"/>
        </w:rPr>
      </w:pPr>
    </w:p>
    <w:p w:rsidRPr="003F64AA" w:rsidR="00F43E71" w:rsidP="00F43E71" w:rsidRDefault="00F43E71" w14:paraId="1690D54B" w14:textId="77777777">
      <w:pPr>
        <w:keepNext/>
        <w:autoSpaceDE w:val="0"/>
        <w:autoSpaceDN w:val="0"/>
        <w:adjustRightInd w:val="0"/>
        <w:ind w:left="360"/>
        <w:outlineLvl w:val="0"/>
        <w:rPr>
          <w:b/>
          <w:bCs/>
          <w:szCs w:val="24"/>
        </w:rPr>
      </w:pPr>
      <w:proofErr w:type="gramStart"/>
      <w:r w:rsidRPr="003F64AA">
        <w:rPr>
          <w:b/>
          <w:bCs/>
          <w:szCs w:val="24"/>
        </w:rPr>
        <w:t>2.2  Practical</w:t>
      </w:r>
      <w:proofErr w:type="gramEnd"/>
      <w:r w:rsidRPr="003F64AA">
        <w:rPr>
          <w:b/>
          <w:bCs/>
          <w:szCs w:val="24"/>
        </w:rPr>
        <w:t xml:space="preserve"> Utility / Users of the Data</w:t>
      </w:r>
    </w:p>
    <w:p w:rsidRPr="003F64AA" w:rsidR="00F43E71" w:rsidP="00F43E71" w:rsidRDefault="00F43E71" w14:paraId="4D535278" w14:textId="77777777">
      <w:pPr>
        <w:keepNext/>
        <w:autoSpaceDE w:val="0"/>
        <w:autoSpaceDN w:val="0"/>
        <w:adjustRightInd w:val="0"/>
        <w:rPr>
          <w:b/>
          <w:bCs/>
          <w:szCs w:val="24"/>
        </w:rPr>
      </w:pPr>
    </w:p>
    <w:p w:rsidRPr="003F64AA" w:rsidR="00F43E71" w:rsidP="00F43E71" w:rsidRDefault="00F43E71" w14:paraId="108FB697" w14:textId="77777777">
      <w:pPr>
        <w:autoSpaceDE w:val="0"/>
        <w:autoSpaceDN w:val="0"/>
        <w:adjustRightInd w:val="0"/>
        <w:ind w:firstLine="720"/>
        <w:rPr>
          <w:szCs w:val="24"/>
        </w:rPr>
      </w:pPr>
      <w:r w:rsidRPr="003F64AA">
        <w:rPr>
          <w:szCs w:val="24"/>
        </w:rPr>
        <w:t>Accurate data from emissions monitoring under 40 CFR part 75 is indispensable to successful implementation of the CSAPR and Texas trading programs for two reasons:</w:t>
      </w:r>
    </w:p>
    <w:p w:rsidRPr="003F64AA" w:rsidR="00F43E71" w:rsidP="00F43E71" w:rsidRDefault="00F43E71" w14:paraId="745C6F08" w14:textId="77777777">
      <w:pPr>
        <w:autoSpaceDE w:val="0"/>
        <w:autoSpaceDN w:val="0"/>
        <w:adjustRightInd w:val="0"/>
        <w:rPr>
          <w:szCs w:val="24"/>
        </w:rPr>
      </w:pPr>
    </w:p>
    <w:p w:rsidRPr="003F64AA" w:rsidR="00F43E71" w:rsidP="00F43E71" w:rsidRDefault="00F43E71" w14:paraId="191C7E3E" w14:textId="609C53E9">
      <w:pPr>
        <w:autoSpaceDE w:val="0"/>
        <w:autoSpaceDN w:val="0"/>
        <w:adjustRightInd w:val="0"/>
        <w:ind w:left="720" w:hanging="360"/>
      </w:pPr>
      <w:r>
        <w:t>●</w:t>
      </w:r>
      <w:r>
        <w:tab/>
        <w:t>Accurate emissions data is integral in EPA and state assessment of the impact of the trading programs in reducing NO</w:t>
      </w:r>
      <w:r w:rsidRPr="35C0C161">
        <w:rPr>
          <w:vertAlign w:val="subscript"/>
        </w:rPr>
        <w:t>X</w:t>
      </w:r>
      <w:r>
        <w:t xml:space="preserve"> and SO</w:t>
      </w:r>
      <w:r w:rsidRPr="35C0C161">
        <w:rPr>
          <w:vertAlign w:val="subscript"/>
        </w:rPr>
        <w:t>2</w:t>
      </w:r>
      <w:r>
        <w:t xml:space="preserve"> emissions, and therefore in assisting states in meeting the ozone and fine particulate matter NAAQS and addressing visibility-related requirements. By reducing levels of NO</w:t>
      </w:r>
      <w:r w:rsidRPr="35C0C161">
        <w:rPr>
          <w:vertAlign w:val="subscript"/>
        </w:rPr>
        <w:t>X</w:t>
      </w:r>
      <w:r>
        <w:t xml:space="preserve"> and SO</w:t>
      </w:r>
      <w:r w:rsidRPr="35C0C161">
        <w:rPr>
          <w:vertAlign w:val="subscript"/>
        </w:rPr>
        <w:t>2</w:t>
      </w:r>
      <w:r>
        <w:t xml:space="preserve"> emissions, the trading programs reduce the adverse effects of the transport of ozone and fine particles and their precursors from upwind states.</w:t>
      </w:r>
    </w:p>
    <w:p w:rsidRPr="003F64AA" w:rsidR="00F43E71" w:rsidP="00F43E71" w:rsidRDefault="00F43E71" w14:paraId="7523DF92" w14:textId="77777777">
      <w:pPr>
        <w:autoSpaceDE w:val="0"/>
        <w:autoSpaceDN w:val="0"/>
        <w:adjustRightInd w:val="0"/>
        <w:ind w:left="720" w:hanging="360"/>
        <w:rPr>
          <w:szCs w:val="24"/>
        </w:rPr>
      </w:pPr>
    </w:p>
    <w:p w:rsidRPr="003F64AA" w:rsidR="00F43E71" w:rsidP="00F43E71" w:rsidRDefault="00F43E71" w14:paraId="7C44D614" w14:textId="77777777">
      <w:pPr>
        <w:autoSpaceDE w:val="0"/>
        <w:autoSpaceDN w:val="0"/>
        <w:adjustRightInd w:val="0"/>
        <w:ind w:left="720" w:hanging="360"/>
        <w:rPr>
          <w:szCs w:val="24"/>
        </w:rPr>
      </w:pPr>
      <w:r w:rsidRPr="003F64AA">
        <w:rPr>
          <w:szCs w:val="24"/>
        </w:rPr>
        <w:lastRenderedPageBreak/>
        <w:t>●</w:t>
      </w:r>
      <w:r w:rsidRPr="003F64AA">
        <w:rPr>
          <w:szCs w:val="24"/>
        </w:rPr>
        <w:tab/>
        <w:t>EPA enforces the trading programs (in part) by comparing emissions data measured, recorded, and reported under 40 CFR part 75 from affected sources with the number of allowances held in the respective compliance accounts of such affected sources.</w:t>
      </w:r>
    </w:p>
    <w:p w:rsidRPr="003F64AA" w:rsidR="00F43E71" w:rsidP="00F43E71" w:rsidRDefault="00F43E71" w14:paraId="77D5A8C9" w14:textId="77777777">
      <w:pPr>
        <w:autoSpaceDE w:val="0"/>
        <w:autoSpaceDN w:val="0"/>
        <w:adjustRightInd w:val="0"/>
        <w:rPr>
          <w:szCs w:val="24"/>
        </w:rPr>
      </w:pPr>
    </w:p>
    <w:p w:rsidRPr="003F64AA" w:rsidR="00F43E71" w:rsidP="00F43E71" w:rsidRDefault="00F43E71" w14:paraId="5AB91A08" w14:textId="61389D8F">
      <w:pPr>
        <w:autoSpaceDE w:val="0"/>
        <w:autoSpaceDN w:val="0"/>
        <w:adjustRightInd w:val="0"/>
        <w:ind w:firstLine="720"/>
      </w:pPr>
      <w:r>
        <w:t>Information collected on allowance transfers is used by EPA to track allowances for the purpose of determining compliance with the NO</w:t>
      </w:r>
      <w:r w:rsidRPr="35C0C161">
        <w:rPr>
          <w:vertAlign w:val="subscript"/>
        </w:rPr>
        <w:t>X</w:t>
      </w:r>
      <w:r>
        <w:t xml:space="preserve"> and SO</w:t>
      </w:r>
      <w:r w:rsidRPr="35C0C161">
        <w:rPr>
          <w:vertAlign w:val="subscript"/>
        </w:rPr>
        <w:t>2</w:t>
      </w:r>
      <w:r>
        <w:t xml:space="preserve"> trading programs. Information on allowance transfers is also used by participants in the allowance market and the public to evaluate the activities of affected </w:t>
      </w:r>
      <w:proofErr w:type="gramStart"/>
      <w:r>
        <w:t>sources, and</w:t>
      </w:r>
      <w:proofErr w:type="gramEnd"/>
      <w:r>
        <w:t xml:space="preserve"> is used by EPA for program evaluation. </w:t>
      </w:r>
    </w:p>
    <w:p w:rsidRPr="003F64AA" w:rsidR="00F43E71" w:rsidP="00F43E71" w:rsidRDefault="00F43E71" w14:paraId="0A289E38" w14:textId="77777777">
      <w:pPr>
        <w:autoSpaceDE w:val="0"/>
        <w:autoSpaceDN w:val="0"/>
        <w:adjustRightInd w:val="0"/>
        <w:rPr>
          <w:szCs w:val="24"/>
        </w:rPr>
      </w:pPr>
    </w:p>
    <w:p w:rsidRPr="003F64AA" w:rsidR="00F43E71" w:rsidP="00F43E71" w:rsidRDefault="00F43E71" w14:paraId="534A80BE" w14:textId="35238850">
      <w:pPr>
        <w:autoSpaceDE w:val="0"/>
        <w:autoSpaceDN w:val="0"/>
        <w:adjustRightInd w:val="0"/>
        <w:ind w:firstLine="720"/>
      </w:pPr>
      <w:r>
        <w:t xml:space="preserve">Certificates of representation are used to identify a single individual (and optionally a single alternate individual) authorized to represent and act on behalf of all owners and operating personnel of each affected unit. Without a designated representative, disagreements among joint owners of a unit or lack of clear authority could hamper the operation of an effective allowance trading program by impeding timely submission of quality-assured emissions data or timely decisions with respect to allowance transfers needed for program compliance. Other one-time registration forms allow qualifying sources or non-source parties to efficiently manage their own participation in the programs, including allowance trading activities. </w:t>
      </w:r>
    </w:p>
    <w:p w:rsidRPr="003F64AA" w:rsidR="00F43E71" w:rsidP="00F43E71" w:rsidRDefault="00F43E71" w14:paraId="6C39CDEA" w14:textId="77777777">
      <w:pPr>
        <w:autoSpaceDE w:val="0"/>
        <w:autoSpaceDN w:val="0"/>
        <w:adjustRightInd w:val="0"/>
        <w:ind w:firstLine="720"/>
        <w:rPr>
          <w:szCs w:val="24"/>
        </w:rPr>
      </w:pPr>
    </w:p>
    <w:p w:rsidRPr="003F64AA" w:rsidR="00F43E71" w:rsidP="00F43E71" w:rsidRDefault="00F43E71" w14:paraId="009D827F" w14:textId="77777777">
      <w:pPr>
        <w:autoSpaceDE w:val="0"/>
        <w:autoSpaceDN w:val="0"/>
        <w:adjustRightInd w:val="0"/>
        <w:ind w:firstLine="720"/>
        <w:rPr>
          <w:szCs w:val="24"/>
        </w:rPr>
      </w:pPr>
      <w:r w:rsidRPr="003F64AA">
        <w:rPr>
          <w:szCs w:val="24"/>
        </w:rPr>
        <w:t>Together, the emissions data, allowance data, and various registration forms help to provide the accountability necessary to allow the NO</w:t>
      </w:r>
      <w:r w:rsidRPr="003F64AA">
        <w:rPr>
          <w:szCs w:val="24"/>
          <w:vertAlign w:val="subscript"/>
        </w:rPr>
        <w:t>X</w:t>
      </w:r>
      <w:r w:rsidRPr="003F64AA">
        <w:rPr>
          <w:szCs w:val="24"/>
        </w:rPr>
        <w:t xml:space="preserve"> and SO</w:t>
      </w:r>
      <w:r w:rsidRPr="003F64AA">
        <w:rPr>
          <w:szCs w:val="24"/>
          <w:vertAlign w:val="subscript"/>
        </w:rPr>
        <w:t>2</w:t>
      </w:r>
      <w:r w:rsidRPr="003F64AA">
        <w:rPr>
          <w:szCs w:val="24"/>
        </w:rPr>
        <w:t xml:space="preserve"> trading programs to function, thereby avoiding the need to pursue costlier command-and-control approaches for achieving environmental objectives.</w:t>
      </w:r>
    </w:p>
    <w:p w:rsidRPr="003F64AA" w:rsidR="00F43E71" w:rsidP="00F43E71" w:rsidRDefault="00F43E71" w14:paraId="35A3F89C" w14:textId="77777777">
      <w:pPr>
        <w:autoSpaceDE w:val="0"/>
        <w:autoSpaceDN w:val="0"/>
        <w:adjustRightInd w:val="0"/>
        <w:rPr>
          <w:b/>
          <w:bCs/>
          <w:szCs w:val="24"/>
        </w:rPr>
      </w:pPr>
    </w:p>
    <w:p w:rsidRPr="003F64AA" w:rsidR="00F43E71" w:rsidP="00F43E71" w:rsidRDefault="00F43E71" w14:paraId="6E855488" w14:textId="77777777">
      <w:pPr>
        <w:autoSpaceDE w:val="0"/>
        <w:autoSpaceDN w:val="0"/>
        <w:adjustRightInd w:val="0"/>
        <w:rPr>
          <w:b/>
          <w:bCs/>
          <w:szCs w:val="24"/>
        </w:rPr>
      </w:pPr>
      <w:proofErr w:type="gramStart"/>
      <w:r w:rsidRPr="003F64AA">
        <w:rPr>
          <w:b/>
          <w:bCs/>
          <w:szCs w:val="24"/>
        </w:rPr>
        <w:t>3.0  Nonduplication</w:t>
      </w:r>
      <w:proofErr w:type="gramEnd"/>
      <w:r w:rsidRPr="003F64AA">
        <w:rPr>
          <w:b/>
          <w:bCs/>
          <w:szCs w:val="24"/>
        </w:rPr>
        <w:t>, Consultations, and Other Collection Criteria</w:t>
      </w:r>
    </w:p>
    <w:p w:rsidRPr="003F64AA" w:rsidR="00F43E71" w:rsidP="00F43E71" w:rsidRDefault="00F43E71" w14:paraId="0C08E53D" w14:textId="77777777">
      <w:pPr>
        <w:autoSpaceDE w:val="0"/>
        <w:autoSpaceDN w:val="0"/>
        <w:adjustRightInd w:val="0"/>
        <w:rPr>
          <w:b/>
          <w:bCs/>
          <w:szCs w:val="24"/>
        </w:rPr>
      </w:pPr>
    </w:p>
    <w:p w:rsidRPr="003F64AA" w:rsidR="00F43E71" w:rsidP="00F43E71" w:rsidRDefault="00F43E71" w14:paraId="4C4F0424" w14:textId="77777777">
      <w:pPr>
        <w:autoSpaceDE w:val="0"/>
        <w:autoSpaceDN w:val="0"/>
        <w:adjustRightInd w:val="0"/>
        <w:ind w:left="360"/>
        <w:outlineLvl w:val="0"/>
        <w:rPr>
          <w:b/>
          <w:bCs/>
          <w:szCs w:val="24"/>
        </w:rPr>
      </w:pPr>
      <w:proofErr w:type="gramStart"/>
      <w:r w:rsidRPr="003F64AA">
        <w:rPr>
          <w:b/>
          <w:bCs/>
          <w:szCs w:val="24"/>
        </w:rPr>
        <w:t>3.1  Nonduplication</w:t>
      </w:r>
      <w:proofErr w:type="gramEnd"/>
    </w:p>
    <w:p w:rsidRPr="003F64AA" w:rsidR="00F43E71" w:rsidP="00F43E71" w:rsidRDefault="00F43E71" w14:paraId="0E5EAEA6" w14:textId="77777777">
      <w:pPr>
        <w:autoSpaceDE w:val="0"/>
        <w:autoSpaceDN w:val="0"/>
        <w:adjustRightInd w:val="0"/>
        <w:rPr>
          <w:b/>
          <w:bCs/>
          <w:szCs w:val="24"/>
        </w:rPr>
      </w:pPr>
    </w:p>
    <w:p w:rsidRPr="003F64AA" w:rsidR="00F43E71" w:rsidP="00F43E71" w:rsidRDefault="00F43E71" w14:paraId="615EDA6A" w14:textId="2576D6D7">
      <w:pPr>
        <w:autoSpaceDE w:val="0"/>
        <w:autoSpaceDN w:val="0"/>
        <w:adjustRightInd w:val="0"/>
        <w:ind w:firstLine="720"/>
      </w:pPr>
      <w:r>
        <w:t>Reporting formats for affected sources for the CSAPR and Texas trading programs are integrated with existing reporting formats under 40 CFR part 75. These reporting formats are currently used by ARP-affected units to meet reporting requirements related to SO</w:t>
      </w:r>
      <w:r w:rsidRPr="35C0C161">
        <w:rPr>
          <w:vertAlign w:val="subscript"/>
        </w:rPr>
        <w:t>2</w:t>
      </w:r>
      <w:r>
        <w:t xml:space="preserve"> and NO</w:t>
      </w:r>
      <w:r w:rsidRPr="35C0C161">
        <w:rPr>
          <w:vertAlign w:val="subscript"/>
        </w:rPr>
        <w:t>X</w:t>
      </w:r>
      <w:r>
        <w:t xml:space="preserve"> under Title IV of the </w:t>
      </w:r>
      <w:r w:rsidR="00976360">
        <w:t xml:space="preserve">Clean Air </w:t>
      </w:r>
      <w:r>
        <w:t xml:space="preserve">Act. For a unit subject to more than one of these programs, a single quarterly submission is used to satisfy the quarterly reporting requirements for all programs. </w:t>
      </w:r>
    </w:p>
    <w:p w:rsidRPr="003F64AA" w:rsidR="00F43E71" w:rsidP="00F43E71" w:rsidRDefault="00F43E71" w14:paraId="0EEDF29F" w14:textId="77777777">
      <w:pPr>
        <w:autoSpaceDE w:val="0"/>
        <w:autoSpaceDN w:val="0"/>
        <w:adjustRightInd w:val="0"/>
        <w:ind w:firstLine="720"/>
        <w:rPr>
          <w:szCs w:val="24"/>
        </w:rPr>
      </w:pPr>
    </w:p>
    <w:p w:rsidRPr="003F64AA" w:rsidR="00F43E71" w:rsidP="00F43E71" w:rsidRDefault="00F43E71" w14:paraId="598176A2" w14:textId="1A03C6D1">
      <w:pPr>
        <w:autoSpaceDE w:val="0"/>
        <w:autoSpaceDN w:val="0"/>
        <w:adjustRightInd w:val="0"/>
        <w:ind w:firstLine="720"/>
      </w:pPr>
      <w:r>
        <w:t>Information collection procedures under the CSAPR and Texas trading programs for submitting and updating certificates of representation, identifying retired units, and establishing non-source general accounts in the allowance tracking system are similarly integrated with the analogous procedures under the ARP. In each case, a representative can submit a single form to address the analogous requirements under all applicable programs.</w:t>
      </w:r>
    </w:p>
    <w:p w:rsidRPr="003F64AA" w:rsidR="00F43E71" w:rsidP="00F43E71" w:rsidRDefault="00F43E71" w14:paraId="56B0F985" w14:textId="77777777">
      <w:pPr>
        <w:autoSpaceDE w:val="0"/>
        <w:autoSpaceDN w:val="0"/>
        <w:adjustRightInd w:val="0"/>
        <w:ind w:firstLine="720"/>
        <w:rPr>
          <w:szCs w:val="24"/>
        </w:rPr>
      </w:pPr>
    </w:p>
    <w:p w:rsidRPr="003F64AA" w:rsidR="00F43E71" w:rsidP="00F43E71" w:rsidRDefault="00F43E71" w14:paraId="5E6146E5" w14:textId="77777777">
      <w:pPr>
        <w:keepNext/>
        <w:autoSpaceDE w:val="0"/>
        <w:autoSpaceDN w:val="0"/>
        <w:adjustRightInd w:val="0"/>
        <w:ind w:left="360"/>
        <w:outlineLvl w:val="0"/>
        <w:rPr>
          <w:b/>
          <w:bCs/>
          <w:szCs w:val="24"/>
        </w:rPr>
      </w:pPr>
      <w:proofErr w:type="gramStart"/>
      <w:r w:rsidRPr="003F64AA">
        <w:rPr>
          <w:b/>
          <w:bCs/>
          <w:szCs w:val="24"/>
        </w:rPr>
        <w:t>3.2  Public</w:t>
      </w:r>
      <w:proofErr w:type="gramEnd"/>
      <w:r w:rsidRPr="003F64AA">
        <w:rPr>
          <w:b/>
          <w:bCs/>
          <w:szCs w:val="24"/>
        </w:rPr>
        <w:t xml:space="preserve"> Notice </w:t>
      </w:r>
    </w:p>
    <w:p w:rsidRPr="003F64AA" w:rsidR="00F43E71" w:rsidP="00F43E71" w:rsidRDefault="00F43E71" w14:paraId="54E9A864" w14:textId="77777777">
      <w:pPr>
        <w:keepNext/>
        <w:autoSpaceDE w:val="0"/>
        <w:autoSpaceDN w:val="0"/>
        <w:adjustRightInd w:val="0"/>
        <w:rPr>
          <w:szCs w:val="24"/>
        </w:rPr>
      </w:pPr>
    </w:p>
    <w:p w:rsidRPr="003F64AA" w:rsidR="00F43E71" w:rsidP="00F43E71" w:rsidRDefault="00792E35" w14:paraId="22EDDF12" w14:textId="2BBE4BD2">
      <w:pPr>
        <w:autoSpaceDE w:val="0"/>
        <w:autoSpaceDN w:val="0"/>
        <w:adjustRightInd w:val="0"/>
        <w:ind w:firstLine="720"/>
      </w:pPr>
      <w:r>
        <w:t xml:space="preserve">Notice </w:t>
      </w:r>
      <w:r w:rsidR="4D3B4C40">
        <w:t xml:space="preserve">and comment period </w:t>
      </w:r>
      <w:r w:rsidR="6E96FF6A">
        <w:t>for this pro</w:t>
      </w:r>
      <w:r w:rsidR="00192BB5">
        <w:t>po</w:t>
      </w:r>
      <w:r w:rsidR="6E96FF6A">
        <w:t xml:space="preserve">sed ICR </w:t>
      </w:r>
      <w:r w:rsidR="4D3B4C40">
        <w:t xml:space="preserve">are provided </w:t>
      </w:r>
      <w:r w:rsidR="040F4793">
        <w:t>under the</w:t>
      </w:r>
      <w:r>
        <w:t xml:space="preserve"> </w:t>
      </w:r>
      <w:r w:rsidRPr="4F97564D" w:rsidR="79ABB870">
        <w:rPr>
          <w:rFonts w:eastAsia="Times New Roman"/>
        </w:rPr>
        <w:t>Federal Implementation Plan Addressing Regional Ozone Transport for the 2015 Primary Ozone National Ambient Air Quality Standard</w:t>
      </w:r>
      <w:r w:rsidR="79ABB870">
        <w:t xml:space="preserve"> </w:t>
      </w:r>
      <w:r>
        <w:t>proposed rulemaking</w:t>
      </w:r>
      <w:r w:rsidR="0051218A">
        <w:t xml:space="preserve"> (</w:t>
      </w:r>
      <w:r w:rsidRPr="35C0C161" w:rsidR="0051218A">
        <w:rPr>
          <w:color w:val="000000" w:themeColor="text1"/>
        </w:rPr>
        <w:t xml:space="preserve">Docket ID No. </w:t>
      </w:r>
      <w:r w:rsidRPr="005B3FED" w:rsidR="0051218A">
        <w:t>EPA-HQ-OAR-2021-0668</w:t>
      </w:r>
      <w:r w:rsidR="0051218A">
        <w:t>)</w:t>
      </w:r>
      <w:r>
        <w:t xml:space="preserve">. </w:t>
      </w:r>
      <w:r w:rsidR="00F43E71">
        <w:t xml:space="preserve">  </w:t>
      </w:r>
    </w:p>
    <w:p w:rsidRPr="003F0783" w:rsidR="00F43E71" w:rsidP="00F43E71" w:rsidRDefault="00F43E71" w14:paraId="1A9367BE" w14:textId="77777777">
      <w:pPr>
        <w:autoSpaceDE w:val="0"/>
        <w:autoSpaceDN w:val="0"/>
        <w:adjustRightInd w:val="0"/>
        <w:ind w:firstLine="720"/>
        <w:rPr>
          <w:b/>
          <w:bCs/>
          <w:szCs w:val="24"/>
        </w:rPr>
      </w:pPr>
    </w:p>
    <w:p w:rsidRPr="003F0783" w:rsidR="00F43E71" w:rsidP="00F43E71" w:rsidRDefault="00F43E71" w14:paraId="23FFB253" w14:textId="77777777">
      <w:pPr>
        <w:autoSpaceDE w:val="0"/>
        <w:autoSpaceDN w:val="0"/>
        <w:adjustRightInd w:val="0"/>
        <w:ind w:left="360"/>
        <w:outlineLvl w:val="0"/>
        <w:rPr>
          <w:b/>
          <w:bCs/>
          <w:szCs w:val="24"/>
        </w:rPr>
      </w:pPr>
      <w:proofErr w:type="gramStart"/>
      <w:r w:rsidRPr="003F0783">
        <w:rPr>
          <w:b/>
          <w:bCs/>
          <w:szCs w:val="24"/>
        </w:rPr>
        <w:t>3.3  Consultations</w:t>
      </w:r>
      <w:proofErr w:type="gramEnd"/>
    </w:p>
    <w:p w:rsidRPr="003F0783" w:rsidR="00F43E71" w:rsidP="00F43E71" w:rsidRDefault="00F43E71" w14:paraId="2368ECE0" w14:textId="77777777">
      <w:pPr>
        <w:autoSpaceDE w:val="0"/>
        <w:autoSpaceDN w:val="0"/>
        <w:adjustRightInd w:val="0"/>
        <w:rPr>
          <w:b/>
          <w:bCs/>
          <w:szCs w:val="24"/>
        </w:rPr>
      </w:pPr>
    </w:p>
    <w:p w:rsidRPr="003F0783" w:rsidR="00F43E71" w:rsidP="00F43E71" w:rsidRDefault="00F43E71" w14:paraId="0B54153C" w14:textId="214E54F3">
      <w:pPr>
        <w:autoSpaceDE w:val="0"/>
        <w:autoSpaceDN w:val="0"/>
        <w:adjustRightInd w:val="0"/>
        <w:ind w:firstLine="720"/>
      </w:pPr>
      <w:r>
        <w:lastRenderedPageBreak/>
        <w:t>The information collection requirements for the CSAPR and Texas trading programs are largely based on the analogous requirements initially developed for the ARP and promulgated in 40 CFR parts 72, 73, and 75, as modified for use in subsequent trading programs under the NO</w:t>
      </w:r>
      <w:r w:rsidRPr="35C0C161">
        <w:rPr>
          <w:vertAlign w:val="subscript"/>
        </w:rPr>
        <w:t>X</w:t>
      </w:r>
      <w:r>
        <w:t xml:space="preserve"> SIP Call and the Clean Air Interstate Rule (CAIR). The requirements have evolved based on the trading programs’ needs, EPA’s experience administering those programs and a similar trading program established by the Ozone Transport Commission (OTC), and consultations with interested parties.</w:t>
      </w:r>
    </w:p>
    <w:p w:rsidRPr="003F0783" w:rsidR="00F43E71" w:rsidP="00F43E71" w:rsidRDefault="00F43E71" w14:paraId="33BF59B1" w14:textId="77777777">
      <w:pPr>
        <w:autoSpaceDE w:val="0"/>
        <w:autoSpaceDN w:val="0"/>
        <w:adjustRightInd w:val="0"/>
        <w:ind w:firstLine="720"/>
      </w:pPr>
    </w:p>
    <w:p w:rsidRPr="003F0783" w:rsidR="00F43E71" w:rsidP="00F43E71" w:rsidRDefault="00F43E71" w14:paraId="4EE0AC4C" w14:textId="4583004D">
      <w:pPr>
        <w:autoSpaceDE w:val="0"/>
        <w:autoSpaceDN w:val="0"/>
        <w:adjustRightInd w:val="0"/>
        <w:ind w:firstLine="720"/>
      </w:pPr>
      <w:r>
        <w:t>Initial development of the ARP’s reporting requirements involved a multi-stakeholder advisory committee that included representatives of states, industry, and environmental groups.  EPA conducted similar processes when modifying the reporting requirements to implement the trading program under the NO</w:t>
      </w:r>
      <w:r w:rsidRPr="35C0C161">
        <w:rPr>
          <w:vertAlign w:val="subscript"/>
        </w:rPr>
        <w:t>X</w:t>
      </w:r>
      <w:r>
        <w:t xml:space="preserve"> SIP </w:t>
      </w:r>
      <w:proofErr w:type="gramStart"/>
      <w:r>
        <w:t>Call, and</w:t>
      </w:r>
      <w:proofErr w:type="gramEnd"/>
      <w:r>
        <w:t xml:space="preserve"> held workshops with states that participated in the NO</w:t>
      </w:r>
      <w:r w:rsidRPr="35C0C161">
        <w:rPr>
          <w:vertAlign w:val="subscript"/>
        </w:rPr>
        <w:t>X</w:t>
      </w:r>
      <w:r>
        <w:t xml:space="preserve"> SIP Call or OTC programs to discuss lessons learned in those programs when formulating the emission trading requirements of CAIR. In 2009, EPA held a series of discussions with stakeholders to identify potential options for addressing states’ good neighbor obligations following the remand of CAIR. EPA incorporated those comments from those discussions into CSAPR. The requirements for each successive trading program have been established through notice-and-comment rulemaking. Additionally, EPA has had frequent interaction with affected sources and states </w:t>
      </w:r>
      <w:proofErr w:type="gramStart"/>
      <w:r>
        <w:t>in the course of</w:t>
      </w:r>
      <w:proofErr w:type="gramEnd"/>
      <w:r>
        <w:t xml:space="preserve"> implementing the ARP, NO</w:t>
      </w:r>
      <w:r w:rsidRPr="35C0C161">
        <w:rPr>
          <w:vertAlign w:val="subscript"/>
        </w:rPr>
        <w:t>X</w:t>
      </w:r>
      <w:r>
        <w:t xml:space="preserve"> SIP Call, CAIR, and CSAPR trading programs.  </w:t>
      </w:r>
    </w:p>
    <w:p w:rsidRPr="003F0783" w:rsidR="00F43E71" w:rsidP="00F43E71" w:rsidRDefault="00F43E71" w14:paraId="1C3EC703" w14:textId="77777777">
      <w:pPr>
        <w:autoSpaceDE w:val="0"/>
        <w:autoSpaceDN w:val="0"/>
        <w:adjustRightInd w:val="0"/>
        <w:rPr>
          <w:szCs w:val="24"/>
        </w:rPr>
      </w:pPr>
    </w:p>
    <w:p w:rsidRPr="003F0783" w:rsidR="00F43E71" w:rsidP="00F43E71" w:rsidRDefault="00F43E71" w14:paraId="2F658B0B" w14:textId="77777777">
      <w:pPr>
        <w:autoSpaceDE w:val="0"/>
        <w:autoSpaceDN w:val="0"/>
        <w:adjustRightInd w:val="0"/>
        <w:ind w:firstLine="720"/>
        <w:rPr>
          <w:szCs w:val="24"/>
        </w:rPr>
      </w:pPr>
      <w:r>
        <w:rPr>
          <w:rStyle w:val="normaltextrun"/>
          <w:color w:val="000000"/>
          <w:shd w:val="clear" w:color="auto" w:fill="FFFFFF"/>
        </w:rPr>
        <w:t xml:space="preserve">In 2021, in coordination with renewing the ICR for the Acid Rain Program, EPA consulted with a small number of stakeholders to receive feedback on burdens associated with the Acid Rain, CSAPR, and Texas SO2 trading programs. The respondents were various industry representatives including utility employees, monitoring system vendors, and utility consultants who were asked to evaluate the most recently estimated burdens from the Acid Rain ICR. The feedback received indicated those burden hours and costs are slightly conservative estimates for certain tasks but remain sufficient estimates. Due to sources reporting the same information in the same manner for </w:t>
      </w:r>
      <w:proofErr w:type="gramStart"/>
      <w:r>
        <w:rPr>
          <w:rStyle w:val="normaltextrun"/>
          <w:color w:val="000000"/>
          <w:shd w:val="clear" w:color="auto" w:fill="FFFFFF"/>
        </w:rPr>
        <w:t>all of</w:t>
      </w:r>
      <w:proofErr w:type="gramEnd"/>
      <w:r>
        <w:rPr>
          <w:rStyle w:val="normaltextrun"/>
          <w:color w:val="000000"/>
          <w:shd w:val="clear" w:color="auto" w:fill="FFFFFF"/>
        </w:rPr>
        <w:t xml:space="preserve"> these programs, the burden estimates for this ICR are consistent with those for the Acid Rain ICR.   </w:t>
      </w:r>
    </w:p>
    <w:p w:rsidRPr="003F0783" w:rsidR="00F43E71" w:rsidP="00F43E71" w:rsidRDefault="00F43E71" w14:paraId="6593ED60" w14:textId="77777777">
      <w:pPr>
        <w:tabs>
          <w:tab w:val="left" w:pos="360"/>
        </w:tabs>
        <w:autoSpaceDE w:val="0"/>
        <w:autoSpaceDN w:val="0"/>
        <w:adjustRightInd w:val="0"/>
        <w:ind w:left="360"/>
        <w:rPr>
          <w:b/>
          <w:bCs/>
          <w:szCs w:val="24"/>
        </w:rPr>
      </w:pPr>
    </w:p>
    <w:p w:rsidRPr="003F0783" w:rsidR="00F43E71" w:rsidP="00F43E71" w:rsidRDefault="00F43E71" w14:paraId="7706678B" w14:textId="77777777">
      <w:pPr>
        <w:tabs>
          <w:tab w:val="left" w:pos="360"/>
        </w:tabs>
        <w:autoSpaceDE w:val="0"/>
        <w:autoSpaceDN w:val="0"/>
        <w:adjustRightInd w:val="0"/>
        <w:ind w:left="360"/>
        <w:outlineLvl w:val="0"/>
        <w:rPr>
          <w:b/>
          <w:bCs/>
          <w:szCs w:val="24"/>
        </w:rPr>
      </w:pPr>
      <w:proofErr w:type="gramStart"/>
      <w:r w:rsidRPr="003F0783">
        <w:rPr>
          <w:b/>
          <w:bCs/>
          <w:szCs w:val="24"/>
        </w:rPr>
        <w:t>3.4  Effects</w:t>
      </w:r>
      <w:proofErr w:type="gramEnd"/>
      <w:r w:rsidRPr="003F0783">
        <w:rPr>
          <w:b/>
          <w:bCs/>
          <w:szCs w:val="24"/>
        </w:rPr>
        <w:t xml:space="preserve"> of Less Frequent Collection</w:t>
      </w:r>
    </w:p>
    <w:p w:rsidRPr="003F0783" w:rsidR="00F43E71" w:rsidP="00F43E71" w:rsidRDefault="00F43E71" w14:paraId="4BBF405F" w14:textId="77777777">
      <w:pPr>
        <w:autoSpaceDE w:val="0"/>
        <w:autoSpaceDN w:val="0"/>
        <w:adjustRightInd w:val="0"/>
        <w:rPr>
          <w:b/>
          <w:bCs/>
          <w:szCs w:val="24"/>
        </w:rPr>
      </w:pPr>
    </w:p>
    <w:p w:rsidRPr="003F0783" w:rsidR="00F43E71" w:rsidP="00F43E71" w:rsidRDefault="00F43E71" w14:paraId="0315668A" w14:textId="4E54527B">
      <w:pPr>
        <w:autoSpaceDE w:val="0"/>
        <w:autoSpaceDN w:val="0"/>
        <w:adjustRightInd w:val="0"/>
        <w:ind w:firstLine="720"/>
      </w:pPr>
      <w:r>
        <w:t>Submittal of allowance trading and emissions information on at least an annual basis (and/or on an ozone-season basis, as applicable) provides the data necessary to determine whether state budgets have been exceeded. If this information collection were not carried out at least annually for sources subject to the CSAPR and Texas trading programs, EPA would not be able to verify that emission reductions necessary to meet each state's NO</w:t>
      </w:r>
      <w:r w:rsidRPr="35C0C161">
        <w:rPr>
          <w:vertAlign w:val="subscript"/>
        </w:rPr>
        <w:t>X</w:t>
      </w:r>
      <w:r>
        <w:t xml:space="preserve"> and SO</w:t>
      </w:r>
      <w:r w:rsidRPr="35C0C161">
        <w:rPr>
          <w:vertAlign w:val="subscript"/>
        </w:rPr>
        <w:t>2</w:t>
      </w:r>
      <w:r>
        <w:t xml:space="preserve"> emission budgets were being achieved. Meeting the annual or seasonal budgets is a central compliance requirement under each of the trading programs. </w:t>
      </w:r>
    </w:p>
    <w:p w:rsidRPr="003F0783" w:rsidR="00F43E71" w:rsidP="00F43E71" w:rsidRDefault="00F43E71" w14:paraId="670B706E" w14:textId="77777777">
      <w:pPr>
        <w:autoSpaceDE w:val="0"/>
        <w:autoSpaceDN w:val="0"/>
        <w:adjustRightInd w:val="0"/>
        <w:rPr>
          <w:szCs w:val="24"/>
        </w:rPr>
      </w:pPr>
    </w:p>
    <w:p w:rsidRPr="003C1709" w:rsidR="00F43E71" w:rsidP="00F43E71" w:rsidRDefault="00F43E71" w14:paraId="3CE523ED" w14:textId="5584CFB8">
      <w:pPr>
        <w:autoSpaceDE w:val="0"/>
        <w:autoSpaceDN w:val="0"/>
        <w:adjustRightInd w:val="0"/>
        <w:ind w:firstLine="720"/>
      </w:pPr>
      <w:r>
        <w:t>Quarterly collection of emissions data allows for frequent checking of data for errors and provides rapid feedback to industry of needed adjustments to data collection systems, thereby promoting more accurate and reliable emissions data. Also, existing federal and state emission monitoring programs often require reporting on a quarterly or even monthly basis. Less frequent collection, such as semi-annually or annually, would increase the amount of preparation and review time at the end of the reporting period both for regulated sources and for EPA, and would slow down the process of compliance determination.</w:t>
      </w:r>
    </w:p>
    <w:p w:rsidRPr="00AA57AB" w:rsidR="00F43E71" w:rsidP="00F43E71" w:rsidRDefault="00F43E71" w14:paraId="3D9FFE29" w14:textId="77777777">
      <w:pPr>
        <w:autoSpaceDE w:val="0"/>
        <w:autoSpaceDN w:val="0"/>
        <w:adjustRightInd w:val="0"/>
        <w:ind w:firstLine="720"/>
        <w:rPr>
          <w:szCs w:val="24"/>
        </w:rPr>
      </w:pPr>
    </w:p>
    <w:p w:rsidRPr="003F0783" w:rsidR="00F43E71" w:rsidP="00F43E71" w:rsidRDefault="00F43E71" w14:paraId="3DE6342D" w14:textId="77777777">
      <w:pPr>
        <w:autoSpaceDE w:val="0"/>
        <w:autoSpaceDN w:val="0"/>
        <w:adjustRightInd w:val="0"/>
        <w:ind w:left="360"/>
        <w:outlineLvl w:val="0"/>
        <w:rPr>
          <w:b/>
          <w:bCs/>
          <w:szCs w:val="24"/>
        </w:rPr>
      </w:pPr>
      <w:proofErr w:type="gramStart"/>
      <w:r w:rsidRPr="003F0783">
        <w:rPr>
          <w:b/>
          <w:bCs/>
          <w:szCs w:val="24"/>
        </w:rPr>
        <w:lastRenderedPageBreak/>
        <w:t>3.5  General</w:t>
      </w:r>
      <w:proofErr w:type="gramEnd"/>
      <w:r w:rsidRPr="003F0783">
        <w:rPr>
          <w:b/>
          <w:bCs/>
          <w:szCs w:val="24"/>
        </w:rPr>
        <w:t xml:space="preserve"> Guidelines</w:t>
      </w:r>
    </w:p>
    <w:p w:rsidRPr="003F0783" w:rsidR="00F43E71" w:rsidP="00F43E71" w:rsidRDefault="00F43E71" w14:paraId="436C6E8D" w14:textId="77777777">
      <w:pPr>
        <w:autoSpaceDE w:val="0"/>
        <w:autoSpaceDN w:val="0"/>
        <w:adjustRightInd w:val="0"/>
        <w:rPr>
          <w:szCs w:val="24"/>
        </w:rPr>
      </w:pPr>
    </w:p>
    <w:p w:rsidRPr="003F0783" w:rsidR="00F43E71" w:rsidP="00F43E71" w:rsidRDefault="00F43E71" w14:paraId="31D9E6A6" w14:textId="77777777">
      <w:pPr>
        <w:autoSpaceDE w:val="0"/>
        <w:autoSpaceDN w:val="0"/>
        <w:adjustRightInd w:val="0"/>
        <w:ind w:firstLine="720"/>
        <w:outlineLvl w:val="0"/>
        <w:rPr>
          <w:szCs w:val="24"/>
        </w:rPr>
      </w:pPr>
      <w:r w:rsidRPr="003F0783">
        <w:rPr>
          <w:szCs w:val="24"/>
        </w:rPr>
        <w:t>This ICR does not violate any of OMB's general guidelines for information collections.</w:t>
      </w:r>
    </w:p>
    <w:p w:rsidRPr="003F0783" w:rsidR="00F43E71" w:rsidP="00F43E71" w:rsidRDefault="00F43E71" w14:paraId="0F723677" w14:textId="77777777">
      <w:pPr>
        <w:autoSpaceDE w:val="0"/>
        <w:autoSpaceDN w:val="0"/>
        <w:adjustRightInd w:val="0"/>
        <w:rPr>
          <w:b/>
          <w:bCs/>
          <w:szCs w:val="24"/>
        </w:rPr>
      </w:pPr>
    </w:p>
    <w:p w:rsidRPr="003F0783" w:rsidR="00F43E71" w:rsidP="00F43E71" w:rsidRDefault="00F43E71" w14:paraId="2BA023A3" w14:textId="77777777">
      <w:pPr>
        <w:autoSpaceDE w:val="0"/>
        <w:autoSpaceDN w:val="0"/>
        <w:adjustRightInd w:val="0"/>
        <w:ind w:left="360"/>
        <w:outlineLvl w:val="0"/>
        <w:rPr>
          <w:b/>
          <w:bCs/>
          <w:szCs w:val="24"/>
        </w:rPr>
      </w:pPr>
      <w:proofErr w:type="gramStart"/>
      <w:r w:rsidRPr="003F0783">
        <w:rPr>
          <w:b/>
          <w:bCs/>
          <w:szCs w:val="24"/>
        </w:rPr>
        <w:t>3.6  Confidentiality</w:t>
      </w:r>
      <w:proofErr w:type="gramEnd"/>
    </w:p>
    <w:p w:rsidRPr="003F0783" w:rsidR="00F43E71" w:rsidP="00F43E71" w:rsidRDefault="00F43E71" w14:paraId="3983E4BB" w14:textId="77777777">
      <w:pPr>
        <w:autoSpaceDE w:val="0"/>
        <w:autoSpaceDN w:val="0"/>
        <w:adjustRightInd w:val="0"/>
        <w:rPr>
          <w:szCs w:val="24"/>
        </w:rPr>
      </w:pPr>
    </w:p>
    <w:p w:rsidRPr="003F0783" w:rsidR="00F43E71" w:rsidP="00F43E71" w:rsidRDefault="00F43E71" w14:paraId="13EA9C79" w14:textId="7B2EF4CE">
      <w:pPr>
        <w:autoSpaceDE w:val="0"/>
        <w:autoSpaceDN w:val="0"/>
        <w:adjustRightInd w:val="0"/>
        <w:ind w:firstLine="720"/>
      </w:pPr>
      <w:r>
        <w:t>Emissions or allowance-related data that are submitted to EPA under this rule generally will be considered in the public domain and will not be treated as confidential. CAA section 114(c), 42 U.S.C. § 7414(c), specifically requires that estimates or measurements of emissions must be treated as non-confidential. Under Agency procedures, data items relating to the computation of emissions may be identified as sensitive by a state and are then treated as "state-sensitive" by EPA. The potentially state-sensitive items include process rate, boiler design capacity, emission estimation codes, percent space heat, operating rate, and maximum operation rate/hour. Where federal and state requirements are inconsistent, the appropriate EPA Regional Office should be consulted.</w:t>
      </w:r>
    </w:p>
    <w:p w:rsidRPr="003F0783" w:rsidR="00F43E71" w:rsidP="00F43E71" w:rsidRDefault="00F43E71" w14:paraId="2A818CD3" w14:textId="77777777">
      <w:pPr>
        <w:keepNext/>
        <w:autoSpaceDE w:val="0"/>
        <w:autoSpaceDN w:val="0"/>
        <w:adjustRightInd w:val="0"/>
        <w:ind w:left="360"/>
        <w:rPr>
          <w:b/>
          <w:bCs/>
          <w:szCs w:val="24"/>
        </w:rPr>
      </w:pPr>
    </w:p>
    <w:p w:rsidRPr="003F0783" w:rsidR="00F43E71" w:rsidP="00F43E71" w:rsidRDefault="00F43E71" w14:paraId="47043D57" w14:textId="77777777">
      <w:pPr>
        <w:keepNext/>
        <w:autoSpaceDE w:val="0"/>
        <w:autoSpaceDN w:val="0"/>
        <w:adjustRightInd w:val="0"/>
        <w:ind w:left="360"/>
        <w:outlineLvl w:val="0"/>
        <w:rPr>
          <w:b/>
          <w:bCs/>
          <w:szCs w:val="24"/>
        </w:rPr>
      </w:pPr>
      <w:proofErr w:type="gramStart"/>
      <w:r w:rsidRPr="003F0783">
        <w:rPr>
          <w:b/>
          <w:bCs/>
          <w:szCs w:val="24"/>
        </w:rPr>
        <w:t>3.7  Sensitive</w:t>
      </w:r>
      <w:proofErr w:type="gramEnd"/>
      <w:r w:rsidRPr="003F0783">
        <w:rPr>
          <w:b/>
          <w:bCs/>
          <w:szCs w:val="24"/>
        </w:rPr>
        <w:t xml:space="preserve"> Questions</w:t>
      </w:r>
    </w:p>
    <w:p w:rsidRPr="003F0783" w:rsidR="00F43E71" w:rsidP="00F43E71" w:rsidRDefault="00F43E71" w14:paraId="08B1FF69" w14:textId="77777777">
      <w:pPr>
        <w:keepNext/>
        <w:autoSpaceDE w:val="0"/>
        <w:autoSpaceDN w:val="0"/>
        <w:adjustRightInd w:val="0"/>
        <w:rPr>
          <w:szCs w:val="24"/>
        </w:rPr>
      </w:pPr>
    </w:p>
    <w:p w:rsidRPr="003F0783" w:rsidR="00F43E71" w:rsidP="00F43E71" w:rsidRDefault="00F43E71" w14:paraId="2FA01997" w14:textId="77777777">
      <w:pPr>
        <w:keepNext/>
        <w:autoSpaceDE w:val="0"/>
        <w:autoSpaceDN w:val="0"/>
        <w:adjustRightInd w:val="0"/>
        <w:ind w:firstLine="720"/>
        <w:rPr>
          <w:szCs w:val="24"/>
        </w:rPr>
      </w:pPr>
      <w:r w:rsidRPr="003F0783">
        <w:rPr>
          <w:szCs w:val="24"/>
        </w:rPr>
        <w:t>This information collection does not ask any questions concerning sexual behavior or attitudes, religious beliefs, or other matters usually considered private.</w:t>
      </w:r>
    </w:p>
    <w:p w:rsidRPr="003F0783" w:rsidR="00F43E71" w:rsidP="00F43E71" w:rsidRDefault="00F43E71" w14:paraId="2C028368" w14:textId="77777777">
      <w:pPr>
        <w:autoSpaceDE w:val="0"/>
        <w:autoSpaceDN w:val="0"/>
        <w:adjustRightInd w:val="0"/>
        <w:rPr>
          <w:b/>
          <w:bCs/>
          <w:szCs w:val="24"/>
        </w:rPr>
      </w:pPr>
    </w:p>
    <w:p w:rsidRPr="003F0783" w:rsidR="00F43E71" w:rsidP="00F43E71" w:rsidRDefault="00F43E71" w14:paraId="7778068B" w14:textId="77777777">
      <w:pPr>
        <w:keepNext/>
        <w:autoSpaceDE w:val="0"/>
        <w:autoSpaceDN w:val="0"/>
        <w:adjustRightInd w:val="0"/>
        <w:outlineLvl w:val="0"/>
        <w:rPr>
          <w:b/>
          <w:bCs/>
          <w:szCs w:val="24"/>
        </w:rPr>
      </w:pPr>
      <w:proofErr w:type="gramStart"/>
      <w:r w:rsidRPr="003F0783">
        <w:rPr>
          <w:b/>
          <w:bCs/>
          <w:szCs w:val="24"/>
        </w:rPr>
        <w:t>4.0  The</w:t>
      </w:r>
      <w:proofErr w:type="gramEnd"/>
      <w:r w:rsidRPr="003F0783">
        <w:rPr>
          <w:b/>
          <w:bCs/>
          <w:szCs w:val="24"/>
        </w:rPr>
        <w:t xml:space="preserve"> Respondents and the Information Requested</w:t>
      </w:r>
    </w:p>
    <w:p w:rsidRPr="003F0783" w:rsidR="00F43E71" w:rsidP="00F43E71" w:rsidRDefault="00F43E71" w14:paraId="529FF390" w14:textId="77777777">
      <w:pPr>
        <w:keepNext/>
        <w:autoSpaceDE w:val="0"/>
        <w:autoSpaceDN w:val="0"/>
        <w:adjustRightInd w:val="0"/>
        <w:rPr>
          <w:b/>
          <w:bCs/>
          <w:szCs w:val="24"/>
        </w:rPr>
      </w:pPr>
    </w:p>
    <w:p w:rsidRPr="003F0783" w:rsidR="00F43E71" w:rsidP="00F43E71" w:rsidRDefault="00F43E71" w14:paraId="5D4FB8E5" w14:textId="77777777">
      <w:pPr>
        <w:keepNext/>
        <w:autoSpaceDE w:val="0"/>
        <w:autoSpaceDN w:val="0"/>
        <w:adjustRightInd w:val="0"/>
        <w:ind w:left="360"/>
        <w:outlineLvl w:val="0"/>
        <w:rPr>
          <w:b/>
          <w:bCs/>
          <w:szCs w:val="24"/>
        </w:rPr>
      </w:pPr>
      <w:proofErr w:type="gramStart"/>
      <w:r w:rsidRPr="003F0783">
        <w:rPr>
          <w:b/>
          <w:bCs/>
          <w:szCs w:val="24"/>
        </w:rPr>
        <w:t>4.1  Respondents</w:t>
      </w:r>
      <w:proofErr w:type="gramEnd"/>
      <w:r w:rsidRPr="003F0783">
        <w:rPr>
          <w:b/>
          <w:bCs/>
          <w:szCs w:val="24"/>
        </w:rPr>
        <w:t xml:space="preserve"> / North American Industry Classification System (NAICS) Codes</w:t>
      </w:r>
    </w:p>
    <w:p w:rsidRPr="003F0783" w:rsidR="00F43E71" w:rsidP="00F43E71" w:rsidRDefault="00F43E71" w14:paraId="5675245F" w14:textId="77777777">
      <w:pPr>
        <w:keepNext/>
        <w:autoSpaceDE w:val="0"/>
        <w:autoSpaceDN w:val="0"/>
        <w:adjustRightInd w:val="0"/>
        <w:ind w:left="360"/>
        <w:rPr>
          <w:b/>
          <w:bCs/>
          <w:szCs w:val="24"/>
        </w:rPr>
      </w:pPr>
    </w:p>
    <w:p w:rsidRPr="003F0783" w:rsidR="00F43E71" w:rsidP="00F43E71" w:rsidRDefault="00F43E71" w14:paraId="67014207" w14:textId="0BB7C54D">
      <w:pPr>
        <w:autoSpaceDE w:val="0"/>
        <w:autoSpaceDN w:val="0"/>
        <w:adjustRightInd w:val="0"/>
        <w:ind w:firstLine="720"/>
      </w:pPr>
      <w:r>
        <w:t xml:space="preserve">The CSAPR and Texas trading programs generally apply to stationary, fossil fuel-fired boilers and combustion turbines serving generators larger than 25 MW producing electricity for sale.  In the North American Industry Classification System, these sources are generally classified as NAICS code 221112 – Fossil Fuel-Fired Electric Power Generation. Covered sources are subject to recurring emissions-related information collection requirements and one-time or occasional registration requirements.  </w:t>
      </w:r>
    </w:p>
    <w:p w:rsidRPr="003F0783" w:rsidR="00F43E71" w:rsidP="00F43E71" w:rsidRDefault="00F43E71" w14:paraId="364EE780" w14:textId="77777777">
      <w:pPr>
        <w:autoSpaceDE w:val="0"/>
        <w:autoSpaceDN w:val="0"/>
        <w:adjustRightInd w:val="0"/>
        <w:ind w:firstLine="720"/>
        <w:rPr>
          <w:szCs w:val="24"/>
        </w:rPr>
      </w:pPr>
    </w:p>
    <w:p w:rsidRPr="003F0783" w:rsidR="00F43E71" w:rsidP="00F43E71" w:rsidRDefault="00F43E71" w14:paraId="0C13F4FE" w14:textId="1D9176C7">
      <w:pPr>
        <w:autoSpaceDE w:val="0"/>
        <w:autoSpaceDN w:val="0"/>
        <w:adjustRightInd w:val="0"/>
        <w:ind w:firstLine="720"/>
      </w:pPr>
      <w:r>
        <w:t xml:space="preserve">Under the CSAPR and Texas trading programs’ allowance trading provisions, all covered sources may engage in optional allowance trading activities. Opportunities to participate in allowance trading activities are also open to non-source entities in any industry. Use of these opportunities is subject to trading-related information collection requirements and, in the case of non-source entities, a one-time registration requirement. </w:t>
      </w:r>
    </w:p>
    <w:p w:rsidRPr="003F0783" w:rsidR="00F43E71" w:rsidP="00F43E71" w:rsidRDefault="00F43E71" w14:paraId="74AA5F6E" w14:textId="77777777">
      <w:pPr>
        <w:autoSpaceDE w:val="0"/>
        <w:autoSpaceDN w:val="0"/>
        <w:adjustRightInd w:val="0"/>
        <w:ind w:firstLine="720"/>
        <w:rPr>
          <w:szCs w:val="24"/>
        </w:rPr>
      </w:pPr>
    </w:p>
    <w:p w:rsidRPr="003F0783" w:rsidR="00F43E71" w:rsidP="00F43E71" w:rsidRDefault="00F43E71" w14:paraId="471BF0C7" w14:textId="3A8EACAC">
      <w:pPr>
        <w:autoSpaceDE w:val="0"/>
        <w:autoSpaceDN w:val="0"/>
        <w:adjustRightInd w:val="0"/>
        <w:ind w:firstLine="720"/>
      </w:pPr>
      <w:r>
        <w:t>The CSAPR and Texas trading programs do not impose any information collection obligations on states and do not establish any program-specific permitting requirements that would implicate state and local permitting authorities.</w:t>
      </w:r>
      <w:r w:rsidDel="00DB30F1">
        <w:t xml:space="preserve"> </w:t>
      </w:r>
      <w:r>
        <w:t xml:space="preserve">However, a state whose sources participate in a CSAPR trading program under either a FIP or a SIP has certain options to determine how CSAPR emission allowances are allocated each year among the state’s affected sources. Use of this opportunity triggers requirements to submit allowance allocation information.  </w:t>
      </w:r>
    </w:p>
    <w:p w:rsidRPr="003F0783" w:rsidR="00F43E71" w:rsidP="00F43E71" w:rsidRDefault="00F43E71" w14:paraId="15F0D8D7" w14:textId="77777777">
      <w:pPr>
        <w:autoSpaceDE w:val="0"/>
        <w:autoSpaceDN w:val="0"/>
        <w:adjustRightInd w:val="0"/>
        <w:ind w:firstLine="720"/>
        <w:rPr>
          <w:szCs w:val="24"/>
        </w:rPr>
      </w:pPr>
    </w:p>
    <w:p w:rsidRPr="003F0783" w:rsidR="00F43E71" w:rsidP="00F43E71" w:rsidRDefault="00F43E71" w14:paraId="53BB5BB6" w14:textId="77777777">
      <w:pPr>
        <w:keepNext/>
        <w:autoSpaceDE w:val="0"/>
        <w:autoSpaceDN w:val="0"/>
        <w:adjustRightInd w:val="0"/>
        <w:ind w:left="360"/>
        <w:outlineLvl w:val="0"/>
        <w:rPr>
          <w:b/>
          <w:bCs/>
          <w:szCs w:val="24"/>
        </w:rPr>
      </w:pPr>
      <w:proofErr w:type="gramStart"/>
      <w:r w:rsidRPr="003F0783">
        <w:rPr>
          <w:b/>
          <w:bCs/>
          <w:szCs w:val="24"/>
        </w:rPr>
        <w:lastRenderedPageBreak/>
        <w:t>4.2  Information</w:t>
      </w:r>
      <w:proofErr w:type="gramEnd"/>
      <w:r w:rsidRPr="003F0783">
        <w:rPr>
          <w:b/>
          <w:bCs/>
          <w:szCs w:val="24"/>
        </w:rPr>
        <w:t xml:space="preserve"> Requested</w:t>
      </w:r>
    </w:p>
    <w:p w:rsidRPr="003F0783" w:rsidR="00F43E71" w:rsidP="00F43E71" w:rsidRDefault="00F43E71" w14:paraId="55BA4A61" w14:textId="77777777">
      <w:pPr>
        <w:keepNext/>
        <w:autoSpaceDE w:val="0"/>
        <w:autoSpaceDN w:val="0"/>
        <w:adjustRightInd w:val="0"/>
        <w:rPr>
          <w:b/>
          <w:bCs/>
          <w:szCs w:val="24"/>
        </w:rPr>
      </w:pPr>
    </w:p>
    <w:p w:rsidRPr="003F0783" w:rsidR="00F43E71" w:rsidP="00F43E71" w:rsidRDefault="00F43E71" w14:paraId="66C44F57" w14:textId="77777777">
      <w:pPr>
        <w:autoSpaceDE w:val="0"/>
        <w:autoSpaceDN w:val="0"/>
        <w:adjustRightInd w:val="0"/>
        <w:ind w:firstLine="720"/>
        <w:rPr>
          <w:szCs w:val="24"/>
        </w:rPr>
      </w:pPr>
      <w:r w:rsidRPr="003F0783">
        <w:rPr>
          <w:szCs w:val="24"/>
        </w:rPr>
        <w:t xml:space="preserve">This section describes the data items requested from affected sources for the collections described in this ICR and defines the activities in which respondents must engage to assemble, submit, or store these data items.  </w:t>
      </w:r>
    </w:p>
    <w:p w:rsidRPr="003F0783" w:rsidR="00F43E71" w:rsidP="00F43E71" w:rsidRDefault="00F43E71" w14:paraId="1424B039" w14:textId="77777777">
      <w:pPr>
        <w:autoSpaceDE w:val="0"/>
        <w:autoSpaceDN w:val="0"/>
        <w:adjustRightInd w:val="0"/>
        <w:rPr>
          <w:iCs/>
          <w:szCs w:val="24"/>
        </w:rPr>
      </w:pPr>
    </w:p>
    <w:p w:rsidRPr="003F0783" w:rsidR="00F43E71" w:rsidP="00F43E71" w:rsidRDefault="00F43E71" w14:paraId="5E893899" w14:textId="77777777">
      <w:pPr>
        <w:autoSpaceDE w:val="0"/>
        <w:autoSpaceDN w:val="0"/>
        <w:adjustRightInd w:val="0"/>
        <w:ind w:left="720"/>
        <w:outlineLvl w:val="0"/>
        <w:rPr>
          <w:iCs/>
          <w:szCs w:val="24"/>
        </w:rPr>
      </w:pPr>
      <w:r w:rsidRPr="003F0783">
        <w:rPr>
          <w:iCs/>
          <w:szCs w:val="24"/>
        </w:rPr>
        <w:t>(</w:t>
      </w:r>
      <w:proofErr w:type="spellStart"/>
      <w:r w:rsidRPr="003F0783">
        <w:rPr>
          <w:iCs/>
          <w:szCs w:val="24"/>
        </w:rPr>
        <w:t>i</w:t>
      </w:r>
      <w:proofErr w:type="spellEnd"/>
      <w:r w:rsidRPr="003F0783">
        <w:rPr>
          <w:iCs/>
          <w:szCs w:val="24"/>
        </w:rPr>
        <w:t>)  Data Items, Including Recordkeeping Requirements</w:t>
      </w:r>
    </w:p>
    <w:p w:rsidRPr="003F0783" w:rsidR="00F43E71" w:rsidP="00F43E71" w:rsidRDefault="00F43E71" w14:paraId="514D20C5" w14:textId="77777777">
      <w:pPr>
        <w:autoSpaceDE w:val="0"/>
        <w:autoSpaceDN w:val="0"/>
        <w:adjustRightInd w:val="0"/>
        <w:rPr>
          <w:szCs w:val="24"/>
        </w:rPr>
      </w:pPr>
    </w:p>
    <w:p w:rsidRPr="003F0783" w:rsidR="00F43E71" w:rsidP="00F43E71" w:rsidRDefault="00F43E71" w14:paraId="16EF0195" w14:textId="77777777">
      <w:pPr>
        <w:autoSpaceDE w:val="0"/>
        <w:autoSpaceDN w:val="0"/>
        <w:adjustRightInd w:val="0"/>
        <w:ind w:left="1080"/>
        <w:outlineLvl w:val="0"/>
        <w:rPr>
          <w:szCs w:val="24"/>
        </w:rPr>
      </w:pPr>
      <w:r w:rsidRPr="003F0783">
        <w:rPr>
          <w:szCs w:val="24"/>
        </w:rPr>
        <w:t>(a)  Certificates of Representation and Other One-Time Registration Forms</w:t>
      </w:r>
    </w:p>
    <w:p w:rsidRPr="003F0783" w:rsidR="00F43E71" w:rsidP="00F43E71" w:rsidRDefault="00F43E71" w14:paraId="6A1C66B3" w14:textId="77777777">
      <w:pPr>
        <w:autoSpaceDE w:val="0"/>
        <w:autoSpaceDN w:val="0"/>
        <w:adjustRightInd w:val="0"/>
        <w:rPr>
          <w:szCs w:val="24"/>
        </w:rPr>
      </w:pPr>
    </w:p>
    <w:p w:rsidRPr="003F0783" w:rsidR="00F43E71" w:rsidP="00F43E71" w:rsidRDefault="00F43E71" w14:paraId="5E9CDC5C" w14:textId="3B27929D">
      <w:pPr>
        <w:autoSpaceDE w:val="0"/>
        <w:autoSpaceDN w:val="0"/>
        <w:adjustRightInd w:val="0"/>
        <w:ind w:firstLine="720"/>
      </w:pPr>
      <w:r>
        <w:t>For each affected source under each of the CSAPR trading programs and the Texas SO</w:t>
      </w:r>
      <w:r w:rsidRPr="35C0C161">
        <w:rPr>
          <w:vertAlign w:val="subscript"/>
        </w:rPr>
        <w:t>2</w:t>
      </w:r>
      <w:r>
        <w:t xml:space="preserve"> trading program, the designated representative must submit a certificate of representation. The certificate must be updated as needed to reflect any changes in the units at the source or in the identities of owners, operators, or the designated representative or alternate. A complete certificate of representation for a source includes:</w:t>
      </w:r>
    </w:p>
    <w:p w:rsidRPr="003F0783" w:rsidR="00F43E71" w:rsidP="00F43E71" w:rsidRDefault="00F43E71" w14:paraId="42BE8E83" w14:textId="77777777">
      <w:pPr>
        <w:autoSpaceDE w:val="0"/>
        <w:autoSpaceDN w:val="0"/>
        <w:adjustRightInd w:val="0"/>
        <w:rPr>
          <w:szCs w:val="24"/>
        </w:rPr>
      </w:pPr>
    </w:p>
    <w:p w:rsidRPr="003F0783" w:rsidR="00F43E71" w:rsidP="00F43E71" w:rsidRDefault="00F43E71" w14:paraId="236E104F" w14:textId="77777777">
      <w:pPr>
        <w:autoSpaceDE w:val="0"/>
        <w:autoSpaceDN w:val="0"/>
        <w:adjustRightInd w:val="0"/>
        <w:ind w:left="720" w:hanging="360"/>
        <w:rPr>
          <w:szCs w:val="24"/>
        </w:rPr>
      </w:pPr>
      <w:r w:rsidRPr="003F0783">
        <w:rPr>
          <w:szCs w:val="24"/>
        </w:rPr>
        <w:t>●</w:t>
      </w:r>
      <w:r w:rsidRPr="003F0783">
        <w:rPr>
          <w:szCs w:val="24"/>
        </w:rPr>
        <w:tab/>
        <w:t xml:space="preserve">Identification of the source and the units at the </w:t>
      </w:r>
      <w:proofErr w:type="gramStart"/>
      <w:r w:rsidRPr="003F0783">
        <w:rPr>
          <w:szCs w:val="24"/>
        </w:rPr>
        <w:t>source;</w:t>
      </w:r>
      <w:proofErr w:type="gramEnd"/>
    </w:p>
    <w:p w:rsidRPr="003F0783" w:rsidR="00F43E71" w:rsidP="00F43E71" w:rsidRDefault="00F43E71" w14:paraId="50745C92" w14:textId="77777777">
      <w:pPr>
        <w:autoSpaceDE w:val="0"/>
        <w:autoSpaceDN w:val="0"/>
        <w:adjustRightInd w:val="0"/>
        <w:ind w:left="720" w:hanging="360"/>
        <w:rPr>
          <w:szCs w:val="24"/>
        </w:rPr>
      </w:pPr>
      <w:r w:rsidRPr="003F0783">
        <w:rPr>
          <w:szCs w:val="24"/>
        </w:rPr>
        <w:t>●</w:t>
      </w:r>
      <w:r w:rsidRPr="003F0783">
        <w:rPr>
          <w:szCs w:val="24"/>
        </w:rPr>
        <w:tab/>
        <w:t xml:space="preserve">Dates on which the units commenced commercial </w:t>
      </w:r>
      <w:proofErr w:type="gramStart"/>
      <w:r w:rsidRPr="003F0783">
        <w:rPr>
          <w:szCs w:val="24"/>
        </w:rPr>
        <w:t>operation;</w:t>
      </w:r>
      <w:proofErr w:type="gramEnd"/>
    </w:p>
    <w:p w:rsidRPr="003F0783" w:rsidR="00F43E71" w:rsidP="00F43E71" w:rsidRDefault="00F43E71" w14:paraId="1B103DE2" w14:textId="77777777">
      <w:pPr>
        <w:autoSpaceDE w:val="0"/>
        <w:autoSpaceDN w:val="0"/>
        <w:adjustRightInd w:val="0"/>
        <w:ind w:left="720" w:hanging="360"/>
        <w:rPr>
          <w:szCs w:val="24"/>
        </w:rPr>
      </w:pPr>
      <w:r w:rsidRPr="003F0783">
        <w:rPr>
          <w:szCs w:val="24"/>
        </w:rPr>
        <w:t>●</w:t>
      </w:r>
      <w:r w:rsidRPr="003F0783">
        <w:rPr>
          <w:szCs w:val="24"/>
        </w:rPr>
        <w:tab/>
        <w:t>Name and contact information for the designated representative and alternate (if applicable</w:t>
      </w:r>
      <w:proofErr w:type="gramStart"/>
      <w:r w:rsidRPr="003F0783">
        <w:rPr>
          <w:szCs w:val="24"/>
        </w:rPr>
        <w:t>);</w:t>
      </w:r>
      <w:proofErr w:type="gramEnd"/>
    </w:p>
    <w:p w:rsidRPr="003F0783" w:rsidR="00F43E71" w:rsidP="00F43E71" w:rsidRDefault="00F43E71" w14:paraId="5922CFB5" w14:textId="77777777">
      <w:pPr>
        <w:keepNext/>
        <w:autoSpaceDE w:val="0"/>
        <w:autoSpaceDN w:val="0"/>
        <w:adjustRightInd w:val="0"/>
        <w:ind w:left="720" w:hanging="360"/>
        <w:rPr>
          <w:szCs w:val="24"/>
        </w:rPr>
      </w:pPr>
      <w:r w:rsidRPr="003F0783">
        <w:rPr>
          <w:szCs w:val="24"/>
        </w:rPr>
        <w:t>●</w:t>
      </w:r>
      <w:r w:rsidRPr="003F0783">
        <w:rPr>
          <w:szCs w:val="24"/>
        </w:rPr>
        <w:tab/>
        <w:t>A list of the owners and operators of each unit; and</w:t>
      </w:r>
    </w:p>
    <w:p w:rsidRPr="003F0783" w:rsidR="00F43E71" w:rsidP="00F43E71" w:rsidRDefault="00F43E71" w14:paraId="27872CF8" w14:textId="77777777">
      <w:pPr>
        <w:autoSpaceDE w:val="0"/>
        <w:autoSpaceDN w:val="0"/>
        <w:adjustRightInd w:val="0"/>
        <w:ind w:left="720" w:hanging="360"/>
        <w:rPr>
          <w:szCs w:val="24"/>
        </w:rPr>
      </w:pPr>
      <w:r w:rsidRPr="003F0783">
        <w:rPr>
          <w:szCs w:val="24"/>
        </w:rPr>
        <w:t>●</w:t>
      </w:r>
      <w:r w:rsidRPr="003F0783">
        <w:rPr>
          <w:szCs w:val="24"/>
        </w:rPr>
        <w:tab/>
        <w:t>A certification statement and signature of the designated representative and alternate (if applicable).</w:t>
      </w:r>
    </w:p>
    <w:p w:rsidRPr="003F0783" w:rsidR="00F43E71" w:rsidP="00F43E71" w:rsidRDefault="00F43E71" w14:paraId="07D4F43F" w14:textId="77777777">
      <w:pPr>
        <w:autoSpaceDE w:val="0"/>
        <w:autoSpaceDN w:val="0"/>
        <w:adjustRightInd w:val="0"/>
        <w:rPr>
          <w:szCs w:val="24"/>
        </w:rPr>
      </w:pPr>
    </w:p>
    <w:p w:rsidRPr="003F0783" w:rsidR="00F43E71" w:rsidP="00F43E71" w:rsidRDefault="00F43E71" w14:paraId="0FAAD9AD" w14:textId="77777777">
      <w:pPr>
        <w:autoSpaceDE w:val="0"/>
        <w:autoSpaceDN w:val="0"/>
        <w:adjustRightInd w:val="0"/>
        <w:ind w:firstLine="720"/>
        <w:rPr>
          <w:szCs w:val="24"/>
        </w:rPr>
      </w:pPr>
      <w:r w:rsidRPr="003F0783">
        <w:rPr>
          <w:szCs w:val="24"/>
        </w:rPr>
        <w:t>Certification applications are to be kept for a period of five years pursuant to the general requirements imposed for Title V permitted facilities.</w:t>
      </w:r>
    </w:p>
    <w:p w:rsidRPr="003F0783" w:rsidR="00F43E71" w:rsidP="00F43E71" w:rsidRDefault="00F43E71" w14:paraId="286D6B96" w14:textId="77777777">
      <w:pPr>
        <w:autoSpaceDE w:val="0"/>
        <w:autoSpaceDN w:val="0"/>
        <w:adjustRightInd w:val="0"/>
        <w:ind w:firstLine="720"/>
        <w:rPr>
          <w:szCs w:val="24"/>
        </w:rPr>
      </w:pPr>
    </w:p>
    <w:p w:rsidRPr="003F0783" w:rsidR="00F43E71" w:rsidP="00F43E71" w:rsidRDefault="00F43E71" w14:paraId="08C513A4" w14:textId="6BDA9F7D">
      <w:pPr>
        <w:autoSpaceDE w:val="0"/>
        <w:autoSpaceDN w:val="0"/>
        <w:adjustRightInd w:val="0"/>
        <w:ind w:firstLine="720"/>
      </w:pPr>
      <w:r>
        <w:t>The CSAPR and Texas trading programs exempt a retired unit from emission monitoring and reporting requirements following receipt of appropriate notification from the designated representative. A complete retired unit exemption form includes:</w:t>
      </w:r>
    </w:p>
    <w:p w:rsidRPr="003F0783" w:rsidR="00F43E71" w:rsidP="00F43E71" w:rsidRDefault="00F43E71" w14:paraId="0B8F2C42" w14:textId="77777777">
      <w:pPr>
        <w:autoSpaceDE w:val="0"/>
        <w:autoSpaceDN w:val="0"/>
        <w:adjustRightInd w:val="0"/>
        <w:ind w:firstLine="720"/>
        <w:rPr>
          <w:szCs w:val="24"/>
        </w:rPr>
      </w:pPr>
    </w:p>
    <w:p w:rsidRPr="003F0783" w:rsidR="00F43E71" w:rsidP="00F43E71" w:rsidRDefault="00F43E71" w14:paraId="0EA1A3DD" w14:textId="77777777">
      <w:pPr>
        <w:autoSpaceDE w:val="0"/>
        <w:autoSpaceDN w:val="0"/>
        <w:adjustRightInd w:val="0"/>
        <w:ind w:left="720" w:hanging="360"/>
        <w:rPr>
          <w:szCs w:val="24"/>
        </w:rPr>
      </w:pPr>
      <w:r w:rsidRPr="003F0783">
        <w:rPr>
          <w:szCs w:val="24"/>
        </w:rPr>
        <w:t>●</w:t>
      </w:r>
      <w:r w:rsidRPr="003F0783">
        <w:rPr>
          <w:szCs w:val="24"/>
        </w:rPr>
        <w:tab/>
        <w:t xml:space="preserve">Identification of the source and </w:t>
      </w:r>
      <w:proofErr w:type="gramStart"/>
      <w:r w:rsidRPr="003F0783">
        <w:rPr>
          <w:szCs w:val="24"/>
        </w:rPr>
        <w:t>unit;</w:t>
      </w:r>
      <w:proofErr w:type="gramEnd"/>
    </w:p>
    <w:p w:rsidRPr="003F0783" w:rsidR="00F43E71" w:rsidP="00F43E71" w:rsidRDefault="00F43E71" w14:paraId="6A181E7D" w14:textId="77777777">
      <w:pPr>
        <w:autoSpaceDE w:val="0"/>
        <w:autoSpaceDN w:val="0"/>
        <w:adjustRightInd w:val="0"/>
        <w:ind w:left="720" w:hanging="360"/>
        <w:rPr>
          <w:szCs w:val="24"/>
        </w:rPr>
      </w:pPr>
      <w:r w:rsidRPr="003F0783">
        <w:rPr>
          <w:szCs w:val="24"/>
        </w:rPr>
        <w:t>●</w:t>
      </w:r>
      <w:r w:rsidRPr="003F0783">
        <w:rPr>
          <w:szCs w:val="24"/>
        </w:rPr>
        <w:tab/>
        <w:t xml:space="preserve">Date on which the unit was or will be permanently </w:t>
      </w:r>
      <w:proofErr w:type="gramStart"/>
      <w:r w:rsidRPr="003F0783">
        <w:rPr>
          <w:szCs w:val="24"/>
        </w:rPr>
        <w:t>retired;</w:t>
      </w:r>
      <w:proofErr w:type="gramEnd"/>
    </w:p>
    <w:p w:rsidRPr="003F0783" w:rsidR="00F43E71" w:rsidP="00F43E71" w:rsidRDefault="00F43E71" w14:paraId="3A568D02" w14:textId="77777777">
      <w:pPr>
        <w:autoSpaceDE w:val="0"/>
        <w:autoSpaceDN w:val="0"/>
        <w:adjustRightInd w:val="0"/>
        <w:ind w:left="720" w:hanging="360"/>
        <w:rPr>
          <w:szCs w:val="24"/>
        </w:rPr>
      </w:pPr>
      <w:r w:rsidRPr="003F0783">
        <w:rPr>
          <w:szCs w:val="24"/>
        </w:rPr>
        <w:t>●</w:t>
      </w:r>
      <w:r w:rsidRPr="003F0783">
        <w:rPr>
          <w:szCs w:val="24"/>
        </w:rPr>
        <w:tab/>
        <w:t>A certification statement and signature of the designated representative or alternate.</w:t>
      </w:r>
    </w:p>
    <w:p w:rsidRPr="003F0783" w:rsidR="00F43E71" w:rsidP="00F43E71" w:rsidRDefault="00F43E71" w14:paraId="256C5946" w14:textId="77777777">
      <w:pPr>
        <w:autoSpaceDE w:val="0"/>
        <w:autoSpaceDN w:val="0"/>
        <w:adjustRightInd w:val="0"/>
        <w:ind w:firstLine="720"/>
        <w:rPr>
          <w:szCs w:val="24"/>
        </w:rPr>
      </w:pPr>
    </w:p>
    <w:p w:rsidRPr="003F0783" w:rsidR="00F43E71" w:rsidP="00F43E71" w:rsidRDefault="00F43E71" w14:paraId="48A99A36" w14:textId="150B1E33">
      <w:pPr>
        <w:autoSpaceDE w:val="0"/>
        <w:autoSpaceDN w:val="0"/>
        <w:adjustRightInd w:val="0"/>
        <w:ind w:firstLine="720"/>
      </w:pPr>
      <w:r>
        <w:t xml:space="preserve">Non-source entities participating in allowance trading activities under the </w:t>
      </w:r>
      <w:proofErr w:type="gramStart"/>
      <w:r>
        <w:t>CSAPR</w:t>
      </w:r>
      <w:proofErr w:type="gramEnd"/>
      <w:r>
        <w:t xml:space="preserve"> and Texas trading programs must submit an application to establish a general account in the allowance tracking system. For purposes of this ICR, it is assumed that the burden and costs of all general account applications are accounted for in the ARP ICR.</w:t>
      </w:r>
    </w:p>
    <w:p w:rsidRPr="003F0783" w:rsidR="00F43E71" w:rsidP="00F43E71" w:rsidRDefault="00F43E71" w14:paraId="2D8DE3E8" w14:textId="77777777">
      <w:pPr>
        <w:autoSpaceDE w:val="0"/>
        <w:autoSpaceDN w:val="0"/>
        <w:adjustRightInd w:val="0"/>
        <w:ind w:firstLine="720"/>
        <w:rPr>
          <w:szCs w:val="24"/>
        </w:rPr>
      </w:pPr>
    </w:p>
    <w:p w:rsidRPr="003F0783" w:rsidR="00F43E71" w:rsidP="00F43E71" w:rsidRDefault="00F43E71" w14:paraId="376D1067" w14:textId="77777777">
      <w:pPr>
        <w:autoSpaceDE w:val="0"/>
        <w:autoSpaceDN w:val="0"/>
        <w:adjustRightInd w:val="0"/>
        <w:ind w:left="1080"/>
        <w:outlineLvl w:val="0"/>
        <w:rPr>
          <w:szCs w:val="24"/>
        </w:rPr>
      </w:pPr>
      <w:r w:rsidRPr="003F0783">
        <w:rPr>
          <w:szCs w:val="24"/>
        </w:rPr>
        <w:t>(b)  Allowance Tracking</w:t>
      </w:r>
    </w:p>
    <w:p w:rsidRPr="003F0783" w:rsidR="00F43E71" w:rsidP="00F43E71" w:rsidRDefault="00F43E71" w14:paraId="6E1B0014" w14:textId="77777777">
      <w:pPr>
        <w:autoSpaceDE w:val="0"/>
        <w:autoSpaceDN w:val="0"/>
        <w:adjustRightInd w:val="0"/>
        <w:rPr>
          <w:szCs w:val="24"/>
        </w:rPr>
      </w:pPr>
    </w:p>
    <w:p w:rsidRPr="003F0783" w:rsidR="00F43E71" w:rsidP="00F43E71" w:rsidRDefault="00F43E71" w14:paraId="1CDEF61B" w14:textId="77777777">
      <w:pPr>
        <w:autoSpaceDE w:val="0"/>
        <w:autoSpaceDN w:val="0"/>
        <w:adjustRightInd w:val="0"/>
        <w:rPr>
          <w:szCs w:val="24"/>
        </w:rPr>
      </w:pPr>
      <w:r w:rsidRPr="003F0783">
        <w:rPr>
          <w:szCs w:val="24"/>
        </w:rPr>
        <w:tab/>
        <w:t xml:space="preserve">Sources and other trading program participants must submit allowance transfer, allowance deduction, and compliance assurance information, as necessary. </w:t>
      </w:r>
    </w:p>
    <w:p w:rsidRPr="003F0783" w:rsidR="00F43E71" w:rsidP="00F43E71" w:rsidRDefault="00F43E71" w14:paraId="30942095" w14:textId="77777777">
      <w:pPr>
        <w:autoSpaceDE w:val="0"/>
        <w:autoSpaceDN w:val="0"/>
        <w:adjustRightInd w:val="0"/>
        <w:rPr>
          <w:szCs w:val="24"/>
        </w:rPr>
      </w:pPr>
    </w:p>
    <w:p w:rsidRPr="003F0783" w:rsidR="00F43E71" w:rsidP="00F43E71" w:rsidRDefault="00F43E71" w14:paraId="3DB2C580" w14:textId="77777777">
      <w:pPr>
        <w:numPr>
          <w:ilvl w:val="12"/>
          <w:numId w:val="0"/>
        </w:numPr>
        <w:rPr>
          <w:szCs w:val="24"/>
        </w:rPr>
      </w:pPr>
      <w:r w:rsidRPr="003F0783">
        <w:rPr>
          <w:szCs w:val="24"/>
        </w:rPr>
        <w:tab/>
        <w:t>The authorized account representative for an allowance tracking system account is required to provide the following information for each transfer of allowances to another account:</w:t>
      </w:r>
    </w:p>
    <w:p w:rsidRPr="003F0783" w:rsidR="00F43E71" w:rsidP="00F43E71" w:rsidRDefault="00F43E71" w14:paraId="0E4FA362" w14:textId="77777777">
      <w:pPr>
        <w:numPr>
          <w:ilvl w:val="12"/>
          <w:numId w:val="0"/>
        </w:numPr>
        <w:rPr>
          <w:szCs w:val="24"/>
        </w:rPr>
      </w:pPr>
    </w:p>
    <w:p w:rsidRPr="003F0783" w:rsidR="00F43E71" w:rsidP="00F43E71" w:rsidRDefault="00F43E71" w14:paraId="203B9EF3" w14:textId="77777777">
      <w:pPr>
        <w:pStyle w:val="Level1"/>
        <w:widowControl/>
        <w:tabs>
          <w:tab w:val="left" w:pos="720"/>
          <w:tab w:val="left" w:pos="1440"/>
        </w:tabs>
        <w:ind w:hanging="360"/>
        <w:jc w:val="left"/>
      </w:pPr>
      <w:r w:rsidRPr="003F0783">
        <w:t>●</w:t>
      </w:r>
      <w:r w:rsidRPr="003F0783">
        <w:tab/>
        <w:t xml:space="preserve">Allowance tracking system account </w:t>
      </w:r>
      <w:proofErr w:type="gramStart"/>
      <w:r w:rsidRPr="003F0783">
        <w:t>number;</w:t>
      </w:r>
      <w:proofErr w:type="gramEnd"/>
    </w:p>
    <w:p w:rsidRPr="003F0783" w:rsidR="00F43E71" w:rsidP="00F43E71" w:rsidRDefault="00F43E71" w14:paraId="2A4D9A88" w14:textId="77777777">
      <w:pPr>
        <w:pStyle w:val="Level1"/>
        <w:widowControl/>
        <w:tabs>
          <w:tab w:val="left" w:pos="720"/>
          <w:tab w:val="left" w:pos="1440"/>
        </w:tabs>
        <w:ind w:hanging="360"/>
        <w:jc w:val="left"/>
      </w:pPr>
      <w:r w:rsidRPr="003F0783">
        <w:lastRenderedPageBreak/>
        <w:t>●</w:t>
      </w:r>
      <w:r w:rsidRPr="003F0783">
        <w:tab/>
        <w:t>Name, phone number, and facsimile number of the authorized account representative, along with the representative's signature and date of submission; and</w:t>
      </w:r>
    </w:p>
    <w:p w:rsidRPr="003F0783" w:rsidR="00F43E71" w:rsidP="00F43E71" w:rsidRDefault="00F43E71" w14:paraId="7E2E2D77" w14:textId="77777777">
      <w:pPr>
        <w:pStyle w:val="Level1"/>
        <w:widowControl/>
        <w:tabs>
          <w:tab w:val="left" w:pos="720"/>
          <w:tab w:val="left" w:pos="1440"/>
        </w:tabs>
        <w:ind w:hanging="360"/>
        <w:jc w:val="left"/>
      </w:pPr>
      <w:r w:rsidRPr="003F0783">
        <w:t>●</w:t>
      </w:r>
      <w:r w:rsidRPr="003F0783">
        <w:tab/>
        <w:t>Serial numbers of allowances to be transferred.</w:t>
      </w:r>
    </w:p>
    <w:p w:rsidRPr="003F0783" w:rsidR="00F43E71" w:rsidP="00F43E71" w:rsidRDefault="00F43E71" w14:paraId="4C933B2C" w14:textId="77777777">
      <w:pPr>
        <w:numPr>
          <w:ilvl w:val="12"/>
          <w:numId w:val="0"/>
        </w:numPr>
        <w:rPr>
          <w:szCs w:val="24"/>
        </w:rPr>
      </w:pPr>
    </w:p>
    <w:p w:rsidRPr="003F0783" w:rsidR="00F43E71" w:rsidP="00F43E71" w:rsidRDefault="00F43E71" w14:paraId="4751D416" w14:textId="77777777">
      <w:pPr>
        <w:numPr>
          <w:ilvl w:val="12"/>
          <w:numId w:val="0"/>
        </w:numPr>
        <w:rPr>
          <w:szCs w:val="24"/>
        </w:rPr>
      </w:pPr>
      <w:r w:rsidRPr="003F0783">
        <w:rPr>
          <w:szCs w:val="24"/>
        </w:rPr>
        <w:tab/>
        <w:t>In addition, if the designated representative for a source chooses to identify the specific serialized allowances to be deducted from the source's allowance tracking system account for annual reconciliation, then the following information is required:</w:t>
      </w:r>
    </w:p>
    <w:p w:rsidRPr="003F0783" w:rsidR="00F43E71" w:rsidP="00F43E71" w:rsidRDefault="00F43E71" w14:paraId="29422650" w14:textId="77777777">
      <w:pPr>
        <w:numPr>
          <w:ilvl w:val="12"/>
          <w:numId w:val="0"/>
        </w:numPr>
        <w:rPr>
          <w:szCs w:val="24"/>
        </w:rPr>
      </w:pPr>
    </w:p>
    <w:p w:rsidRPr="003F0783" w:rsidR="00F43E71" w:rsidP="00F43E71" w:rsidRDefault="00F43E71" w14:paraId="69C48820" w14:textId="77777777">
      <w:pPr>
        <w:pStyle w:val="Level1"/>
        <w:widowControl/>
        <w:tabs>
          <w:tab w:val="left" w:pos="720"/>
        </w:tabs>
        <w:ind w:hanging="360"/>
        <w:jc w:val="left"/>
      </w:pPr>
      <w:r w:rsidRPr="003F0783">
        <w:t>●</w:t>
      </w:r>
      <w:r w:rsidRPr="003F0783">
        <w:tab/>
        <w:t xml:space="preserve">Allowance tracking system account </w:t>
      </w:r>
      <w:proofErr w:type="gramStart"/>
      <w:r w:rsidRPr="003F0783">
        <w:t>number;</w:t>
      </w:r>
      <w:proofErr w:type="gramEnd"/>
    </w:p>
    <w:p w:rsidRPr="003F0783" w:rsidR="00F43E71" w:rsidP="00F43E71" w:rsidRDefault="00F43E71" w14:paraId="33A73541" w14:textId="77777777">
      <w:pPr>
        <w:pStyle w:val="Level1"/>
        <w:widowControl/>
        <w:tabs>
          <w:tab w:val="left" w:pos="720"/>
        </w:tabs>
        <w:ind w:hanging="360"/>
        <w:jc w:val="left"/>
      </w:pPr>
      <w:r w:rsidRPr="003F0783">
        <w:t>●</w:t>
      </w:r>
      <w:r w:rsidRPr="003F0783">
        <w:tab/>
        <w:t xml:space="preserve">Type of </w:t>
      </w:r>
      <w:proofErr w:type="gramStart"/>
      <w:r w:rsidRPr="003F0783">
        <w:t>deduction;</w:t>
      </w:r>
      <w:proofErr w:type="gramEnd"/>
    </w:p>
    <w:p w:rsidRPr="003F0783" w:rsidR="00F43E71" w:rsidP="00F43E71" w:rsidRDefault="00F43E71" w14:paraId="30B2BB3B" w14:textId="77777777">
      <w:pPr>
        <w:pStyle w:val="Level1"/>
        <w:widowControl/>
        <w:tabs>
          <w:tab w:val="left" w:pos="720"/>
        </w:tabs>
        <w:ind w:hanging="360"/>
        <w:jc w:val="left"/>
      </w:pPr>
      <w:r w:rsidRPr="003F0783">
        <w:t>●</w:t>
      </w:r>
      <w:r w:rsidRPr="003F0783">
        <w:tab/>
        <w:t>Serial numbers of the allowance blocks to be deducted; and</w:t>
      </w:r>
    </w:p>
    <w:p w:rsidRPr="003F0783" w:rsidR="00F43E71" w:rsidP="00F43E71" w:rsidRDefault="00F43E71" w14:paraId="53C59E40" w14:textId="77777777">
      <w:pPr>
        <w:pStyle w:val="Level1"/>
        <w:widowControl/>
        <w:tabs>
          <w:tab w:val="left" w:pos="720"/>
        </w:tabs>
        <w:ind w:hanging="360"/>
        <w:jc w:val="left"/>
      </w:pPr>
      <w:r w:rsidRPr="003F0783">
        <w:t>●</w:t>
      </w:r>
      <w:r w:rsidRPr="003F0783">
        <w:tab/>
        <w:t>Dated signature of the designated representative.</w:t>
      </w:r>
    </w:p>
    <w:p w:rsidRPr="003F0783" w:rsidR="00F43E71" w:rsidP="00F43E71" w:rsidRDefault="00F43E71" w14:paraId="5F54D297" w14:textId="77777777">
      <w:pPr>
        <w:numPr>
          <w:ilvl w:val="12"/>
          <w:numId w:val="0"/>
        </w:numPr>
        <w:rPr>
          <w:szCs w:val="24"/>
        </w:rPr>
      </w:pPr>
    </w:p>
    <w:p w:rsidRPr="003F0783" w:rsidR="00F43E71" w:rsidP="35C0C161" w:rsidRDefault="00F43E71" w14:paraId="541FE6C9" w14:textId="68E1DD41">
      <w:r w:rsidRPr="003F0783">
        <w:rPr>
          <w:szCs w:val="24"/>
        </w:rPr>
        <w:tab/>
      </w:r>
      <w:proofErr w:type="gramStart"/>
      <w:r w:rsidRPr="35C0C161">
        <w:t>In the event that</w:t>
      </w:r>
      <w:proofErr w:type="gramEnd"/>
      <w:r w:rsidRPr="35C0C161">
        <w:t xml:space="preserve"> total emissions in a state during a control period ever exceeded the state’s emission budget by more than a specified variability limit, some sources in the state would be required to submit additional information for compliance assurance. For purposes of this ICR, it is assumed that no such exceedances will occur.</w:t>
      </w:r>
    </w:p>
    <w:p w:rsidRPr="003F0783" w:rsidR="00F43E71" w:rsidP="00F43E71" w:rsidRDefault="00F43E71" w14:paraId="66E5977E" w14:textId="77777777">
      <w:pPr>
        <w:numPr>
          <w:ilvl w:val="12"/>
          <w:numId w:val="0"/>
        </w:numPr>
        <w:rPr>
          <w:szCs w:val="24"/>
        </w:rPr>
      </w:pPr>
    </w:p>
    <w:p w:rsidRPr="003F0783" w:rsidR="00F43E71" w:rsidP="00F43E71" w:rsidRDefault="00F43E71" w14:paraId="10F19AE3" w14:textId="77777777">
      <w:pPr>
        <w:numPr>
          <w:ilvl w:val="12"/>
          <w:numId w:val="0"/>
        </w:numPr>
        <w:rPr>
          <w:szCs w:val="24"/>
        </w:rPr>
      </w:pPr>
      <w:r w:rsidRPr="003F0783">
        <w:rPr>
          <w:szCs w:val="24"/>
        </w:rPr>
        <w:tab/>
        <w:t xml:space="preserve">Where a state has elected to determine allowance allocations, the state must submit a list identifying the units or other entities to which allowances are being allocated and the numbers of allowances being allocated to each unit or entity. </w:t>
      </w:r>
    </w:p>
    <w:p w:rsidRPr="003F0783" w:rsidR="00F43E71" w:rsidP="00F43E71" w:rsidRDefault="00F43E71" w14:paraId="1FCFAF56" w14:textId="77777777">
      <w:pPr>
        <w:numPr>
          <w:ilvl w:val="12"/>
          <w:numId w:val="0"/>
        </w:numPr>
        <w:rPr>
          <w:szCs w:val="24"/>
        </w:rPr>
      </w:pPr>
    </w:p>
    <w:p w:rsidRPr="003F0783" w:rsidR="00F43E71" w:rsidP="00F43E71" w:rsidRDefault="00F43E71" w14:paraId="7D864AE8" w14:textId="77777777">
      <w:pPr>
        <w:keepNext/>
        <w:autoSpaceDE w:val="0"/>
        <w:autoSpaceDN w:val="0"/>
        <w:adjustRightInd w:val="0"/>
        <w:ind w:left="1080"/>
        <w:outlineLvl w:val="0"/>
        <w:rPr>
          <w:szCs w:val="24"/>
        </w:rPr>
      </w:pPr>
      <w:r w:rsidRPr="003F0783">
        <w:rPr>
          <w:szCs w:val="24"/>
        </w:rPr>
        <w:t>(c)  Emissions Monitoring and Reporting</w:t>
      </w:r>
    </w:p>
    <w:p w:rsidRPr="003F0783" w:rsidR="00F43E71" w:rsidP="00F43E71" w:rsidRDefault="00F43E71" w14:paraId="23F4B03A" w14:textId="77777777">
      <w:pPr>
        <w:keepNext/>
        <w:autoSpaceDE w:val="0"/>
        <w:autoSpaceDN w:val="0"/>
        <w:adjustRightInd w:val="0"/>
        <w:rPr>
          <w:szCs w:val="24"/>
        </w:rPr>
      </w:pPr>
    </w:p>
    <w:p w:rsidRPr="003F0783" w:rsidR="00F43E71" w:rsidP="00F43E71" w:rsidRDefault="00F43E71" w14:paraId="7D1963FA" w14:textId="6A018432">
      <w:pPr>
        <w:autoSpaceDE w:val="0"/>
        <w:autoSpaceDN w:val="0"/>
        <w:adjustRightInd w:val="0"/>
        <w:ind w:firstLine="720"/>
      </w:pPr>
      <w:r>
        <w:t>Sources affected under the CSAPR and Texas trading programs are required to monitor NO</w:t>
      </w:r>
      <w:r w:rsidRPr="35C0C161">
        <w:rPr>
          <w:vertAlign w:val="subscript"/>
        </w:rPr>
        <w:t>X</w:t>
      </w:r>
      <w:r>
        <w:t xml:space="preserve"> and/or SO</w:t>
      </w:r>
      <w:r w:rsidRPr="35C0C161">
        <w:rPr>
          <w:vertAlign w:val="subscript"/>
        </w:rPr>
        <w:t>2</w:t>
      </w:r>
      <w:r>
        <w:t xml:space="preserve"> mass emissions and record and report emissions data following the procedures of 40 CFR part 75. The emissions monitoring requirements specify that affected sources must (1) submit a monitoring plan for each affected unit at a source, (2) submit data for certification of each monitor, (3) record hourly operational, pollutant monitor, and flow monitor data for each affected unit, and (4) submit quarterly reports of their emissions data to EPA.</w:t>
      </w:r>
    </w:p>
    <w:p w:rsidRPr="003F0783" w:rsidR="00F43E71" w:rsidP="00F43E71" w:rsidRDefault="00F43E71" w14:paraId="521D75E4" w14:textId="77777777">
      <w:pPr>
        <w:autoSpaceDE w:val="0"/>
        <w:autoSpaceDN w:val="0"/>
        <w:adjustRightInd w:val="0"/>
        <w:rPr>
          <w:szCs w:val="24"/>
        </w:rPr>
      </w:pPr>
    </w:p>
    <w:p w:rsidRPr="003F0783" w:rsidR="00F43E71" w:rsidP="00F43E71" w:rsidRDefault="00F43E71" w14:paraId="4F408046" w14:textId="124D97FF">
      <w:pPr>
        <w:autoSpaceDE w:val="0"/>
        <w:autoSpaceDN w:val="0"/>
        <w:adjustRightInd w:val="0"/>
        <w:ind w:firstLine="720"/>
      </w:pPr>
      <w:r>
        <w:t>Respondents are required under 40 CFR 75.64 to submit the quarterly NO</w:t>
      </w:r>
      <w:r w:rsidRPr="35C0C161">
        <w:rPr>
          <w:vertAlign w:val="subscript"/>
        </w:rPr>
        <w:t>X</w:t>
      </w:r>
      <w:r>
        <w:t xml:space="preserve"> and SO</w:t>
      </w:r>
      <w:r w:rsidRPr="35C0C161">
        <w:rPr>
          <w:vertAlign w:val="subscript"/>
        </w:rPr>
        <w:t>2</w:t>
      </w:r>
      <w:r>
        <w:t xml:space="preserve"> mass emissions data via direct electronic submission to EPA. Such data must include a certification statement by the designated representative of the facility attesting to the accuracy, truthfulness, and completeness of the submission. Generally, all monitoring records are required to be kept for three years.</w:t>
      </w:r>
    </w:p>
    <w:p w:rsidRPr="003F0783" w:rsidR="00F43E71" w:rsidP="00F43E71" w:rsidRDefault="00F43E71" w14:paraId="7885CC1A" w14:textId="77777777">
      <w:pPr>
        <w:autoSpaceDE w:val="0"/>
        <w:autoSpaceDN w:val="0"/>
        <w:adjustRightInd w:val="0"/>
        <w:rPr>
          <w:szCs w:val="24"/>
        </w:rPr>
      </w:pPr>
    </w:p>
    <w:p w:rsidRPr="003F0783" w:rsidR="00F43E71" w:rsidP="00F43E71" w:rsidRDefault="00F43E71" w14:paraId="3FF3F702" w14:textId="77777777">
      <w:pPr>
        <w:keepNext/>
        <w:autoSpaceDE w:val="0"/>
        <w:autoSpaceDN w:val="0"/>
        <w:adjustRightInd w:val="0"/>
        <w:ind w:left="720"/>
        <w:outlineLvl w:val="0"/>
        <w:rPr>
          <w:iCs/>
          <w:szCs w:val="24"/>
        </w:rPr>
      </w:pPr>
      <w:r w:rsidRPr="003F0783">
        <w:rPr>
          <w:iCs/>
          <w:szCs w:val="24"/>
        </w:rPr>
        <w:t>(ii)  Respondent Activities</w:t>
      </w:r>
    </w:p>
    <w:p w:rsidRPr="003F0783" w:rsidR="00F43E71" w:rsidP="00F43E71" w:rsidRDefault="00F43E71" w14:paraId="0D57E16B" w14:textId="77777777">
      <w:pPr>
        <w:keepNext/>
        <w:autoSpaceDE w:val="0"/>
        <w:autoSpaceDN w:val="0"/>
        <w:adjustRightInd w:val="0"/>
        <w:rPr>
          <w:szCs w:val="24"/>
        </w:rPr>
      </w:pPr>
    </w:p>
    <w:p w:rsidRPr="003F0783" w:rsidR="00F43E71" w:rsidP="00F43E71" w:rsidRDefault="00F43E71" w14:paraId="7F6F899A" w14:textId="261BCBE5">
      <w:pPr>
        <w:autoSpaceDE w:val="0"/>
        <w:autoSpaceDN w:val="0"/>
        <w:adjustRightInd w:val="0"/>
        <w:ind w:firstLine="720"/>
      </w:pPr>
      <w:r>
        <w:t>Industry respondents’ tasks to meet the certificate of representation requirement are to submit the certificate when a source first becomes subject to a particular trading program and to submit an updated certificate whenever there are changes in the units at the source or changes in the source’s owners, operators, or designated representative. The task to meet the retired unit exemption notification requirement is to submit a one-time form. These forms may be submitted on paper or electronically through the CAMD Business System.</w:t>
      </w:r>
    </w:p>
    <w:p w:rsidRPr="003F0783" w:rsidR="00F43E71" w:rsidP="00F43E71" w:rsidRDefault="00F43E71" w14:paraId="74FEE0F0" w14:textId="77777777">
      <w:pPr>
        <w:autoSpaceDE w:val="0"/>
        <w:autoSpaceDN w:val="0"/>
        <w:adjustRightInd w:val="0"/>
        <w:ind w:firstLine="720"/>
        <w:rPr>
          <w:szCs w:val="24"/>
        </w:rPr>
      </w:pPr>
    </w:p>
    <w:p w:rsidRPr="003F0783" w:rsidR="00F43E71" w:rsidP="00F43E71" w:rsidRDefault="00F43E71" w14:paraId="71084B19" w14:textId="0F55016E">
      <w:pPr>
        <w:autoSpaceDE w:val="0"/>
        <w:autoSpaceDN w:val="0"/>
        <w:adjustRightInd w:val="0"/>
        <w:ind w:firstLine="720"/>
      </w:pPr>
      <w:r>
        <w:t xml:space="preserve">Industry respondents’ only required task for allowance tracking is occasional submission of allowance transfer forms as necessary to ensure that sufficient allowances are in a source’s compliance account as of each compliance deadline. Additional allowance transfer forms may be </w:t>
      </w:r>
      <w:r>
        <w:lastRenderedPageBreak/>
        <w:t>submitted by industry or non-source entity respondents as desired, and industry respondents may submit optional allowance deduction forms as desired. These forms may be submitted on paper or electronically through the CAMD Business System.</w:t>
      </w:r>
    </w:p>
    <w:p w:rsidRPr="003F0783" w:rsidR="00F43E71" w:rsidP="00F43E71" w:rsidRDefault="00F43E71" w14:paraId="6635FE48" w14:textId="77777777">
      <w:pPr>
        <w:autoSpaceDE w:val="0"/>
        <w:autoSpaceDN w:val="0"/>
        <w:adjustRightInd w:val="0"/>
        <w:ind w:firstLine="720"/>
        <w:rPr>
          <w:szCs w:val="24"/>
        </w:rPr>
      </w:pPr>
    </w:p>
    <w:p w:rsidRPr="003F0783" w:rsidR="00F43E71" w:rsidP="00F43E71" w:rsidRDefault="00F43E71" w14:paraId="40690844" w14:textId="5AB58D25">
      <w:pPr>
        <w:autoSpaceDE w:val="0"/>
        <w:autoSpaceDN w:val="0"/>
        <w:adjustRightInd w:val="0"/>
        <w:ind w:firstLine="720"/>
      </w:pPr>
      <w:r>
        <w:t>Industry respondents’ primary tasks to meet the emissions monitoring and reporting requirements are: (1) completing and submitting appropriate monitoring plans; (2) conducting tests to certify monitors and submitting test results to EPA; (3) recording hourly emissions and operational data (this activity is generally performed electronically); (4) performing operation and maintenance activities associated with monitoring, including quality assurance activities; (5) assuring data quality, preparing quarterly reports of emissions data, and submitting these reports to EPA; and (6) responding to error messages generated by such submissions. In addition, respondents must purchase the necessary monitoring hardware and electronic data reporting software (or software upgrades).</w:t>
      </w:r>
    </w:p>
    <w:p w:rsidRPr="003F0783" w:rsidR="00F43E71" w:rsidP="00F43E71" w:rsidRDefault="00F43E71" w14:paraId="186EF910" w14:textId="77777777">
      <w:pPr>
        <w:autoSpaceDE w:val="0"/>
        <w:autoSpaceDN w:val="0"/>
        <w:adjustRightInd w:val="0"/>
        <w:ind w:firstLine="720"/>
        <w:rPr>
          <w:szCs w:val="24"/>
        </w:rPr>
      </w:pPr>
    </w:p>
    <w:p w:rsidRPr="003F0783" w:rsidR="00F43E71" w:rsidP="00F43E71" w:rsidRDefault="00F01B5C" w14:paraId="7455A4EA" w14:textId="1149DE12">
      <w:pPr>
        <w:autoSpaceDE w:val="0"/>
        <w:autoSpaceDN w:val="0"/>
        <w:adjustRightInd w:val="0"/>
        <w:ind w:firstLine="720"/>
      </w:pPr>
      <w:r>
        <w:t xml:space="preserve">Under the CSAPR programs, </w:t>
      </w:r>
      <w:r w:rsidR="00F43E71">
        <w:t>state</w:t>
      </w:r>
      <w:r>
        <w:t>s</w:t>
      </w:r>
      <w:r w:rsidR="00F43E71">
        <w:t xml:space="preserve"> </w:t>
      </w:r>
      <w:r>
        <w:t>have the option</w:t>
      </w:r>
      <w:r w:rsidR="00F43E71">
        <w:t xml:space="preserve"> to submit </w:t>
      </w:r>
      <w:proofErr w:type="gramStart"/>
      <w:r w:rsidR="00F43E71">
        <w:t>state-determined</w:t>
      </w:r>
      <w:proofErr w:type="gramEnd"/>
      <w:r w:rsidR="00F43E71">
        <w:t xml:space="preserve"> CSAPR allowance allocations</w:t>
      </w:r>
      <w:r>
        <w:t xml:space="preserve"> that are</w:t>
      </w:r>
      <w:r w:rsidR="00F43E71">
        <w:t xml:space="preserve"> calculate</w:t>
      </w:r>
      <w:r>
        <w:t>d</w:t>
      </w:r>
      <w:r w:rsidR="00F43E71">
        <w:t xml:space="preserve"> according to the state’s procedures</w:t>
      </w:r>
      <w:r>
        <w:t>. Those allocation determinations are annually</w:t>
      </w:r>
      <w:r w:rsidR="00F43E71">
        <w:t xml:space="preserve"> submit</w:t>
      </w:r>
      <w:r>
        <w:t xml:space="preserve">ted </w:t>
      </w:r>
      <w:r w:rsidR="00F43E71">
        <w:t xml:space="preserve">to </w:t>
      </w:r>
      <w:r>
        <w:t xml:space="preserve">the </w:t>
      </w:r>
      <w:r w:rsidR="00F43E71">
        <w:t>EPA by specified deadlines.</w:t>
      </w:r>
      <w:r>
        <w:t xml:space="preserve"> For the purposes of this ICR, EPA believes the burden and costs for state allocation determinations </w:t>
      </w:r>
      <w:r w:rsidR="00710E28">
        <w:t>are</w:t>
      </w:r>
      <w:r>
        <w:t xml:space="preserve"> already accounted for in the current </w:t>
      </w:r>
      <w:r w:rsidR="4E069492">
        <w:t>CSAPR</w:t>
      </w:r>
      <w:r>
        <w:t xml:space="preserve"> ICR </w:t>
      </w:r>
      <w:r w:rsidR="5B93E39E">
        <w:t>(OMB Control Number 2060-0667)</w:t>
      </w:r>
      <w:r>
        <w:t xml:space="preserve"> and there will no </w:t>
      </w:r>
      <w:proofErr w:type="gramStart"/>
      <w:r>
        <w:t>incremental</w:t>
      </w:r>
      <w:proofErr w:type="gramEnd"/>
      <w:r>
        <w:t xml:space="preserve"> burden or costs associated with this rulemaking. </w:t>
      </w:r>
    </w:p>
    <w:p w:rsidRPr="003F0783" w:rsidR="00F43E71" w:rsidP="00F43E71" w:rsidRDefault="00F43E71" w14:paraId="14A49780" w14:textId="77777777">
      <w:pPr>
        <w:autoSpaceDE w:val="0"/>
        <w:autoSpaceDN w:val="0"/>
        <w:adjustRightInd w:val="0"/>
        <w:ind w:firstLine="720"/>
        <w:rPr>
          <w:szCs w:val="24"/>
        </w:rPr>
      </w:pPr>
    </w:p>
    <w:p w:rsidRPr="003F0783" w:rsidR="00F43E71" w:rsidP="00F43E71" w:rsidRDefault="00F43E71" w14:paraId="0954D1F6" w14:textId="77777777">
      <w:pPr>
        <w:keepNext/>
        <w:tabs>
          <w:tab w:val="left" w:pos="450"/>
        </w:tabs>
        <w:autoSpaceDE w:val="0"/>
        <w:autoSpaceDN w:val="0"/>
        <w:adjustRightInd w:val="0"/>
        <w:ind w:left="450" w:hanging="450"/>
        <w:outlineLvl w:val="0"/>
        <w:rPr>
          <w:b/>
          <w:bCs/>
          <w:szCs w:val="24"/>
        </w:rPr>
      </w:pPr>
      <w:r w:rsidRPr="003F0783">
        <w:rPr>
          <w:b/>
          <w:bCs/>
          <w:szCs w:val="24"/>
        </w:rPr>
        <w:t>5.0</w:t>
      </w:r>
      <w:r w:rsidRPr="003F0783">
        <w:rPr>
          <w:b/>
          <w:bCs/>
          <w:szCs w:val="24"/>
        </w:rPr>
        <w:tab/>
        <w:t xml:space="preserve">The Information Collected – Agency Activities, Collection Methods, </w:t>
      </w:r>
      <w:r w:rsidRPr="003F0783">
        <w:rPr>
          <w:b/>
          <w:bCs/>
          <w:szCs w:val="24"/>
        </w:rPr>
        <w:br/>
        <w:t>and Information Management</w:t>
      </w:r>
    </w:p>
    <w:p w:rsidRPr="003F0783" w:rsidR="00F43E71" w:rsidP="00F43E71" w:rsidRDefault="00F43E71" w14:paraId="16077049" w14:textId="77777777">
      <w:pPr>
        <w:keepNext/>
        <w:autoSpaceDE w:val="0"/>
        <w:autoSpaceDN w:val="0"/>
        <w:adjustRightInd w:val="0"/>
        <w:rPr>
          <w:b/>
          <w:bCs/>
          <w:szCs w:val="24"/>
        </w:rPr>
      </w:pPr>
    </w:p>
    <w:p w:rsidRPr="003F0783" w:rsidR="00F43E71" w:rsidP="00F43E71" w:rsidRDefault="00F43E71" w14:paraId="366B508D" w14:textId="77777777">
      <w:pPr>
        <w:keepNext/>
        <w:autoSpaceDE w:val="0"/>
        <w:autoSpaceDN w:val="0"/>
        <w:adjustRightInd w:val="0"/>
        <w:ind w:left="360"/>
        <w:rPr>
          <w:b/>
          <w:bCs/>
          <w:szCs w:val="24"/>
        </w:rPr>
      </w:pPr>
      <w:proofErr w:type="gramStart"/>
      <w:r w:rsidRPr="003F0783">
        <w:rPr>
          <w:b/>
          <w:bCs/>
          <w:szCs w:val="24"/>
        </w:rPr>
        <w:t>5.1  Agency</w:t>
      </w:r>
      <w:proofErr w:type="gramEnd"/>
      <w:r w:rsidRPr="003F0783">
        <w:rPr>
          <w:b/>
          <w:bCs/>
          <w:szCs w:val="24"/>
        </w:rPr>
        <w:t xml:space="preserve"> Activities</w:t>
      </w:r>
    </w:p>
    <w:p w:rsidRPr="003F0783" w:rsidR="00F43E71" w:rsidP="00F43E71" w:rsidRDefault="00F43E71" w14:paraId="4DFDF542" w14:textId="77777777">
      <w:pPr>
        <w:keepNext/>
        <w:autoSpaceDE w:val="0"/>
        <w:autoSpaceDN w:val="0"/>
        <w:adjustRightInd w:val="0"/>
        <w:rPr>
          <w:b/>
          <w:bCs/>
          <w:szCs w:val="24"/>
        </w:rPr>
      </w:pPr>
    </w:p>
    <w:p w:rsidRPr="003F0783" w:rsidR="00F43E71" w:rsidP="00F43E71" w:rsidRDefault="00F43E71" w14:paraId="22B6BC1F" w14:textId="695FC5F8">
      <w:pPr>
        <w:keepNext/>
        <w:autoSpaceDE w:val="0"/>
        <w:autoSpaceDN w:val="0"/>
        <w:adjustRightInd w:val="0"/>
        <w:ind w:firstLine="720"/>
        <w:rPr>
          <w:szCs w:val="24"/>
        </w:rPr>
      </w:pPr>
      <w:r w:rsidRPr="003F0783">
        <w:rPr>
          <w:szCs w:val="24"/>
        </w:rPr>
        <w:t>EPA activities related to the CSAPR and Texas trading programs include: (1) reviewing and processing certificates of representation</w:t>
      </w:r>
      <w:r>
        <w:rPr>
          <w:szCs w:val="24"/>
        </w:rPr>
        <w:t xml:space="preserve"> and</w:t>
      </w:r>
      <w:r w:rsidRPr="003F0783">
        <w:rPr>
          <w:szCs w:val="24"/>
        </w:rPr>
        <w:t xml:space="preserve"> retired unit exemptions; (2) allocating allowances to affected units, or reviewing states’ allocations, and recording the allocations; (3) reviewing and recording allowance transfers and deductions; (4) reviewing monitoring plans and monitor certification applications; (5) processing, reviewing, and evaluating reports of quarterly emissions data from affected units, providing feedback, and storing the data; (6) calculating/reviewing annual emissions from affected sources, and aggregating such annual emissions for compliance assurance purposes; and (7) reviewing total annual emissions data submitted to track each state's progress toward meeting its budgets and creating a summary report of emissions. EPA also </w:t>
      </w:r>
      <w:r>
        <w:rPr>
          <w:szCs w:val="24"/>
        </w:rPr>
        <w:t xml:space="preserve">answers respondents’ </w:t>
      </w:r>
      <w:r w:rsidRPr="003F0783">
        <w:rPr>
          <w:szCs w:val="24"/>
        </w:rPr>
        <w:t xml:space="preserve">questions and </w:t>
      </w:r>
      <w:r>
        <w:rPr>
          <w:szCs w:val="24"/>
        </w:rPr>
        <w:t xml:space="preserve">conducts </w:t>
      </w:r>
      <w:r w:rsidRPr="003F0783">
        <w:rPr>
          <w:szCs w:val="24"/>
        </w:rPr>
        <w:t>audits of data submissions.</w:t>
      </w:r>
    </w:p>
    <w:p w:rsidRPr="003F0783" w:rsidR="00F43E71" w:rsidP="00F43E71" w:rsidRDefault="00F43E71" w14:paraId="575BAE41" w14:textId="77777777">
      <w:pPr>
        <w:autoSpaceDE w:val="0"/>
        <w:autoSpaceDN w:val="0"/>
        <w:adjustRightInd w:val="0"/>
        <w:rPr>
          <w:b/>
          <w:bCs/>
          <w:szCs w:val="24"/>
        </w:rPr>
      </w:pPr>
    </w:p>
    <w:p w:rsidRPr="003F0783" w:rsidR="00F43E71" w:rsidP="00F43E71" w:rsidRDefault="00F43E71" w14:paraId="7338C7E8" w14:textId="77777777">
      <w:pPr>
        <w:keepNext/>
        <w:autoSpaceDE w:val="0"/>
        <w:autoSpaceDN w:val="0"/>
        <w:adjustRightInd w:val="0"/>
        <w:ind w:left="360"/>
        <w:outlineLvl w:val="0"/>
        <w:rPr>
          <w:b/>
          <w:bCs/>
          <w:szCs w:val="24"/>
        </w:rPr>
      </w:pPr>
      <w:proofErr w:type="gramStart"/>
      <w:r w:rsidRPr="003F0783">
        <w:rPr>
          <w:b/>
          <w:bCs/>
          <w:szCs w:val="24"/>
        </w:rPr>
        <w:t>5.2  Collection</w:t>
      </w:r>
      <w:proofErr w:type="gramEnd"/>
      <w:r w:rsidRPr="003F0783">
        <w:rPr>
          <w:b/>
          <w:bCs/>
          <w:szCs w:val="24"/>
        </w:rPr>
        <w:t xml:space="preserve"> Methodology and Management</w:t>
      </w:r>
    </w:p>
    <w:p w:rsidRPr="003F0783" w:rsidR="00F43E71" w:rsidP="00F43E71" w:rsidRDefault="00F43E71" w14:paraId="6459F661" w14:textId="77777777">
      <w:pPr>
        <w:keepNext/>
        <w:autoSpaceDE w:val="0"/>
        <w:autoSpaceDN w:val="0"/>
        <w:adjustRightInd w:val="0"/>
        <w:ind w:left="360"/>
        <w:rPr>
          <w:b/>
          <w:bCs/>
          <w:szCs w:val="24"/>
        </w:rPr>
      </w:pPr>
    </w:p>
    <w:p w:rsidRPr="003F0783" w:rsidR="00F43E71" w:rsidP="00F43E71" w:rsidRDefault="00F43E71" w14:paraId="6A4DE50A" w14:textId="77777777">
      <w:pPr>
        <w:keepNext/>
        <w:autoSpaceDE w:val="0"/>
        <w:autoSpaceDN w:val="0"/>
        <w:adjustRightInd w:val="0"/>
        <w:ind w:firstLine="720"/>
        <w:rPr>
          <w:szCs w:val="24"/>
        </w:rPr>
      </w:pPr>
      <w:r w:rsidRPr="003F0783">
        <w:rPr>
          <w:szCs w:val="24"/>
        </w:rPr>
        <w:t>To ensure consistency across sources and to expedite data entry, EPA requires that standard formats used for reporting under 40 CFR part 75 be used to submit the information collected for the CSAPR and Texas trading programs.</w:t>
      </w:r>
    </w:p>
    <w:p w:rsidRPr="003F0783" w:rsidR="00F43E71" w:rsidP="00F43E71" w:rsidRDefault="00F43E71" w14:paraId="4958AFDC" w14:textId="77777777">
      <w:pPr>
        <w:autoSpaceDE w:val="0"/>
        <w:autoSpaceDN w:val="0"/>
        <w:adjustRightInd w:val="0"/>
        <w:rPr>
          <w:szCs w:val="24"/>
        </w:rPr>
      </w:pPr>
    </w:p>
    <w:p w:rsidRPr="003F0783" w:rsidR="00F43E71" w:rsidP="00F43E71" w:rsidRDefault="00F43E71" w14:paraId="6A5F7518" w14:textId="7D7761B9">
      <w:pPr>
        <w:autoSpaceDE w:val="0"/>
        <w:autoSpaceDN w:val="0"/>
        <w:adjustRightInd w:val="0"/>
        <w:ind w:firstLine="720"/>
        <w:rPr>
          <w:szCs w:val="24"/>
        </w:rPr>
      </w:pPr>
      <w:r w:rsidRPr="003F0783">
        <w:rPr>
          <w:szCs w:val="24"/>
        </w:rPr>
        <w:t xml:space="preserve">Several computer systems and associated databases have been developed to (1) track allowance activity, (2) record quarterly emissions monitoring data, and (3) calculate the number of allowances to be deducted each year. These systems and databases are designed to provide easy access to information for use by the Agency, states, the regulated community, and the </w:t>
      </w:r>
      <w:proofErr w:type="gramStart"/>
      <w:r w:rsidRPr="003F0783">
        <w:rPr>
          <w:szCs w:val="24"/>
        </w:rPr>
        <w:lastRenderedPageBreak/>
        <w:t>general public</w:t>
      </w:r>
      <w:proofErr w:type="gramEnd"/>
      <w:r w:rsidRPr="003F0783">
        <w:rPr>
          <w:szCs w:val="24"/>
        </w:rPr>
        <w:t xml:space="preserve">. EPA provides access to the data on emissions and allowance activity in both detailed and summary formats on the Clean Air Markets Division website. </w:t>
      </w:r>
    </w:p>
    <w:p w:rsidRPr="003F0783" w:rsidR="00F43E71" w:rsidP="00F43E71" w:rsidRDefault="00F43E71" w14:paraId="6B1C0251" w14:textId="77777777">
      <w:pPr>
        <w:autoSpaceDE w:val="0"/>
        <w:autoSpaceDN w:val="0"/>
        <w:adjustRightInd w:val="0"/>
        <w:rPr>
          <w:szCs w:val="24"/>
        </w:rPr>
      </w:pPr>
    </w:p>
    <w:p w:rsidRPr="003F0783" w:rsidR="00F43E71" w:rsidP="00F43E71" w:rsidRDefault="00F43E71" w14:paraId="2C91CD25" w14:textId="77777777">
      <w:pPr>
        <w:keepNext/>
        <w:autoSpaceDE w:val="0"/>
        <w:autoSpaceDN w:val="0"/>
        <w:adjustRightInd w:val="0"/>
        <w:ind w:left="360"/>
        <w:rPr>
          <w:b/>
          <w:bCs/>
          <w:szCs w:val="24"/>
        </w:rPr>
      </w:pPr>
      <w:proofErr w:type="gramStart"/>
      <w:r w:rsidRPr="003F0783">
        <w:rPr>
          <w:b/>
          <w:bCs/>
          <w:szCs w:val="24"/>
        </w:rPr>
        <w:t>5.3  Small</w:t>
      </w:r>
      <w:proofErr w:type="gramEnd"/>
      <w:r w:rsidRPr="003F0783">
        <w:rPr>
          <w:b/>
          <w:bCs/>
          <w:szCs w:val="24"/>
        </w:rPr>
        <w:t xml:space="preserve"> Entity Flexibility</w:t>
      </w:r>
    </w:p>
    <w:p w:rsidRPr="003F0783" w:rsidR="00F43E71" w:rsidP="00F43E71" w:rsidRDefault="00F43E71" w14:paraId="7077D7AF" w14:textId="77777777">
      <w:pPr>
        <w:keepNext/>
        <w:autoSpaceDE w:val="0"/>
        <w:autoSpaceDN w:val="0"/>
        <w:adjustRightInd w:val="0"/>
        <w:rPr>
          <w:b/>
          <w:bCs/>
          <w:szCs w:val="24"/>
        </w:rPr>
      </w:pPr>
    </w:p>
    <w:p w:rsidRPr="003F0783" w:rsidR="00F43E71" w:rsidP="00F43E71" w:rsidRDefault="00F43E71" w14:paraId="409A4D36" w14:textId="51ACCC0F">
      <w:pPr>
        <w:autoSpaceDE w:val="0"/>
        <w:autoSpaceDN w:val="0"/>
        <w:adjustRightInd w:val="0"/>
        <w:ind w:firstLine="720"/>
        <w:rPr>
          <w:szCs w:val="24"/>
        </w:rPr>
      </w:pPr>
      <w:r w:rsidRPr="003F0783">
        <w:rPr>
          <w:szCs w:val="24"/>
        </w:rPr>
        <w:t>CSAPR applies to fossil fuel-fired units (stationary boilers and combustion turbines) that serve an electrical generator with nameplate capacity greater than 25 MWe.  Some cogeneration units and solid waste incinerators are exempt from CSAPR if they meet certain criteria. The Texas SO</w:t>
      </w:r>
      <w:r w:rsidRPr="003F0783">
        <w:rPr>
          <w:szCs w:val="24"/>
          <w:vertAlign w:val="subscript"/>
        </w:rPr>
        <w:t>2</w:t>
      </w:r>
      <w:r w:rsidRPr="003F0783">
        <w:rPr>
          <w:szCs w:val="24"/>
        </w:rPr>
        <w:t xml:space="preserve"> Trading Program applies to a subset of CSAPR-affected units.</w:t>
      </w:r>
    </w:p>
    <w:p w:rsidRPr="003F0783" w:rsidR="00F43E71" w:rsidP="00F43E71" w:rsidRDefault="00F43E71" w14:paraId="7A90D52C" w14:textId="77777777">
      <w:pPr>
        <w:autoSpaceDE w:val="0"/>
        <w:autoSpaceDN w:val="0"/>
        <w:adjustRightInd w:val="0"/>
        <w:rPr>
          <w:szCs w:val="24"/>
        </w:rPr>
      </w:pPr>
    </w:p>
    <w:p w:rsidRPr="003F0783" w:rsidR="00F43E71" w:rsidP="00F43E71" w:rsidRDefault="00F43E71" w14:paraId="214F00E8" w14:textId="232357D3">
      <w:pPr>
        <w:autoSpaceDE w:val="0"/>
        <w:autoSpaceDN w:val="0"/>
        <w:adjustRightInd w:val="0"/>
        <w:ind w:firstLine="720"/>
      </w:pPr>
      <w:r>
        <w:t>The low mass emissions provisions under 40 CFR 75.19 provide for optional reduced monitoring, quality assurance, and reporting requirements for certain units that combust natural gas and/or fuel oil. Such units must emit no more than 100 tons of NO</w:t>
      </w:r>
      <w:r w:rsidRPr="35C0C161">
        <w:rPr>
          <w:vertAlign w:val="subscript"/>
        </w:rPr>
        <w:t>X</w:t>
      </w:r>
      <w:r>
        <w:t xml:space="preserve"> annually, 50 tons of NO</w:t>
      </w:r>
      <w:r w:rsidRPr="35C0C161">
        <w:rPr>
          <w:vertAlign w:val="subscript"/>
        </w:rPr>
        <w:t>X</w:t>
      </w:r>
      <w:r>
        <w:t xml:space="preserve"> during the May-September ozone season, and 25 tons of SO</w:t>
      </w:r>
      <w:r w:rsidRPr="35C0C161">
        <w:rPr>
          <w:vertAlign w:val="subscript"/>
        </w:rPr>
        <w:t>2</w:t>
      </w:r>
      <w:r>
        <w:t xml:space="preserve"> annually, and must calculate no more than these same amounts based on specified procedures for calculating and reporting emissions. Units that qualify are exempted from certain requirements to install and operate monitoring equipment, conduct fuel sampling, and perform quality assurance or quality control tests. Moreover, emissions reporting requirements are significantly simplified for these units.</w:t>
      </w:r>
    </w:p>
    <w:p w:rsidRPr="003F0783" w:rsidR="00F43E71" w:rsidP="00F43E71" w:rsidRDefault="00F43E71" w14:paraId="6EE28AF0" w14:textId="77777777">
      <w:pPr>
        <w:autoSpaceDE w:val="0"/>
        <w:autoSpaceDN w:val="0"/>
        <w:adjustRightInd w:val="0"/>
        <w:rPr>
          <w:szCs w:val="24"/>
        </w:rPr>
      </w:pPr>
    </w:p>
    <w:p w:rsidRPr="003F0783" w:rsidR="00F43E71" w:rsidP="00F43E71" w:rsidRDefault="00F43E71" w14:paraId="03F8FE0C" w14:textId="740D2CED">
      <w:pPr>
        <w:autoSpaceDE w:val="0"/>
        <w:autoSpaceDN w:val="0"/>
        <w:adjustRightInd w:val="0"/>
        <w:ind w:firstLine="720"/>
        <w:rPr>
          <w:szCs w:val="24"/>
        </w:rPr>
      </w:pPr>
      <w:r w:rsidRPr="003F0783">
        <w:rPr>
          <w:szCs w:val="24"/>
        </w:rPr>
        <w:t>Gas- or oil-fired units that do not qualify for the low mass emissions unit provisions under 40 CFR part 75 may still meet criteria that allow for the use of alternative methods to measure emissions. As discussed in the Regulatory Impact Analysis of the final ARP regulations (October 19, 1992), smaller utilities are more likely to be dependent on these oil- and gas-fired units, especially very small utilities.</w:t>
      </w:r>
    </w:p>
    <w:p w:rsidRPr="003F0783" w:rsidR="00F43E71" w:rsidP="00F43E71" w:rsidRDefault="00F43E71" w14:paraId="0236B25C" w14:textId="77777777">
      <w:pPr>
        <w:autoSpaceDE w:val="0"/>
        <w:autoSpaceDN w:val="0"/>
        <w:adjustRightInd w:val="0"/>
        <w:ind w:left="360"/>
        <w:rPr>
          <w:b/>
          <w:bCs/>
          <w:szCs w:val="24"/>
        </w:rPr>
      </w:pPr>
    </w:p>
    <w:p w:rsidRPr="003F0783" w:rsidR="00F43E71" w:rsidP="00F43E71" w:rsidRDefault="00F43E71" w14:paraId="0765160B" w14:textId="77777777">
      <w:pPr>
        <w:autoSpaceDE w:val="0"/>
        <w:autoSpaceDN w:val="0"/>
        <w:adjustRightInd w:val="0"/>
        <w:ind w:left="360"/>
        <w:outlineLvl w:val="0"/>
        <w:rPr>
          <w:b/>
          <w:bCs/>
          <w:szCs w:val="24"/>
        </w:rPr>
      </w:pPr>
      <w:proofErr w:type="gramStart"/>
      <w:r w:rsidRPr="003F0783">
        <w:rPr>
          <w:b/>
          <w:bCs/>
          <w:szCs w:val="24"/>
        </w:rPr>
        <w:t>5.4  Collection</w:t>
      </w:r>
      <w:proofErr w:type="gramEnd"/>
      <w:r w:rsidRPr="003F0783">
        <w:rPr>
          <w:b/>
          <w:bCs/>
          <w:szCs w:val="24"/>
        </w:rPr>
        <w:t xml:space="preserve"> Schedule</w:t>
      </w:r>
    </w:p>
    <w:p w:rsidRPr="003F0783" w:rsidR="00F43E71" w:rsidP="00F43E71" w:rsidRDefault="00F43E71" w14:paraId="4C0B5454" w14:textId="77777777">
      <w:pPr>
        <w:autoSpaceDE w:val="0"/>
        <w:autoSpaceDN w:val="0"/>
        <w:adjustRightInd w:val="0"/>
        <w:ind w:firstLine="720"/>
        <w:rPr>
          <w:szCs w:val="24"/>
        </w:rPr>
      </w:pPr>
    </w:p>
    <w:p w:rsidRPr="003F0783" w:rsidR="00F43E71" w:rsidP="00F43E71" w:rsidRDefault="00F43E71" w14:paraId="69AEEB0D" w14:textId="24BA104E">
      <w:pPr>
        <w:ind w:firstLine="720"/>
      </w:pPr>
      <w:r w:rsidRPr="003F0783">
        <w:t xml:space="preserve">Collection frequency under the CSAPR and Texas trading programs is on a quarterly basis. All affected industry sources must use the Emission Collection and Monitoring Plan System (ECMPS) to submit monitoring plan, quality assurance, certification test, and emissions data to EPA quarterly. In addition, the programs require the collection of allowance trading information as transfers are submitted, as well as information regarding other "event" submissions made on a one-time or annual basis.  </w:t>
      </w:r>
    </w:p>
    <w:p w:rsidRPr="003F0783" w:rsidR="00F43E71" w:rsidP="00F43E71" w:rsidRDefault="00F43E71" w14:paraId="767C4CC0" w14:textId="77777777">
      <w:pPr>
        <w:autoSpaceDE w:val="0"/>
        <w:autoSpaceDN w:val="0"/>
        <w:adjustRightInd w:val="0"/>
        <w:rPr>
          <w:b/>
          <w:bCs/>
          <w:szCs w:val="24"/>
        </w:rPr>
      </w:pPr>
    </w:p>
    <w:p w:rsidRPr="003F0783" w:rsidR="00F43E71" w:rsidP="00F43E71" w:rsidRDefault="00F43E71" w14:paraId="19996BB2" w14:textId="77777777">
      <w:pPr>
        <w:keepNext/>
        <w:autoSpaceDE w:val="0"/>
        <w:autoSpaceDN w:val="0"/>
        <w:adjustRightInd w:val="0"/>
        <w:rPr>
          <w:b/>
          <w:bCs/>
          <w:szCs w:val="24"/>
        </w:rPr>
      </w:pPr>
      <w:proofErr w:type="gramStart"/>
      <w:r w:rsidRPr="003F0783">
        <w:rPr>
          <w:b/>
          <w:bCs/>
          <w:szCs w:val="24"/>
        </w:rPr>
        <w:t>6.0  Estimating</w:t>
      </w:r>
      <w:proofErr w:type="gramEnd"/>
      <w:r w:rsidRPr="003F0783">
        <w:rPr>
          <w:b/>
          <w:bCs/>
          <w:szCs w:val="24"/>
        </w:rPr>
        <w:t xml:space="preserve"> the Burden and Cost of the Collection</w:t>
      </w:r>
    </w:p>
    <w:p w:rsidRPr="003F0783" w:rsidR="00F43E71" w:rsidP="00F43E71" w:rsidRDefault="00F43E71" w14:paraId="2DC54E94" w14:textId="77777777">
      <w:pPr>
        <w:keepNext/>
        <w:autoSpaceDE w:val="0"/>
        <w:autoSpaceDN w:val="0"/>
        <w:adjustRightInd w:val="0"/>
        <w:rPr>
          <w:b/>
          <w:bCs/>
          <w:szCs w:val="24"/>
        </w:rPr>
      </w:pPr>
    </w:p>
    <w:p w:rsidRPr="003F0783" w:rsidR="00F43E71" w:rsidP="00F43E71" w:rsidRDefault="00F43E71" w14:paraId="05643F1D" w14:textId="77777777">
      <w:pPr>
        <w:keepNext/>
        <w:tabs>
          <w:tab w:val="left" w:pos="360"/>
        </w:tabs>
        <w:autoSpaceDE w:val="0"/>
        <w:autoSpaceDN w:val="0"/>
        <w:adjustRightInd w:val="0"/>
        <w:ind w:left="360"/>
        <w:outlineLvl w:val="0"/>
        <w:rPr>
          <w:b/>
          <w:bCs/>
          <w:szCs w:val="24"/>
        </w:rPr>
      </w:pPr>
      <w:proofErr w:type="gramStart"/>
      <w:r w:rsidRPr="003F0783">
        <w:rPr>
          <w:b/>
          <w:bCs/>
          <w:szCs w:val="24"/>
        </w:rPr>
        <w:t>6.1  Estimating</w:t>
      </w:r>
      <w:proofErr w:type="gramEnd"/>
      <w:r w:rsidRPr="003F0783">
        <w:rPr>
          <w:b/>
          <w:bCs/>
          <w:szCs w:val="24"/>
        </w:rPr>
        <w:t xml:space="preserve"> Respondent Burden</w:t>
      </w:r>
    </w:p>
    <w:p w:rsidRPr="003F0783" w:rsidR="00F43E71" w:rsidP="00F43E71" w:rsidRDefault="00F43E71" w14:paraId="71D5E99D" w14:textId="77777777">
      <w:pPr>
        <w:autoSpaceDE w:val="0"/>
        <w:autoSpaceDN w:val="0"/>
        <w:adjustRightInd w:val="0"/>
        <w:rPr>
          <w:szCs w:val="24"/>
        </w:rPr>
      </w:pPr>
    </w:p>
    <w:p w:rsidRPr="003F0783" w:rsidR="00F43E71" w:rsidP="00F43E71" w:rsidRDefault="00F43E71" w14:paraId="36702113" w14:textId="6C1EC2AC">
      <w:pPr>
        <w:autoSpaceDE w:val="0"/>
        <w:autoSpaceDN w:val="0"/>
        <w:adjustRightInd w:val="0"/>
        <w:ind w:firstLine="720"/>
      </w:pPr>
      <w:r>
        <w:t>This section estimates respondents’ burden and cost to meet the information collection requirements described above. To estimate the burden and/or cost of each requirement, EPA utilized prior estimates of the costs of activities, estimates provided by affected utilities in comments to the Agency, and/or estimates based on the Agency's experience in implementing existing trading programs.</w:t>
      </w:r>
    </w:p>
    <w:p w:rsidRPr="003F0783" w:rsidR="00F43E71" w:rsidP="00F43E71" w:rsidRDefault="00F43E71" w14:paraId="06B1A541" w14:textId="77777777">
      <w:pPr>
        <w:autoSpaceDE w:val="0"/>
        <w:autoSpaceDN w:val="0"/>
        <w:adjustRightInd w:val="0"/>
        <w:ind w:firstLine="720"/>
        <w:rPr>
          <w:szCs w:val="24"/>
        </w:rPr>
      </w:pPr>
    </w:p>
    <w:p w:rsidR="00F43E71" w:rsidP="00F43E71" w:rsidRDefault="00F43E71" w14:paraId="4C56E65C" w14:textId="3F75736D">
      <w:pPr>
        <w:autoSpaceDE w:val="0"/>
        <w:autoSpaceDN w:val="0"/>
        <w:adjustRightInd w:val="0"/>
        <w:ind w:firstLine="720"/>
      </w:pPr>
      <w:r>
        <w:t xml:space="preserve">For purposes of this ICR, </w:t>
      </w:r>
      <w:r w:rsidR="00D43372">
        <w:t xml:space="preserve">most </w:t>
      </w:r>
      <w:r>
        <w:t xml:space="preserve">emissions-related burdens and costs are calculated only for units not </w:t>
      </w:r>
      <w:r w:rsidR="008C27F0">
        <w:rPr>
          <w:szCs w:val="24"/>
        </w:rPr>
        <w:t xml:space="preserve">currently accounted for under the </w:t>
      </w:r>
      <w:r w:rsidRPr="003F0783" w:rsidDel="008C27F0">
        <w:rPr>
          <w:szCs w:val="24"/>
        </w:rPr>
        <w:t xml:space="preserve">to the </w:t>
      </w:r>
      <w:r w:rsidRPr="003F0783">
        <w:rPr>
          <w:szCs w:val="24"/>
        </w:rPr>
        <w:t>ARP</w:t>
      </w:r>
      <w:r w:rsidR="002429BA">
        <w:rPr>
          <w:szCs w:val="24"/>
        </w:rPr>
        <w:t>, NO</w:t>
      </w:r>
      <w:r w:rsidRPr="002429BA" w:rsidR="002429BA">
        <w:rPr>
          <w:szCs w:val="24"/>
          <w:vertAlign w:val="subscript"/>
        </w:rPr>
        <w:t>x</w:t>
      </w:r>
      <w:r w:rsidR="002429BA">
        <w:rPr>
          <w:szCs w:val="24"/>
        </w:rPr>
        <w:t xml:space="preserve"> SIP Call</w:t>
      </w:r>
      <w:r w:rsidR="008C27F0">
        <w:rPr>
          <w:szCs w:val="24"/>
        </w:rPr>
        <w:t xml:space="preserve"> or CSAPR ICRs</w:t>
      </w:r>
      <w:r w:rsidRPr="003F0783">
        <w:rPr>
          <w:szCs w:val="24"/>
        </w:rPr>
        <w:t>.</w:t>
      </w:r>
      <w:r w:rsidR="00991320">
        <w:rPr>
          <w:szCs w:val="24"/>
        </w:rPr>
        <w:t xml:space="preserve"> </w:t>
      </w:r>
      <w:r w:rsidR="008C27F0">
        <w:rPr>
          <w:szCs w:val="24"/>
        </w:rPr>
        <w:t>Additionally</w:t>
      </w:r>
      <w:r w:rsidR="008026DA">
        <w:t xml:space="preserve">, some newly affected </w:t>
      </w:r>
      <w:r w:rsidR="008C27F0">
        <w:rPr>
          <w:szCs w:val="24"/>
        </w:rPr>
        <w:t xml:space="preserve">units </w:t>
      </w:r>
      <w:r w:rsidR="008026DA">
        <w:t>under the CSAPR NO</w:t>
      </w:r>
      <w:r w:rsidRPr="35C0C161" w:rsidR="008026DA">
        <w:rPr>
          <w:vertAlign w:val="subscript"/>
        </w:rPr>
        <w:t>x</w:t>
      </w:r>
      <w:r w:rsidR="008026DA">
        <w:t xml:space="preserve"> Ozone Season Group 3 program are </w:t>
      </w:r>
      <w:r w:rsidR="008026DA">
        <w:rPr>
          <w:szCs w:val="24"/>
        </w:rPr>
        <w:t>al</w:t>
      </w:r>
      <w:r w:rsidR="008C27F0">
        <w:rPr>
          <w:szCs w:val="24"/>
        </w:rPr>
        <w:t>ready</w:t>
      </w:r>
      <w:r w:rsidR="008026DA">
        <w:t xml:space="preserve"> subject to the </w:t>
      </w:r>
      <w:r w:rsidR="008C27F0">
        <w:rPr>
          <w:szCs w:val="24"/>
        </w:rPr>
        <w:t xml:space="preserve">emissions monitoring and reporting requirements under </w:t>
      </w:r>
      <w:r w:rsidR="008026DA">
        <w:rPr>
          <w:szCs w:val="24"/>
        </w:rPr>
        <w:t>ARP</w:t>
      </w:r>
      <w:r w:rsidR="00B64DAC">
        <w:rPr>
          <w:szCs w:val="24"/>
        </w:rPr>
        <w:t>, NO</w:t>
      </w:r>
      <w:r w:rsidRPr="00F013FF" w:rsidR="00B64DAC">
        <w:rPr>
          <w:szCs w:val="24"/>
          <w:vertAlign w:val="subscript"/>
        </w:rPr>
        <w:t>x</w:t>
      </w:r>
      <w:r w:rsidR="00B64DAC">
        <w:rPr>
          <w:szCs w:val="24"/>
        </w:rPr>
        <w:t xml:space="preserve"> SIP Call,</w:t>
      </w:r>
      <w:r w:rsidR="008026DA">
        <w:rPr>
          <w:szCs w:val="24"/>
        </w:rPr>
        <w:t xml:space="preserve"> </w:t>
      </w:r>
      <w:r w:rsidR="008C27F0">
        <w:rPr>
          <w:szCs w:val="24"/>
        </w:rPr>
        <w:t>or CSAPR and</w:t>
      </w:r>
      <w:r w:rsidR="008C27F0">
        <w:t xml:space="preserve"> </w:t>
      </w:r>
      <w:r w:rsidR="008026DA">
        <w:t xml:space="preserve">will need to make one-time updates to now report </w:t>
      </w:r>
      <w:r w:rsidR="00F264F6">
        <w:t>additional</w:t>
      </w:r>
      <w:r w:rsidR="008026DA">
        <w:t xml:space="preserve"> data. </w:t>
      </w:r>
      <w:r>
        <w:t xml:space="preserve">EPA </w:t>
      </w:r>
      <w:r>
        <w:lastRenderedPageBreak/>
        <w:t xml:space="preserve">believes that the associated ongoing burdens and costs </w:t>
      </w:r>
      <w:r w:rsidR="008026DA">
        <w:t xml:space="preserve">for </w:t>
      </w:r>
      <w:r w:rsidR="00AC181A">
        <w:rPr>
          <w:szCs w:val="24"/>
        </w:rPr>
        <w:t>those units already subject to monitoring and reporting requirements</w:t>
      </w:r>
      <w:r w:rsidR="008026DA">
        <w:t xml:space="preserve"> </w:t>
      </w:r>
      <w:r>
        <w:t>are accounted for under the ARP</w:t>
      </w:r>
      <w:r w:rsidR="00495F81">
        <w:t>, NO</w:t>
      </w:r>
      <w:r w:rsidRPr="00495F81" w:rsidR="00495F81">
        <w:rPr>
          <w:vertAlign w:val="subscript"/>
        </w:rPr>
        <w:t>x</w:t>
      </w:r>
      <w:r w:rsidR="00495F81">
        <w:t xml:space="preserve"> SIP Call,</w:t>
      </w:r>
      <w:r>
        <w:t xml:space="preserve"> </w:t>
      </w:r>
      <w:r w:rsidR="00AC181A">
        <w:rPr>
          <w:szCs w:val="24"/>
        </w:rPr>
        <w:t>or</w:t>
      </w:r>
      <w:r w:rsidR="008C27F0">
        <w:rPr>
          <w:szCs w:val="24"/>
        </w:rPr>
        <w:t xml:space="preserve"> CSAPR </w:t>
      </w:r>
      <w:r w:rsidRPr="003F0783">
        <w:rPr>
          <w:szCs w:val="24"/>
        </w:rPr>
        <w:t>ICR</w:t>
      </w:r>
      <w:r w:rsidR="008C27F0">
        <w:rPr>
          <w:szCs w:val="24"/>
        </w:rPr>
        <w:t>s</w:t>
      </w:r>
      <w:r w:rsidRPr="003F0783">
        <w:rPr>
          <w:szCs w:val="24"/>
        </w:rPr>
        <w:t>.</w:t>
      </w:r>
      <w:r>
        <w:t xml:space="preserve">   </w:t>
      </w:r>
    </w:p>
    <w:p w:rsidRPr="003F0783" w:rsidR="00D43372" w:rsidP="00F43E71" w:rsidRDefault="00D43372" w14:paraId="2641B96F" w14:textId="77777777">
      <w:pPr>
        <w:autoSpaceDE w:val="0"/>
        <w:autoSpaceDN w:val="0"/>
        <w:adjustRightInd w:val="0"/>
        <w:ind w:firstLine="720"/>
        <w:rPr>
          <w:szCs w:val="24"/>
        </w:rPr>
      </w:pPr>
    </w:p>
    <w:p w:rsidRPr="003F0783" w:rsidR="00F43E71" w:rsidP="00F43E71" w:rsidRDefault="00F43E71" w14:paraId="3CD03DED" w14:textId="5565FEDE">
      <w:pPr>
        <w:autoSpaceDE w:val="0"/>
        <w:autoSpaceDN w:val="0"/>
        <w:adjustRightInd w:val="0"/>
        <w:ind w:firstLine="720"/>
      </w:pPr>
      <w:r>
        <w:t xml:space="preserve">Burden and costs associated with allowance-related activities and submittal of certificates of representation and other registration forms are calculated based on the estimated numbers of transactions. The estimates reflect transactions by </w:t>
      </w:r>
      <w:r w:rsidR="00AC181A">
        <w:t>those newly affect</w:t>
      </w:r>
      <w:r w:rsidR="3109F0FF">
        <w:t>ed</w:t>
      </w:r>
      <w:r w:rsidR="00AC181A">
        <w:t xml:space="preserve"> sources under the CSAPR NO</w:t>
      </w:r>
      <w:r w:rsidRPr="7EDF893D" w:rsidR="00AC181A">
        <w:rPr>
          <w:vertAlign w:val="subscript"/>
        </w:rPr>
        <w:t>x</w:t>
      </w:r>
      <w:r w:rsidR="00AC181A">
        <w:t xml:space="preserve"> Ozone Season Group 3 program.</w:t>
      </w:r>
    </w:p>
    <w:p w:rsidRPr="003F0783" w:rsidR="00F43E71" w:rsidP="00F43E71" w:rsidRDefault="00F43E71" w14:paraId="1BE47328" w14:textId="77777777">
      <w:pPr>
        <w:autoSpaceDE w:val="0"/>
        <w:autoSpaceDN w:val="0"/>
        <w:adjustRightInd w:val="0"/>
        <w:ind w:firstLine="720"/>
        <w:rPr>
          <w:szCs w:val="24"/>
        </w:rPr>
      </w:pPr>
    </w:p>
    <w:p w:rsidRPr="003F0783" w:rsidR="00F43E71" w:rsidP="00F43E71" w:rsidRDefault="00F43E71" w14:paraId="26229901" w14:textId="7C2A07C2">
      <w:pPr>
        <w:autoSpaceDE w:val="0"/>
        <w:autoSpaceDN w:val="0"/>
        <w:adjustRightInd w:val="0"/>
        <w:ind w:firstLine="720"/>
      </w:pPr>
      <w:r>
        <w:t xml:space="preserve">Table 2 summarizes the annual industry respondent burden for registration-related, allowance-related, and emissions-related activities.  The following discussion describes how the burden estimates were derived.  </w:t>
      </w:r>
    </w:p>
    <w:p w:rsidRPr="003F0783" w:rsidR="00F43E71" w:rsidP="00F43E71" w:rsidRDefault="00F43E71" w14:paraId="18547C2E" w14:textId="77777777">
      <w:pPr>
        <w:autoSpaceDE w:val="0"/>
        <w:autoSpaceDN w:val="0"/>
        <w:adjustRightInd w:val="0"/>
        <w:ind w:left="720"/>
        <w:rPr>
          <w:iCs/>
          <w:szCs w:val="24"/>
        </w:rPr>
      </w:pPr>
    </w:p>
    <w:p w:rsidRPr="003F0783" w:rsidR="00F43E71" w:rsidP="00F43E71" w:rsidRDefault="00F43E71" w14:paraId="7C2CA8C1" w14:textId="77777777">
      <w:pPr>
        <w:keepNext/>
        <w:autoSpaceDE w:val="0"/>
        <w:autoSpaceDN w:val="0"/>
        <w:adjustRightInd w:val="0"/>
        <w:ind w:left="720"/>
        <w:rPr>
          <w:iCs/>
          <w:szCs w:val="24"/>
        </w:rPr>
      </w:pPr>
      <w:r w:rsidRPr="003F0783">
        <w:rPr>
          <w:iCs/>
          <w:szCs w:val="24"/>
        </w:rPr>
        <w:t>(</w:t>
      </w:r>
      <w:proofErr w:type="spellStart"/>
      <w:r w:rsidRPr="003F0783">
        <w:rPr>
          <w:iCs/>
          <w:szCs w:val="24"/>
        </w:rPr>
        <w:t>i</w:t>
      </w:r>
      <w:proofErr w:type="spellEnd"/>
      <w:r w:rsidRPr="003F0783">
        <w:rPr>
          <w:iCs/>
          <w:szCs w:val="24"/>
        </w:rPr>
        <w:t>)  Respondent Burden Related to Certificates of Representation and Other One-Time Registration Forms</w:t>
      </w:r>
    </w:p>
    <w:p w:rsidRPr="003F0783" w:rsidR="00F43E71" w:rsidP="00F43E71" w:rsidRDefault="00F43E71" w14:paraId="5852EF38" w14:textId="77777777">
      <w:pPr>
        <w:autoSpaceDE w:val="0"/>
        <w:autoSpaceDN w:val="0"/>
        <w:adjustRightInd w:val="0"/>
        <w:ind w:firstLine="720"/>
        <w:rPr>
          <w:szCs w:val="24"/>
        </w:rPr>
      </w:pPr>
    </w:p>
    <w:p w:rsidRPr="003F0783" w:rsidR="00F43E71" w:rsidP="00F43E71" w:rsidRDefault="00F43E71" w14:paraId="00B021F9" w14:textId="0698AE05">
      <w:pPr>
        <w:autoSpaceDE w:val="0"/>
        <w:autoSpaceDN w:val="0"/>
        <w:adjustRightInd w:val="0"/>
        <w:ind w:firstLine="720"/>
      </w:pPr>
      <w:r>
        <w:t>Under the CSAPR and Texas trading programs, the designated representative for each affected source must submit a certificate of representation to EPA. Th</w:t>
      </w:r>
      <w:r w:rsidR="00A82995">
        <w:t xml:space="preserve">is ICR </w:t>
      </w:r>
      <w:r>
        <w:t>account</w:t>
      </w:r>
      <w:r w:rsidR="00A82995">
        <w:t>s</w:t>
      </w:r>
      <w:r>
        <w:t xml:space="preserve"> for the one-time certificate </w:t>
      </w:r>
      <w:r w:rsidR="00A82995">
        <w:t xml:space="preserve">of representation submittal </w:t>
      </w:r>
      <w:r>
        <w:t xml:space="preserve">required </w:t>
      </w:r>
      <w:r w:rsidR="00A82995">
        <w:t xml:space="preserve">by newly </w:t>
      </w:r>
      <w:r w:rsidR="00A82995">
        <w:rPr>
          <w:szCs w:val="24"/>
        </w:rPr>
        <w:t>affect</w:t>
      </w:r>
      <w:r w:rsidR="003020FA">
        <w:rPr>
          <w:szCs w:val="24"/>
        </w:rPr>
        <w:t>ed</w:t>
      </w:r>
      <w:r w:rsidR="00A82995">
        <w:t xml:space="preserve"> units not currently subject to the ARP or CSAPR. </w:t>
      </w:r>
      <w:r w:rsidR="00955707">
        <w:t xml:space="preserve">Based on estimates in the ARP ICR, </w:t>
      </w:r>
      <w:r>
        <w:t xml:space="preserve">EPA believes that all such </w:t>
      </w:r>
      <w:r w:rsidR="00955707">
        <w:t>submittals</w:t>
      </w:r>
      <w:r>
        <w:t xml:space="preserve"> </w:t>
      </w:r>
      <w:r w:rsidR="00955707">
        <w:t xml:space="preserve">require about two </w:t>
      </w:r>
      <w:r>
        <w:t>hour</w:t>
      </w:r>
      <w:r w:rsidR="00955707">
        <w:t>s</w:t>
      </w:r>
      <w:r>
        <w:t xml:space="preserve"> of managerial time and </w:t>
      </w:r>
      <w:r w:rsidR="003020FA">
        <w:rPr>
          <w:szCs w:val="24"/>
        </w:rPr>
        <w:t xml:space="preserve">three </w:t>
      </w:r>
      <w:r w:rsidRPr="003F0783" w:rsidR="003020FA">
        <w:rPr>
          <w:szCs w:val="24"/>
        </w:rPr>
        <w:t>hours</w:t>
      </w:r>
      <w:r>
        <w:t xml:space="preserve"> of technical time.</w:t>
      </w:r>
      <w:r w:rsidR="0035675E">
        <w:t xml:space="preserve"> EPA believes that any certificate of representation updates </w:t>
      </w:r>
      <w:r w:rsidR="00EC73A9">
        <w:t xml:space="preserve">that may occur </w:t>
      </w:r>
      <w:r w:rsidR="00002CAE">
        <w:t xml:space="preserve">for </w:t>
      </w:r>
      <w:r w:rsidR="00DE02B8">
        <w:t xml:space="preserve">newly affected units is accounted for under the ARP and CSAPR ICRs. </w:t>
      </w:r>
    </w:p>
    <w:p w:rsidRPr="003F0783" w:rsidR="00F43E71" w:rsidP="00F43E71" w:rsidRDefault="00F43E71" w14:paraId="0013ECC8" w14:textId="77777777">
      <w:pPr>
        <w:autoSpaceDE w:val="0"/>
        <w:autoSpaceDN w:val="0"/>
        <w:adjustRightInd w:val="0"/>
        <w:ind w:firstLine="720"/>
        <w:rPr>
          <w:szCs w:val="24"/>
        </w:rPr>
      </w:pPr>
    </w:p>
    <w:p w:rsidRPr="003F0783" w:rsidR="00F43E71" w:rsidP="00F43E71" w:rsidRDefault="00F43E71" w14:paraId="7AD1D905" w14:textId="77777777">
      <w:pPr>
        <w:autoSpaceDE w:val="0"/>
        <w:autoSpaceDN w:val="0"/>
        <w:adjustRightInd w:val="0"/>
        <w:ind w:left="720"/>
        <w:rPr>
          <w:szCs w:val="24"/>
        </w:rPr>
      </w:pPr>
      <w:r w:rsidRPr="003F0783">
        <w:rPr>
          <w:iCs/>
          <w:szCs w:val="24"/>
        </w:rPr>
        <w:t>(ii)  Respondent Burden Related to Allowance Tracking</w:t>
      </w:r>
    </w:p>
    <w:p w:rsidRPr="003F0783" w:rsidR="00F43E71" w:rsidP="00F43E71" w:rsidRDefault="00F43E71" w14:paraId="5F7F96BE" w14:textId="77777777">
      <w:pPr>
        <w:autoSpaceDE w:val="0"/>
        <w:autoSpaceDN w:val="0"/>
        <w:adjustRightInd w:val="0"/>
        <w:rPr>
          <w:szCs w:val="24"/>
        </w:rPr>
      </w:pPr>
    </w:p>
    <w:p w:rsidRPr="003F0783" w:rsidR="00F43E71" w:rsidP="00F43E71" w:rsidRDefault="00F43E71" w14:paraId="3CC6CFAA" w14:textId="4C052275">
      <w:pPr>
        <w:ind w:firstLine="720"/>
      </w:pPr>
      <w:r w:rsidRPr="003F0783">
        <w:t>Based on the number of allowance transfers recorded by EPA for all CSAPR trading programs for the 201</w:t>
      </w:r>
      <w:r>
        <w:t>8</w:t>
      </w:r>
      <w:r w:rsidRPr="003F0783">
        <w:t>, 201</w:t>
      </w:r>
      <w:r>
        <w:t>9</w:t>
      </w:r>
      <w:r w:rsidRPr="003F0783">
        <w:t>, and 20</w:t>
      </w:r>
      <w:r>
        <w:t>20</w:t>
      </w:r>
      <w:r w:rsidRPr="003F0783">
        <w:t xml:space="preserve"> control periods, EPA estimates that </w:t>
      </w:r>
      <w:r w:rsidR="0031589F">
        <w:t xml:space="preserve">each source will </w:t>
      </w:r>
      <w:r w:rsidRPr="003F0783">
        <w:t>submit</w:t>
      </w:r>
      <w:r w:rsidR="0031589F">
        <w:t xml:space="preserve"> approximately two</w:t>
      </w:r>
      <w:r w:rsidRPr="003F0783">
        <w:t xml:space="preserve"> allowance transfers each year</w:t>
      </w:r>
      <w:r w:rsidR="0031589F">
        <w:t xml:space="preserve">. </w:t>
      </w:r>
      <w:r w:rsidRPr="003F0783">
        <w:t>The Agency estimates that each transaction submitted will involve about one hour each of managerial and technician time.</w:t>
      </w:r>
    </w:p>
    <w:p w:rsidRPr="003F0783" w:rsidR="00F43E71" w:rsidP="00F43E71" w:rsidRDefault="00F43E71" w14:paraId="32198207" w14:textId="77777777">
      <w:pPr>
        <w:ind w:firstLine="720"/>
      </w:pPr>
    </w:p>
    <w:p w:rsidRPr="003F0783" w:rsidR="00F43E71" w:rsidP="00F43E71" w:rsidRDefault="00F43E71" w14:paraId="179E1525" w14:textId="0F9512E9">
      <w:pPr>
        <w:ind w:firstLine="720"/>
      </w:pPr>
      <w:r w:rsidRPr="003F0783">
        <w:t xml:space="preserve">Because compliance under the CSAPR and Texas trading programs is determined on a facility basis rather than a unit basis, allowance deduction forms are also generally submitted for facilities rather than individual units. From experience, EPA estimates that these optional forms will be submitted for approximately one half of all affected facilities, and that each transaction submitted will involve about one hour of managerial time and two hours of technician time.  </w:t>
      </w:r>
    </w:p>
    <w:p w:rsidRPr="003F0783" w:rsidR="00F43E71" w:rsidP="00F43E71" w:rsidRDefault="00F43E71" w14:paraId="2F9F6F1A" w14:textId="77777777">
      <w:pPr>
        <w:autoSpaceDE w:val="0"/>
        <w:autoSpaceDN w:val="0"/>
        <w:adjustRightInd w:val="0"/>
        <w:rPr>
          <w:szCs w:val="24"/>
        </w:rPr>
      </w:pPr>
    </w:p>
    <w:p w:rsidRPr="003F0783" w:rsidR="00F43E71" w:rsidP="00F43E71" w:rsidRDefault="00F43E71" w14:paraId="1275FB5C" w14:textId="77777777">
      <w:pPr>
        <w:autoSpaceDE w:val="0"/>
        <w:autoSpaceDN w:val="0"/>
        <w:adjustRightInd w:val="0"/>
        <w:ind w:left="720"/>
        <w:rPr>
          <w:szCs w:val="24"/>
        </w:rPr>
      </w:pPr>
      <w:r w:rsidRPr="003F0783">
        <w:rPr>
          <w:iCs/>
          <w:szCs w:val="24"/>
        </w:rPr>
        <w:t>(iii)  Respondent Burden Related to Emissions Monitoring and Reporting</w:t>
      </w:r>
    </w:p>
    <w:p w:rsidRPr="003F0783" w:rsidR="00F43E71" w:rsidP="00F43E71" w:rsidRDefault="00F43E71" w14:paraId="5338B3C4" w14:textId="77777777">
      <w:pPr>
        <w:autoSpaceDE w:val="0"/>
        <w:autoSpaceDN w:val="0"/>
        <w:adjustRightInd w:val="0"/>
        <w:rPr>
          <w:szCs w:val="24"/>
        </w:rPr>
      </w:pPr>
    </w:p>
    <w:p w:rsidRPr="003F0783" w:rsidR="00F43E71" w:rsidP="00F43E71" w:rsidRDefault="00F43E71" w14:paraId="41553AA6" w14:textId="6C3A73B9">
      <w:pPr>
        <w:autoSpaceDE w:val="0"/>
        <w:autoSpaceDN w:val="0"/>
        <w:adjustRightInd w:val="0"/>
        <w:ind w:firstLine="720"/>
      </w:pPr>
      <w:r>
        <w:t xml:space="preserve">For emissions monitoring and reporting, the respondent burden varies depending on the monitoring approach followed by the unit and the trading programs in which the unit participates. The burden and costs in Table 2 are broken out for various groups of respondents to reflect these differences. As noted above, EPA believes that the emissions-related information collection burden and costs of the CSAPR and Texas trading programs are </w:t>
      </w:r>
      <w:r w:rsidR="0031589F">
        <w:t>mainly</w:t>
      </w:r>
      <w:r>
        <w:t xml:space="preserve"> accounted for in the ARP ICR, and this ICR therefore accounts for emissions-related burden and costs for </w:t>
      </w:r>
      <w:r w:rsidR="0031589F">
        <w:t xml:space="preserve">units newly subject to the monitoring requirements or those units that must make one-time updates. </w:t>
      </w:r>
    </w:p>
    <w:p w:rsidRPr="003F0783" w:rsidR="00F43E71" w:rsidP="00F43E71" w:rsidRDefault="00F43E71" w14:paraId="7DB7C0FA" w14:textId="77777777">
      <w:pPr>
        <w:autoSpaceDE w:val="0"/>
        <w:autoSpaceDN w:val="0"/>
        <w:adjustRightInd w:val="0"/>
        <w:ind w:firstLine="720"/>
        <w:rPr>
          <w:szCs w:val="24"/>
        </w:rPr>
      </w:pPr>
    </w:p>
    <w:p w:rsidRPr="003F0783" w:rsidR="00F43E71" w:rsidP="00F43E71" w:rsidRDefault="00F43E71" w14:paraId="0D732C63" w14:textId="7242EC5B">
      <w:pPr>
        <w:autoSpaceDE w:val="0"/>
        <w:autoSpaceDN w:val="0"/>
        <w:adjustRightInd w:val="0"/>
        <w:ind w:firstLine="720"/>
      </w:pPr>
      <w:r>
        <w:t>The CSAPR and Texas trading programs generally require all affected sources to monitor their NO</w:t>
      </w:r>
      <w:r w:rsidRPr="35C0C161">
        <w:rPr>
          <w:vertAlign w:val="subscript"/>
        </w:rPr>
        <w:t>X</w:t>
      </w:r>
      <w:r>
        <w:t xml:space="preserve"> and/or SO</w:t>
      </w:r>
      <w:r w:rsidRPr="35C0C161">
        <w:rPr>
          <w:vertAlign w:val="subscript"/>
        </w:rPr>
        <w:t>2</w:t>
      </w:r>
      <w:r>
        <w:t xml:space="preserve"> emission rate and heat input </w:t>
      </w:r>
      <w:r w:rsidR="00292AE9">
        <w:t>to</w:t>
      </w:r>
      <w:r>
        <w:t xml:space="preserve"> determine NO</w:t>
      </w:r>
      <w:r w:rsidRPr="35C0C161">
        <w:rPr>
          <w:vertAlign w:val="subscript"/>
        </w:rPr>
        <w:t>X</w:t>
      </w:r>
      <w:r>
        <w:t xml:space="preserve"> mass emissions and/or SO</w:t>
      </w:r>
      <w:r w:rsidRPr="35C0C161">
        <w:rPr>
          <w:vertAlign w:val="subscript"/>
        </w:rPr>
        <w:t>2</w:t>
      </w:r>
      <w:r>
        <w:t xml:space="preserve"> </w:t>
      </w:r>
      <w:r>
        <w:lastRenderedPageBreak/>
        <w:t xml:space="preserve">mass emissions. </w:t>
      </w:r>
      <w:r w:rsidRPr="003F0783">
        <w:t xml:space="preserve">Coal-fired units use </w:t>
      </w:r>
      <w:r>
        <w:t>NO</w:t>
      </w:r>
      <w:r w:rsidRPr="35C0C161">
        <w:rPr>
          <w:vertAlign w:val="subscript"/>
        </w:rPr>
        <w:t>X</w:t>
      </w:r>
      <w:r w:rsidRPr="003F0783">
        <w:t>, SO</w:t>
      </w:r>
      <w:r w:rsidRPr="003F0783">
        <w:rPr>
          <w:vertAlign w:val="subscript"/>
        </w:rPr>
        <w:t>2</w:t>
      </w:r>
      <w:r w:rsidRPr="003F0783">
        <w:t>, and stack flow CEMS to meet those requirements. Oil and gas-fired units have alternatives. For SO</w:t>
      </w:r>
      <w:r w:rsidRPr="003F0783">
        <w:rPr>
          <w:vertAlign w:val="subscript"/>
        </w:rPr>
        <w:t>2</w:t>
      </w:r>
      <w:r w:rsidRPr="003F0783">
        <w:t>, these units can use fuel sampling and analysis (or an SO</w:t>
      </w:r>
      <w:r w:rsidRPr="003F0783">
        <w:rPr>
          <w:vertAlign w:val="subscript"/>
        </w:rPr>
        <w:t>2</w:t>
      </w:r>
      <w:r w:rsidRPr="003F0783">
        <w:t xml:space="preserve"> default factor for pipeline natural gas) combined with a fuel flowmeter. </w:t>
      </w:r>
      <w:r>
        <w:t>In addition, peaking units that burn natural gas and/or fuel oil may use an alternative method for calculating NO</w:t>
      </w:r>
      <w:r w:rsidRPr="35C0C161">
        <w:rPr>
          <w:vertAlign w:val="subscript"/>
        </w:rPr>
        <w:t>X</w:t>
      </w:r>
      <w:r>
        <w:t xml:space="preserve"> emission rates. The regulations also allow certain low mass emissions units to use assumed emissions factors together with operational data to calculate emissions.  </w:t>
      </w:r>
    </w:p>
    <w:p w:rsidRPr="003F0783" w:rsidR="00F43E71" w:rsidP="00F43E71" w:rsidRDefault="00F43E71" w14:paraId="167A854B" w14:textId="77777777">
      <w:pPr>
        <w:autoSpaceDE w:val="0"/>
        <w:autoSpaceDN w:val="0"/>
        <w:adjustRightInd w:val="0"/>
        <w:rPr>
          <w:i/>
          <w:iCs/>
          <w:szCs w:val="24"/>
        </w:rPr>
      </w:pPr>
    </w:p>
    <w:p w:rsidRPr="003F0783" w:rsidR="00F43E71" w:rsidP="00F43E71" w:rsidRDefault="0031589F" w14:paraId="405C7E7A" w14:textId="1A83F975">
      <w:pPr>
        <w:autoSpaceDE w:val="0"/>
        <w:autoSpaceDN w:val="0"/>
        <w:adjustRightInd w:val="0"/>
        <w:ind w:firstLine="720"/>
      </w:pPr>
      <w:r>
        <w:t xml:space="preserve">The monitoring and emissions data collected </w:t>
      </w:r>
      <w:r w:rsidR="006E1043">
        <w:t>a</w:t>
      </w:r>
      <w:r w:rsidR="00C13450">
        <w:t>re</w:t>
      </w:r>
      <w:r w:rsidR="006E1043">
        <w:t xml:space="preserve"> </w:t>
      </w:r>
      <w:r>
        <w:t xml:space="preserve">reported to EPA </w:t>
      </w:r>
      <w:r w:rsidR="006E1043">
        <w:t xml:space="preserve">through the submission of quarterly reports. A majority of the newly effected units already submit these </w:t>
      </w:r>
      <w:proofErr w:type="gramStart"/>
      <w:r w:rsidR="006E1043">
        <w:t>reports</w:t>
      </w:r>
      <w:proofErr w:type="gramEnd"/>
      <w:r w:rsidR="006E1043">
        <w:t xml:space="preserve"> and the burden is covered under the ARP</w:t>
      </w:r>
      <w:r w:rsidR="001E286B">
        <w:t xml:space="preserve">, </w:t>
      </w:r>
      <w:r w:rsidRPr="003F64AA" w:rsidR="009C2CFA">
        <w:rPr>
          <w:szCs w:val="24"/>
        </w:rPr>
        <w:t>NO</w:t>
      </w:r>
      <w:r w:rsidRPr="003F64AA" w:rsidR="009C2CFA">
        <w:rPr>
          <w:szCs w:val="24"/>
          <w:vertAlign w:val="subscript"/>
        </w:rPr>
        <w:t>X</w:t>
      </w:r>
      <w:r w:rsidR="00405690">
        <w:t xml:space="preserve"> SIP Call,</w:t>
      </w:r>
      <w:r w:rsidR="006E1043">
        <w:t xml:space="preserve"> or current CSPAR ICR. For the purposes of this ICR, the burden and cost</w:t>
      </w:r>
      <w:r w:rsidR="28B038DF">
        <w:t>s</w:t>
      </w:r>
      <w:r w:rsidR="006E1043">
        <w:t xml:space="preserve"> </w:t>
      </w:r>
      <w:r w:rsidR="2A01E01B">
        <w:t>are</w:t>
      </w:r>
      <w:r w:rsidR="006E1043">
        <w:t xml:space="preserve"> captured for those newly affected units that do not currently submit quarterly reports. Due to the units being subject to an ozone season program, EPA estimates the units will </w:t>
      </w:r>
      <w:r w:rsidR="00F43E71">
        <w:t>submit quarterly reports for only the two quarters of each year that encompass the May-September ozone season.</w:t>
      </w:r>
    </w:p>
    <w:p w:rsidRPr="003F0783" w:rsidR="00F43E71" w:rsidP="00F43E71" w:rsidRDefault="00F43E71" w14:paraId="376CE816" w14:textId="77777777">
      <w:pPr>
        <w:autoSpaceDE w:val="0"/>
        <w:autoSpaceDN w:val="0"/>
        <w:adjustRightInd w:val="0"/>
        <w:ind w:firstLine="720"/>
        <w:rPr>
          <w:szCs w:val="24"/>
        </w:rPr>
      </w:pPr>
    </w:p>
    <w:p w:rsidRPr="003F0783" w:rsidR="00F43E71" w:rsidP="00F43E71" w:rsidRDefault="00F43E71" w14:paraId="68105EB2" w14:textId="77777777">
      <w:pPr>
        <w:autoSpaceDE w:val="0"/>
        <w:autoSpaceDN w:val="0"/>
        <w:adjustRightInd w:val="0"/>
        <w:outlineLvl w:val="0"/>
        <w:rPr>
          <w:i/>
          <w:iCs/>
          <w:szCs w:val="24"/>
        </w:rPr>
      </w:pPr>
      <w:r w:rsidRPr="003F0783">
        <w:rPr>
          <w:i/>
          <w:iCs/>
          <w:szCs w:val="24"/>
        </w:rPr>
        <w:t>Start-up Activities</w:t>
      </w:r>
    </w:p>
    <w:p w:rsidRPr="003F0783" w:rsidR="00F43E71" w:rsidP="00F43E71" w:rsidRDefault="00F43E71" w14:paraId="570DB02C" w14:textId="77777777">
      <w:pPr>
        <w:autoSpaceDE w:val="0"/>
        <w:autoSpaceDN w:val="0"/>
        <w:adjustRightInd w:val="0"/>
        <w:ind w:firstLine="720"/>
        <w:rPr>
          <w:i/>
          <w:iCs/>
          <w:szCs w:val="24"/>
        </w:rPr>
      </w:pPr>
    </w:p>
    <w:p w:rsidRPr="003F0783" w:rsidR="00F43E71" w:rsidP="00F43E71" w:rsidRDefault="00F43E71" w14:paraId="432C7C33" w14:textId="193670EB">
      <w:pPr>
        <w:autoSpaceDE w:val="0"/>
        <w:autoSpaceDN w:val="0"/>
        <w:adjustRightInd w:val="0"/>
        <w:ind w:firstLine="720"/>
      </w:pPr>
      <w:r>
        <w:t xml:space="preserve">For many sources, a large part of the overall emissions monitoring burden consists of start-up costs for the acquisition, installation, and testing of monitoring equipment.  For units </w:t>
      </w:r>
      <w:r w:rsidR="006E1043">
        <w:t xml:space="preserve">already </w:t>
      </w:r>
      <w:r>
        <w:t>subject to the ARP</w:t>
      </w:r>
      <w:r w:rsidR="00EA71D8">
        <w:t xml:space="preserve">, </w:t>
      </w:r>
      <w:r w:rsidRPr="003F64AA" w:rsidR="00F26FE4">
        <w:rPr>
          <w:szCs w:val="24"/>
        </w:rPr>
        <w:t>NO</w:t>
      </w:r>
      <w:r w:rsidRPr="003F64AA" w:rsidR="00F26FE4">
        <w:rPr>
          <w:szCs w:val="24"/>
          <w:vertAlign w:val="subscript"/>
        </w:rPr>
        <w:t>X</w:t>
      </w:r>
      <w:r w:rsidR="00EA71D8">
        <w:t xml:space="preserve"> SIP Call,</w:t>
      </w:r>
      <w:r w:rsidR="006E1043">
        <w:t xml:space="preserve"> or CSAPR</w:t>
      </w:r>
      <w:r>
        <w:t>, the burden and costs for both NO</w:t>
      </w:r>
      <w:r w:rsidRPr="0AFDBABC">
        <w:rPr>
          <w:vertAlign w:val="subscript"/>
        </w:rPr>
        <w:t>X</w:t>
      </w:r>
      <w:r>
        <w:t xml:space="preserve"> and SO</w:t>
      </w:r>
      <w:r w:rsidRPr="0AFDBABC">
        <w:rPr>
          <w:vertAlign w:val="subscript"/>
        </w:rPr>
        <w:t>2</w:t>
      </w:r>
      <w:r>
        <w:t xml:space="preserve"> monitoring equipment are accounted for in the ARP</w:t>
      </w:r>
      <w:r w:rsidR="00EA71D8">
        <w:t xml:space="preserve">, </w:t>
      </w:r>
      <w:r w:rsidRPr="003F64AA" w:rsidR="00F26FE4">
        <w:rPr>
          <w:szCs w:val="24"/>
        </w:rPr>
        <w:t>NO</w:t>
      </w:r>
      <w:r w:rsidRPr="003F64AA" w:rsidR="00F26FE4">
        <w:rPr>
          <w:szCs w:val="24"/>
          <w:vertAlign w:val="subscript"/>
        </w:rPr>
        <w:t>X</w:t>
      </w:r>
      <w:r w:rsidR="00EA71D8">
        <w:t xml:space="preserve"> SIP Call,</w:t>
      </w:r>
      <w:r>
        <w:t xml:space="preserve"> </w:t>
      </w:r>
      <w:r w:rsidR="006E1043">
        <w:t xml:space="preserve">or CSAPR </w:t>
      </w:r>
      <w:r>
        <w:t>ICR</w:t>
      </w:r>
      <w:r w:rsidR="006E1043">
        <w:t>s</w:t>
      </w:r>
      <w:r>
        <w:t xml:space="preserve">. </w:t>
      </w:r>
      <w:r w:rsidR="006E1043">
        <w:t>T</w:t>
      </w:r>
      <w:r>
        <w:t>his ICR includes annualized start-up/capital costs as well as O&amp;M burden and costs for any monitoring equipment needed by unit</w:t>
      </w:r>
      <w:r w:rsidR="5B4395EC">
        <w:t>s newly subject</w:t>
      </w:r>
      <w:r>
        <w:t xml:space="preserve"> to the applicable monitoring and reporting requirements of the CSAPR trading programs</w:t>
      </w:r>
      <w:r w:rsidR="1AC37EF6">
        <w:t>.</w:t>
      </w:r>
      <w:r>
        <w:t xml:space="preserve">  </w:t>
      </w:r>
    </w:p>
    <w:p w:rsidRPr="003F0783" w:rsidR="00F43E71" w:rsidP="00F43E71" w:rsidRDefault="00F43E71" w14:paraId="1CA57FCE" w14:textId="77777777">
      <w:pPr>
        <w:autoSpaceDE w:val="0"/>
        <w:autoSpaceDN w:val="0"/>
        <w:adjustRightInd w:val="0"/>
        <w:rPr>
          <w:i/>
          <w:iCs/>
          <w:szCs w:val="24"/>
        </w:rPr>
      </w:pPr>
    </w:p>
    <w:p w:rsidRPr="003F0783" w:rsidR="00F43E71" w:rsidP="00F43E71" w:rsidRDefault="00F43E71" w14:paraId="1424BC0F" w14:textId="77777777">
      <w:pPr>
        <w:keepNext/>
        <w:autoSpaceDE w:val="0"/>
        <w:autoSpaceDN w:val="0"/>
        <w:adjustRightInd w:val="0"/>
        <w:outlineLvl w:val="0"/>
        <w:rPr>
          <w:szCs w:val="24"/>
        </w:rPr>
      </w:pPr>
      <w:r w:rsidRPr="003F0783">
        <w:rPr>
          <w:i/>
          <w:iCs/>
          <w:szCs w:val="24"/>
        </w:rPr>
        <w:t>Regulatory Review</w:t>
      </w:r>
    </w:p>
    <w:p w:rsidRPr="003F0783" w:rsidR="00F43E71" w:rsidP="00F43E71" w:rsidRDefault="00F43E71" w14:paraId="604F4418" w14:textId="77777777">
      <w:pPr>
        <w:keepNext/>
        <w:autoSpaceDE w:val="0"/>
        <w:autoSpaceDN w:val="0"/>
        <w:adjustRightInd w:val="0"/>
        <w:ind w:firstLine="720"/>
        <w:rPr>
          <w:szCs w:val="24"/>
        </w:rPr>
      </w:pPr>
    </w:p>
    <w:p w:rsidRPr="003F0783" w:rsidR="00F43E71" w:rsidP="00F43E71" w:rsidRDefault="00F43E71" w14:paraId="5BF432D8" w14:textId="56823EAA">
      <w:pPr>
        <w:keepNext/>
        <w:autoSpaceDE w:val="0"/>
        <w:autoSpaceDN w:val="0"/>
        <w:adjustRightInd w:val="0"/>
        <w:ind w:firstLine="720"/>
      </w:pPr>
      <w:r>
        <w:t>The ICR includes an allocation of time for the managerial and technical staff to review the CSAPR regulatory requirements as well as the XML formats and instructions associated with electronic emissions data submissions. For purposes of review, the estimated annual burden for each source is four hours each for managerial and technician time.</w:t>
      </w:r>
    </w:p>
    <w:p w:rsidRPr="003F0783" w:rsidR="00F43E71" w:rsidP="00F43E71" w:rsidRDefault="00F43E71" w14:paraId="424F7869" w14:textId="77777777">
      <w:pPr>
        <w:autoSpaceDE w:val="0"/>
        <w:autoSpaceDN w:val="0"/>
        <w:adjustRightInd w:val="0"/>
        <w:rPr>
          <w:i/>
          <w:iCs/>
          <w:szCs w:val="24"/>
        </w:rPr>
      </w:pPr>
    </w:p>
    <w:p w:rsidRPr="003F0783" w:rsidR="00F43E71" w:rsidP="00F43E71" w:rsidRDefault="00F43E71" w14:paraId="7DCB3C37" w14:textId="77777777">
      <w:pPr>
        <w:keepNext/>
        <w:autoSpaceDE w:val="0"/>
        <w:autoSpaceDN w:val="0"/>
        <w:adjustRightInd w:val="0"/>
        <w:outlineLvl w:val="0"/>
        <w:rPr>
          <w:szCs w:val="24"/>
        </w:rPr>
      </w:pPr>
      <w:r w:rsidRPr="003F0783">
        <w:rPr>
          <w:i/>
          <w:iCs/>
          <w:szCs w:val="24"/>
        </w:rPr>
        <w:t>Response to Error Messages</w:t>
      </w:r>
    </w:p>
    <w:p w:rsidRPr="003F0783" w:rsidR="00F43E71" w:rsidP="00F43E71" w:rsidRDefault="00F43E71" w14:paraId="78D215A5" w14:textId="77777777">
      <w:pPr>
        <w:keepNext/>
        <w:autoSpaceDE w:val="0"/>
        <w:autoSpaceDN w:val="0"/>
        <w:adjustRightInd w:val="0"/>
        <w:ind w:firstLine="720"/>
        <w:rPr>
          <w:szCs w:val="24"/>
        </w:rPr>
      </w:pPr>
    </w:p>
    <w:p w:rsidRPr="003F0783" w:rsidR="00F43E71" w:rsidP="00F43E71" w:rsidRDefault="00F43E71" w14:paraId="2E954AF6" w14:textId="451F0B35">
      <w:pPr>
        <w:autoSpaceDE w:val="0"/>
        <w:autoSpaceDN w:val="0"/>
        <w:adjustRightInd w:val="0"/>
        <w:ind w:firstLine="720"/>
      </w:pPr>
      <w:r>
        <w:t xml:space="preserve">The Agency provides feedback for errors that are found in monitoring plans or other reports. The Agency estimates that for each </w:t>
      </w:r>
      <w:r w:rsidR="006709BF">
        <w:t xml:space="preserve">newly affected </w:t>
      </w:r>
      <w:r>
        <w:t>unit, an owner or operator will spend approximately six hours of managerial time and eighteen hours of technician time responding to these error messages each year.</w:t>
      </w:r>
    </w:p>
    <w:p w:rsidRPr="003F0783" w:rsidR="00F43E71" w:rsidP="00F43E71" w:rsidRDefault="00F43E71" w14:paraId="30698820" w14:textId="77777777">
      <w:pPr>
        <w:autoSpaceDE w:val="0"/>
        <w:autoSpaceDN w:val="0"/>
        <w:adjustRightInd w:val="0"/>
        <w:rPr>
          <w:i/>
          <w:iCs/>
          <w:szCs w:val="24"/>
        </w:rPr>
      </w:pPr>
    </w:p>
    <w:p w:rsidRPr="003F0783" w:rsidR="00F43E71" w:rsidP="00F43E71" w:rsidRDefault="00F43E71" w14:paraId="5B97F569" w14:textId="77777777">
      <w:pPr>
        <w:keepNext/>
        <w:autoSpaceDE w:val="0"/>
        <w:autoSpaceDN w:val="0"/>
        <w:adjustRightInd w:val="0"/>
        <w:outlineLvl w:val="0"/>
        <w:rPr>
          <w:szCs w:val="24"/>
        </w:rPr>
      </w:pPr>
      <w:r w:rsidRPr="003F0783">
        <w:rPr>
          <w:i/>
          <w:iCs/>
          <w:szCs w:val="24"/>
        </w:rPr>
        <w:t>DAHS Debugging</w:t>
      </w:r>
    </w:p>
    <w:p w:rsidRPr="003F0783" w:rsidR="00F43E71" w:rsidP="00F43E71" w:rsidRDefault="00F43E71" w14:paraId="6FAEA96A" w14:textId="77777777">
      <w:pPr>
        <w:keepNext/>
        <w:autoSpaceDE w:val="0"/>
        <w:autoSpaceDN w:val="0"/>
        <w:adjustRightInd w:val="0"/>
        <w:ind w:firstLine="720"/>
        <w:rPr>
          <w:szCs w:val="24"/>
        </w:rPr>
      </w:pPr>
    </w:p>
    <w:p w:rsidR="00F43E71" w:rsidP="00F43E71" w:rsidRDefault="00F43E71" w14:paraId="1AA63368" w14:textId="13AE28CF">
      <w:pPr>
        <w:keepNext/>
        <w:autoSpaceDE w:val="0"/>
        <w:autoSpaceDN w:val="0"/>
        <w:adjustRightInd w:val="0"/>
        <w:ind w:firstLine="720"/>
      </w:pPr>
      <w:r>
        <w:t>An estimated burden to fix problems with the DAHS software used to report in the 40 CFR part 75 formats was included in previous ICRs</w:t>
      </w:r>
      <w:r w:rsidR="006709BF">
        <w:t xml:space="preserve"> for most newly affected Group 3 units</w:t>
      </w:r>
      <w:r>
        <w:t>. For th</w:t>
      </w:r>
      <w:r w:rsidR="006709BF">
        <w:t>os</w:t>
      </w:r>
      <w:r>
        <w:t>e</w:t>
      </w:r>
      <w:r w:rsidR="006709BF">
        <w:t xml:space="preserve"> units newly subject to the emissions monitoring requirements, </w:t>
      </w:r>
      <w:r>
        <w:t xml:space="preserve">EPA estimates that for each </w:t>
      </w:r>
      <w:r>
        <w:lastRenderedPageBreak/>
        <w:t xml:space="preserve">unit, one managerial and four technician hours will be required annually for occasional </w:t>
      </w:r>
      <w:r w:rsidR="006709BF">
        <w:t>deb</w:t>
      </w:r>
      <w:r>
        <w:t xml:space="preserve">ugging. </w:t>
      </w:r>
    </w:p>
    <w:p w:rsidR="00192B1C" w:rsidP="00F43E71" w:rsidRDefault="00192B1C" w14:paraId="1B604F24" w14:textId="58C8C58F">
      <w:pPr>
        <w:keepNext/>
        <w:autoSpaceDE w:val="0"/>
        <w:autoSpaceDN w:val="0"/>
        <w:adjustRightInd w:val="0"/>
        <w:ind w:firstLine="720"/>
      </w:pPr>
    </w:p>
    <w:p w:rsidR="00192B1C" w:rsidP="002F52F8" w:rsidRDefault="002F52F8" w14:paraId="294FE29B" w14:textId="18B686CA">
      <w:pPr>
        <w:keepNext/>
        <w:autoSpaceDE w:val="0"/>
        <w:autoSpaceDN w:val="0"/>
        <w:adjustRightInd w:val="0"/>
        <w:rPr>
          <w:i/>
          <w:iCs/>
        </w:rPr>
      </w:pPr>
      <w:r>
        <w:rPr>
          <w:i/>
          <w:iCs/>
        </w:rPr>
        <w:t>DAHS Updates</w:t>
      </w:r>
    </w:p>
    <w:p w:rsidR="002F52F8" w:rsidP="002F52F8" w:rsidRDefault="002F52F8" w14:paraId="2D5DA68F" w14:textId="7CCB981C">
      <w:pPr>
        <w:keepNext/>
        <w:autoSpaceDE w:val="0"/>
        <w:autoSpaceDN w:val="0"/>
        <w:adjustRightInd w:val="0"/>
        <w:rPr>
          <w:i/>
          <w:iCs/>
        </w:rPr>
      </w:pPr>
    </w:p>
    <w:p w:rsidRPr="00EA0715" w:rsidR="002F52F8" w:rsidP="00B1086D" w:rsidRDefault="002F52F8" w14:paraId="2997540C" w14:textId="24662C84">
      <w:pPr>
        <w:keepNext/>
        <w:autoSpaceDE w:val="0"/>
        <w:autoSpaceDN w:val="0"/>
        <w:adjustRightInd w:val="0"/>
      </w:pPr>
      <w:r>
        <w:rPr>
          <w:i/>
          <w:iCs/>
        </w:rPr>
        <w:tab/>
      </w:r>
      <w:r w:rsidR="00CB1077">
        <w:t>The DAHS software</w:t>
      </w:r>
      <w:r w:rsidR="00C37427">
        <w:t xml:space="preserve"> may need to be updated when </w:t>
      </w:r>
      <w:r w:rsidR="00EA0715">
        <w:t xml:space="preserve">the </w:t>
      </w:r>
      <w:r w:rsidR="00AE1608">
        <w:t xml:space="preserve">monitoring and reporting requirements </w:t>
      </w:r>
      <w:r w:rsidR="00EA0715">
        <w:t xml:space="preserve">for a unit are altered. Under the CSAPR </w:t>
      </w:r>
      <w:r w:rsidRPr="003F64AA" w:rsidR="00F26FE4">
        <w:rPr>
          <w:szCs w:val="24"/>
        </w:rPr>
        <w:t>NO</w:t>
      </w:r>
      <w:r w:rsidRPr="003F64AA" w:rsidR="00F26FE4">
        <w:rPr>
          <w:szCs w:val="24"/>
          <w:vertAlign w:val="subscript"/>
        </w:rPr>
        <w:t>X</w:t>
      </w:r>
      <w:r w:rsidR="00EA0715">
        <w:t xml:space="preserve"> Ozone Season Group 3 program </w:t>
      </w:r>
      <w:r w:rsidR="00452D91">
        <w:t>certain newly affected units</w:t>
      </w:r>
      <w:r w:rsidR="0055674B">
        <w:t xml:space="preserve"> that already follow Part 75 </w:t>
      </w:r>
      <w:r w:rsidR="00DE2266">
        <w:t>monitoring will need to update</w:t>
      </w:r>
      <w:r w:rsidR="00C70A6F">
        <w:t xml:space="preserve"> the DAHS software to </w:t>
      </w:r>
      <w:r w:rsidR="002B460E">
        <w:t>comply with</w:t>
      </w:r>
      <w:r w:rsidR="001B3D84">
        <w:t xml:space="preserve"> additional reporting requirements.</w:t>
      </w:r>
      <w:r w:rsidR="00C70A6F">
        <w:t xml:space="preserve"> Th</w:t>
      </w:r>
      <w:r w:rsidR="007332DB">
        <w:t xml:space="preserve">e </w:t>
      </w:r>
      <w:r w:rsidR="00807D5E">
        <w:t xml:space="preserve">DAHS </w:t>
      </w:r>
      <w:r w:rsidR="007332DB">
        <w:t xml:space="preserve">update </w:t>
      </w:r>
      <w:r w:rsidR="00C70A6F">
        <w:t>is a one</w:t>
      </w:r>
      <w:r w:rsidR="00D6514E">
        <w:t xml:space="preserve">-time </w:t>
      </w:r>
      <w:r w:rsidR="00194A32">
        <w:t xml:space="preserve">cost </w:t>
      </w:r>
      <w:r w:rsidR="00807D5E">
        <w:t>for units</w:t>
      </w:r>
      <w:r w:rsidR="00813178">
        <w:t xml:space="preserve"> which </w:t>
      </w:r>
      <w:r w:rsidR="00F91F0C">
        <w:t>is annualized over three years to align with the timeframe of the ICR.</w:t>
      </w:r>
    </w:p>
    <w:p w:rsidRPr="003F0783" w:rsidR="00F43E71" w:rsidP="00F43E71" w:rsidRDefault="00F43E71" w14:paraId="750EE5D5" w14:textId="77777777">
      <w:pPr>
        <w:autoSpaceDE w:val="0"/>
        <w:autoSpaceDN w:val="0"/>
        <w:adjustRightInd w:val="0"/>
        <w:rPr>
          <w:i/>
          <w:iCs/>
          <w:szCs w:val="24"/>
        </w:rPr>
      </w:pPr>
    </w:p>
    <w:p w:rsidRPr="003F0783" w:rsidR="00F43E71" w:rsidP="00F43E71" w:rsidRDefault="00F43E71" w14:paraId="57942067" w14:textId="77777777">
      <w:pPr>
        <w:autoSpaceDE w:val="0"/>
        <w:autoSpaceDN w:val="0"/>
        <w:adjustRightInd w:val="0"/>
        <w:outlineLvl w:val="0"/>
        <w:rPr>
          <w:szCs w:val="24"/>
        </w:rPr>
      </w:pPr>
      <w:r w:rsidRPr="003F0783">
        <w:rPr>
          <w:i/>
          <w:iCs/>
          <w:szCs w:val="24"/>
        </w:rPr>
        <w:t>Monitoring Plans</w:t>
      </w:r>
    </w:p>
    <w:p w:rsidRPr="003F0783" w:rsidR="00F43E71" w:rsidP="00F43E71" w:rsidRDefault="00F43E71" w14:paraId="68ABEB5A" w14:textId="77777777">
      <w:pPr>
        <w:autoSpaceDE w:val="0"/>
        <w:autoSpaceDN w:val="0"/>
        <w:adjustRightInd w:val="0"/>
        <w:ind w:firstLine="720"/>
        <w:rPr>
          <w:szCs w:val="24"/>
        </w:rPr>
      </w:pPr>
    </w:p>
    <w:p w:rsidRPr="003F0783" w:rsidR="00F43E71" w:rsidP="00F43E71" w:rsidRDefault="00F43E71" w14:paraId="2670D707" w14:textId="07008DE9">
      <w:pPr>
        <w:autoSpaceDE w:val="0"/>
        <w:autoSpaceDN w:val="0"/>
        <w:adjustRightInd w:val="0"/>
        <w:ind w:firstLine="720"/>
      </w:pPr>
      <w:r>
        <w:t xml:space="preserve">The regulations require submittal of monitoring plans. </w:t>
      </w:r>
      <w:r w:rsidR="001C2CBC">
        <w:t xml:space="preserve">Units newly subject to Part 75 monitoring and reporting requirements will need to submit </w:t>
      </w:r>
      <w:r w:rsidR="006624A1">
        <w:t xml:space="preserve">an initial monitoring plan. As described in the ARP ICR, EPA estimates </w:t>
      </w:r>
      <w:r w:rsidR="00DD0056">
        <w:t xml:space="preserve">this will require ten hours of managerial </w:t>
      </w:r>
      <w:r w:rsidR="008F6BD9">
        <w:t xml:space="preserve">and ten hours of technical time to complete. </w:t>
      </w:r>
      <w:r w:rsidR="00A23782">
        <w:t xml:space="preserve">Units newly subject to the </w:t>
      </w:r>
      <w:r w:rsidR="0012381B">
        <w:t xml:space="preserve">Part 75 monitoring and reporting requirements will need to submit a new monitoring plan. </w:t>
      </w:r>
      <w:r w:rsidR="00DC399C">
        <w:t xml:space="preserve">EPA averaged the number </w:t>
      </w:r>
      <w:r w:rsidR="000C76B7">
        <w:t>of units required</w:t>
      </w:r>
      <w:r w:rsidR="00B85798">
        <w:t xml:space="preserve"> to submit a new </w:t>
      </w:r>
      <w:r w:rsidR="00CA67FB">
        <w:t>monitoring plan over three years</w:t>
      </w:r>
      <w:r w:rsidR="006A403D">
        <w:t xml:space="preserve"> to accurately represent </w:t>
      </w:r>
      <w:r w:rsidR="004E636A">
        <w:t xml:space="preserve">the total burden and cost. </w:t>
      </w:r>
      <w:r w:rsidR="00B31EDE">
        <w:t xml:space="preserve">For those units already subject to Part 75, </w:t>
      </w:r>
      <w:r>
        <w:t xml:space="preserve">the effort involved in developing and maintaining the </w:t>
      </w:r>
      <w:r w:rsidR="00B16224">
        <w:t xml:space="preserve">monitoring </w:t>
      </w:r>
      <w:r>
        <w:t>plans are incorporated into the overall reporting burden estimate</w:t>
      </w:r>
      <w:r w:rsidR="00B16224">
        <w:t xml:space="preserve">, which is accounted for in previous ICRs. </w:t>
      </w:r>
      <w:r w:rsidR="004C2C50">
        <w:t xml:space="preserve">  </w:t>
      </w:r>
    </w:p>
    <w:p w:rsidRPr="003F0783" w:rsidR="00F43E71" w:rsidP="00F43E71" w:rsidRDefault="00F43E71" w14:paraId="51F600A2" w14:textId="77777777">
      <w:pPr>
        <w:autoSpaceDE w:val="0"/>
        <w:autoSpaceDN w:val="0"/>
        <w:adjustRightInd w:val="0"/>
        <w:rPr>
          <w:i/>
          <w:iCs/>
          <w:szCs w:val="24"/>
        </w:rPr>
      </w:pPr>
    </w:p>
    <w:p w:rsidRPr="003F0783" w:rsidR="00F43E71" w:rsidP="00F43E71" w:rsidRDefault="00F43E71" w14:paraId="65831F91" w14:textId="77777777">
      <w:pPr>
        <w:keepNext/>
        <w:autoSpaceDE w:val="0"/>
        <w:autoSpaceDN w:val="0"/>
        <w:adjustRightInd w:val="0"/>
        <w:outlineLvl w:val="0"/>
        <w:rPr>
          <w:szCs w:val="24"/>
        </w:rPr>
      </w:pPr>
      <w:r w:rsidRPr="003F0783">
        <w:rPr>
          <w:i/>
          <w:iCs/>
          <w:szCs w:val="24"/>
        </w:rPr>
        <w:t>Monitor Certification/Recertification</w:t>
      </w:r>
    </w:p>
    <w:p w:rsidRPr="003F0783" w:rsidR="00F43E71" w:rsidP="00F43E71" w:rsidRDefault="00F43E71" w14:paraId="725ED9E9" w14:textId="77777777">
      <w:pPr>
        <w:keepNext/>
        <w:autoSpaceDE w:val="0"/>
        <w:autoSpaceDN w:val="0"/>
        <w:adjustRightInd w:val="0"/>
        <w:rPr>
          <w:szCs w:val="24"/>
        </w:rPr>
      </w:pPr>
    </w:p>
    <w:p w:rsidRPr="003F0783" w:rsidR="00F43E71" w:rsidP="00F43E71" w:rsidRDefault="00F43E71" w14:paraId="3BDAB07D" w14:textId="1B116226">
      <w:pPr>
        <w:autoSpaceDE w:val="0"/>
        <w:autoSpaceDN w:val="0"/>
        <w:adjustRightInd w:val="0"/>
      </w:pPr>
      <w:r w:rsidRPr="003F0783">
        <w:rPr>
          <w:szCs w:val="24"/>
        </w:rPr>
        <w:tab/>
      </w:r>
      <w:r w:rsidRPr="35C0C161">
        <w:t xml:space="preserve">Initial certification burdens and costs for new monitoring equipment are considered part of start-up activities since these costs are often part of the overall purchase expense for the equipment. Sources occasionally experience burdens for recertification to the extent a change in a monitoring system requires recertification. </w:t>
      </w:r>
      <w:r w:rsidRPr="35C0C161" w:rsidR="00705C70">
        <w:t xml:space="preserve">The burden and costs for any newly affected sources that may require monitors to be recertified are reflected in the current ARP or CSAPR ICRs. </w:t>
      </w:r>
    </w:p>
    <w:p w:rsidRPr="003F0783" w:rsidR="00F43E71" w:rsidP="00F43E71" w:rsidRDefault="00F43E71" w14:paraId="4FB1742A" w14:textId="77777777">
      <w:pPr>
        <w:autoSpaceDE w:val="0"/>
        <w:autoSpaceDN w:val="0"/>
        <w:adjustRightInd w:val="0"/>
        <w:rPr>
          <w:i/>
          <w:iCs/>
          <w:szCs w:val="24"/>
        </w:rPr>
      </w:pPr>
    </w:p>
    <w:p w:rsidRPr="003F0783" w:rsidR="00F43E71" w:rsidP="00F43E71" w:rsidRDefault="00F43E71" w14:paraId="65C25768" w14:textId="77777777">
      <w:pPr>
        <w:keepNext/>
        <w:autoSpaceDE w:val="0"/>
        <w:autoSpaceDN w:val="0"/>
        <w:adjustRightInd w:val="0"/>
        <w:outlineLvl w:val="0"/>
        <w:rPr>
          <w:szCs w:val="24"/>
        </w:rPr>
      </w:pPr>
      <w:r w:rsidRPr="003F0783">
        <w:rPr>
          <w:i/>
          <w:iCs/>
          <w:szCs w:val="24"/>
        </w:rPr>
        <w:t>Quality Assurance</w:t>
      </w:r>
    </w:p>
    <w:p w:rsidRPr="003F0783" w:rsidR="00F43E71" w:rsidP="00F43E71" w:rsidRDefault="00F43E71" w14:paraId="6BA01D0D" w14:textId="77777777">
      <w:pPr>
        <w:keepNext/>
        <w:autoSpaceDE w:val="0"/>
        <w:autoSpaceDN w:val="0"/>
        <w:adjustRightInd w:val="0"/>
        <w:rPr>
          <w:szCs w:val="24"/>
        </w:rPr>
      </w:pPr>
    </w:p>
    <w:p w:rsidRPr="003F0783" w:rsidR="00F43E71" w:rsidP="00F43E71" w:rsidRDefault="00F43E71" w14:paraId="7887679E" w14:textId="77777777">
      <w:pPr>
        <w:autoSpaceDE w:val="0"/>
        <w:autoSpaceDN w:val="0"/>
        <w:adjustRightInd w:val="0"/>
      </w:pPr>
      <w:r w:rsidRPr="003F0783">
        <w:rPr>
          <w:szCs w:val="24"/>
        </w:rPr>
        <w:tab/>
      </w:r>
      <w:r w:rsidRPr="35C0C161">
        <w:t>Quality assurance (QA) activities and other routine maintenance for monitoring systems is the largest burden item under the CSAPR and Texas trading programs. These requirements generally include daily, quarterly, and annual QA requirements, depending on the monitoring approach being used. For reporting units that use a CEMS, the Agency has assumed a per unit labor burden based on a variety of sources, including the existing ARP ICR, information provided by sources, a CEM cost model developed by EPA, and comments submitted in response to the NO</w:t>
      </w:r>
      <w:r w:rsidRPr="35C0C161">
        <w:rPr>
          <w:vertAlign w:val="subscript"/>
        </w:rPr>
        <w:t>X</w:t>
      </w:r>
      <w:r w:rsidRPr="35C0C161">
        <w:t xml:space="preserve"> SIP Call. For units that rely on alternative methodologies, reduced labor burden estimates apply because the quality assurance activities for the excepted methods are less than for a CEMS. Consistent with the existing ARP ICR, the labor burden is expected to be almost entirely technician labor.</w:t>
      </w:r>
    </w:p>
    <w:p w:rsidRPr="003F0783" w:rsidR="00F43E71" w:rsidP="00F43E71" w:rsidRDefault="00F43E71" w14:paraId="7D9F07D0" w14:textId="77777777">
      <w:pPr>
        <w:autoSpaceDE w:val="0"/>
        <w:autoSpaceDN w:val="0"/>
        <w:adjustRightInd w:val="0"/>
        <w:rPr>
          <w:i/>
          <w:iCs/>
          <w:szCs w:val="24"/>
        </w:rPr>
      </w:pPr>
    </w:p>
    <w:p w:rsidRPr="003F0783" w:rsidR="00F43E71" w:rsidP="00F43E71" w:rsidRDefault="00F43E71" w14:paraId="58FBBAA9" w14:textId="77777777">
      <w:pPr>
        <w:autoSpaceDE w:val="0"/>
        <w:autoSpaceDN w:val="0"/>
        <w:adjustRightInd w:val="0"/>
        <w:outlineLvl w:val="0"/>
        <w:rPr>
          <w:szCs w:val="24"/>
        </w:rPr>
      </w:pPr>
      <w:r w:rsidRPr="003F0783">
        <w:rPr>
          <w:i/>
          <w:iCs/>
          <w:szCs w:val="24"/>
        </w:rPr>
        <w:t>Quarterly Reports</w:t>
      </w:r>
    </w:p>
    <w:p w:rsidRPr="003F0783" w:rsidR="00F43E71" w:rsidP="00F43E71" w:rsidRDefault="00F43E71" w14:paraId="4C34C839" w14:textId="77777777">
      <w:pPr>
        <w:autoSpaceDE w:val="0"/>
        <w:autoSpaceDN w:val="0"/>
        <w:adjustRightInd w:val="0"/>
        <w:rPr>
          <w:szCs w:val="24"/>
        </w:rPr>
      </w:pPr>
    </w:p>
    <w:p w:rsidRPr="003F0783" w:rsidR="00F43E71" w:rsidP="00F43E71" w:rsidRDefault="00F43E71" w14:paraId="1FF222F4" w14:textId="77777777">
      <w:pPr>
        <w:autoSpaceDE w:val="0"/>
        <w:autoSpaceDN w:val="0"/>
        <w:adjustRightInd w:val="0"/>
      </w:pPr>
      <w:r w:rsidRPr="003F0783">
        <w:rPr>
          <w:szCs w:val="24"/>
        </w:rPr>
        <w:tab/>
      </w:r>
      <w:r w:rsidRPr="35C0C161">
        <w:t xml:space="preserve">Tasks performed by utilities in preparing quarterly reports include: (1) assuring the quality of the data, (2) preparing the quarterly report, (3) revising the monitoring plan, if </w:t>
      </w:r>
      <w:r w:rsidRPr="35C0C161">
        <w:lastRenderedPageBreak/>
        <w:t>necessary, (4) preparation of hard copy documentation accompanying the quarterly reports, and (5) managerial review. The existing ARP ICR was used as the basis for these estimates.</w:t>
      </w:r>
    </w:p>
    <w:p w:rsidRPr="003F0783" w:rsidR="00F43E71" w:rsidP="00F43E71" w:rsidRDefault="00F43E71" w14:paraId="2733A1DD" w14:textId="77777777">
      <w:pPr>
        <w:autoSpaceDE w:val="0"/>
        <w:autoSpaceDN w:val="0"/>
        <w:adjustRightInd w:val="0"/>
        <w:rPr>
          <w:i/>
          <w:iCs/>
          <w:szCs w:val="24"/>
        </w:rPr>
      </w:pPr>
    </w:p>
    <w:p w:rsidRPr="003F0783" w:rsidR="00F43E71" w:rsidP="00F43E71" w:rsidRDefault="00F43E71" w14:paraId="02D5701C" w14:textId="77777777">
      <w:pPr>
        <w:autoSpaceDE w:val="0"/>
        <w:autoSpaceDN w:val="0"/>
        <w:adjustRightInd w:val="0"/>
        <w:ind w:left="360"/>
        <w:outlineLvl w:val="0"/>
        <w:rPr>
          <w:b/>
          <w:bCs/>
          <w:szCs w:val="24"/>
        </w:rPr>
      </w:pPr>
      <w:proofErr w:type="gramStart"/>
      <w:r w:rsidRPr="003F0783">
        <w:rPr>
          <w:b/>
          <w:bCs/>
          <w:szCs w:val="24"/>
        </w:rPr>
        <w:t>6.2  Estimating</w:t>
      </w:r>
      <w:proofErr w:type="gramEnd"/>
      <w:r w:rsidRPr="003F0783">
        <w:rPr>
          <w:b/>
          <w:bCs/>
          <w:szCs w:val="24"/>
        </w:rPr>
        <w:t xml:space="preserve"> Respondent Costs</w:t>
      </w:r>
    </w:p>
    <w:p w:rsidRPr="003F0783" w:rsidR="00F43E71" w:rsidP="00F43E71" w:rsidRDefault="00F43E71" w14:paraId="513A86F6" w14:textId="77777777">
      <w:pPr>
        <w:autoSpaceDE w:val="0"/>
        <w:autoSpaceDN w:val="0"/>
        <w:adjustRightInd w:val="0"/>
        <w:rPr>
          <w:szCs w:val="24"/>
        </w:rPr>
      </w:pPr>
    </w:p>
    <w:p w:rsidRPr="003F0783" w:rsidR="00F43E71" w:rsidP="00F43E71" w:rsidRDefault="00F43E71" w14:paraId="4D586C54" w14:textId="622AD20D">
      <w:pPr>
        <w:autoSpaceDE w:val="0"/>
        <w:autoSpaceDN w:val="0"/>
        <w:adjustRightInd w:val="0"/>
        <w:ind w:firstLine="720"/>
      </w:pPr>
      <w:r>
        <w:t>Table 2 summarizes the annual industry respondent costs for registration-related, allowance-related, and emissions-related activities. The following discussion describes how the costs were derived.</w:t>
      </w:r>
    </w:p>
    <w:p w:rsidRPr="003F0783" w:rsidR="00F43E71" w:rsidP="00F43E71" w:rsidRDefault="00F43E71" w14:paraId="54409EA4" w14:textId="77777777">
      <w:pPr>
        <w:autoSpaceDE w:val="0"/>
        <w:autoSpaceDN w:val="0"/>
        <w:adjustRightInd w:val="0"/>
        <w:rPr>
          <w:i/>
          <w:iCs/>
          <w:szCs w:val="24"/>
        </w:rPr>
      </w:pPr>
    </w:p>
    <w:p w:rsidRPr="003F0783" w:rsidR="00F43E71" w:rsidP="00F43E71" w:rsidRDefault="00F43E71" w14:paraId="4E12E866" w14:textId="77777777">
      <w:pPr>
        <w:autoSpaceDE w:val="0"/>
        <w:autoSpaceDN w:val="0"/>
        <w:adjustRightInd w:val="0"/>
        <w:ind w:left="720"/>
        <w:outlineLvl w:val="0"/>
        <w:rPr>
          <w:iCs/>
          <w:szCs w:val="24"/>
        </w:rPr>
      </w:pPr>
      <w:r w:rsidRPr="003F0783">
        <w:rPr>
          <w:iCs/>
          <w:szCs w:val="24"/>
        </w:rPr>
        <w:t>(</w:t>
      </w:r>
      <w:proofErr w:type="spellStart"/>
      <w:r w:rsidRPr="003F0783">
        <w:rPr>
          <w:iCs/>
          <w:szCs w:val="24"/>
        </w:rPr>
        <w:t>i</w:t>
      </w:r>
      <w:proofErr w:type="spellEnd"/>
      <w:r w:rsidRPr="003F0783">
        <w:rPr>
          <w:iCs/>
          <w:szCs w:val="24"/>
        </w:rPr>
        <w:t>)  Estimating Respondent Labor Costs</w:t>
      </w:r>
    </w:p>
    <w:p w:rsidRPr="003F0783" w:rsidR="00F43E71" w:rsidP="00F43E71" w:rsidRDefault="00F43E71" w14:paraId="466A5D55" w14:textId="77777777">
      <w:pPr>
        <w:autoSpaceDE w:val="0"/>
        <w:autoSpaceDN w:val="0"/>
        <w:adjustRightInd w:val="0"/>
        <w:ind w:firstLine="720"/>
        <w:rPr>
          <w:szCs w:val="24"/>
        </w:rPr>
      </w:pPr>
    </w:p>
    <w:p w:rsidRPr="003F0783" w:rsidR="00F43E71" w:rsidP="00F43E71" w:rsidRDefault="00F43E71" w14:paraId="798B5C45" w14:textId="249A9B18">
      <w:pPr>
        <w:autoSpaceDE w:val="0"/>
        <w:autoSpaceDN w:val="0"/>
        <w:adjustRightInd w:val="0"/>
        <w:ind w:firstLine="720"/>
      </w:pPr>
      <w:r w:rsidRPr="35C0C161">
        <w:t>In estimating labor costs for industry, EPA used the following amounts: $108.89 per hour for managers and $77.15 per hour for technicians.</w:t>
      </w:r>
      <w:r>
        <w:rPr>
          <w:szCs w:val="24"/>
        </w:rPr>
        <w:t xml:space="preserve"> </w:t>
      </w:r>
      <w:r>
        <w:rPr>
          <w:rStyle w:val="normaltextrun"/>
          <w:color w:val="000000"/>
          <w:shd w:val="clear" w:color="auto" w:fill="FFFFFF"/>
        </w:rPr>
        <w:t>These rates were updated in coordination with the rates identified for the Acid Rain ICR (OMB Control No. 2060-0258) and are based on the Current Employment Cost Index, September 2020. The Employment Cost Index values were obtained from “Table 5: Private Industry; by occupational group and industry” from the Employment Cost Index Historical Listing (</w:t>
      </w:r>
      <w:hyperlink r:id="rId11">
        <w:r w:rsidRPr="00B439B1">
          <w:rPr>
            <w:rStyle w:val="Hyperlink"/>
            <w:rFonts w:eastAsia="TimesNewRoman"/>
            <w:sz w:val="22"/>
          </w:rPr>
          <w:t>https://www.bls.gov/web/eci/echistrynaics.pdf</w:t>
        </w:r>
      </w:hyperlink>
      <w:r w:rsidRPr="35C0C161">
        <w:rPr>
          <w:rStyle w:val="normaltextrun"/>
          <w:rFonts w:ascii="TimesNewRoman" w:hAnsi="TimesNewRoman" w:eastAsia="TimesNewRoman" w:cs="TimesNewRoman"/>
          <w:color w:val="000000"/>
          <w:shd w:val="clear" w:color="auto" w:fill="FFFFFF"/>
        </w:rPr>
        <w:t>)</w:t>
      </w:r>
      <w:r>
        <w:rPr>
          <w:rStyle w:val="normaltextrun"/>
          <w:color w:val="000000"/>
          <w:shd w:val="clear" w:color="auto" w:fill="FFFFFF"/>
        </w:rPr>
        <w:t>which indicates the total compensation, including benefits, for private industry workers in various occupational categories.</w:t>
      </w:r>
    </w:p>
    <w:p w:rsidRPr="003F0783" w:rsidR="00F43E71" w:rsidP="00BD6037" w:rsidRDefault="00F43E71" w14:paraId="059F70F2" w14:textId="77777777">
      <w:pPr>
        <w:autoSpaceDE w:val="0"/>
        <w:autoSpaceDN w:val="0"/>
        <w:adjustRightInd w:val="0"/>
        <w:rPr>
          <w:szCs w:val="24"/>
        </w:rPr>
      </w:pPr>
    </w:p>
    <w:p w:rsidRPr="003F0783" w:rsidR="00F43E71" w:rsidP="00F43E71" w:rsidRDefault="00F43E71" w14:paraId="50BCA8D0" w14:textId="77777777">
      <w:pPr>
        <w:autoSpaceDE w:val="0"/>
        <w:autoSpaceDN w:val="0"/>
        <w:adjustRightInd w:val="0"/>
        <w:ind w:left="720"/>
        <w:outlineLvl w:val="0"/>
        <w:rPr>
          <w:iCs/>
          <w:szCs w:val="24"/>
        </w:rPr>
      </w:pPr>
      <w:r w:rsidRPr="003F0783">
        <w:rPr>
          <w:bCs/>
          <w:szCs w:val="24"/>
        </w:rPr>
        <w:t>(</w:t>
      </w:r>
      <w:r w:rsidRPr="003F0783">
        <w:rPr>
          <w:iCs/>
          <w:szCs w:val="24"/>
        </w:rPr>
        <w:t>ii)  Estimating Capital and Operations and Maintenance Costs</w:t>
      </w:r>
    </w:p>
    <w:p w:rsidRPr="003F0783" w:rsidR="00F43E71" w:rsidP="00F43E71" w:rsidRDefault="00F43E71" w14:paraId="70A5168A" w14:textId="77777777">
      <w:pPr>
        <w:autoSpaceDE w:val="0"/>
        <w:autoSpaceDN w:val="0"/>
        <w:adjustRightInd w:val="0"/>
        <w:rPr>
          <w:b/>
          <w:bCs/>
          <w:szCs w:val="24"/>
        </w:rPr>
      </w:pPr>
    </w:p>
    <w:p w:rsidRPr="003F0783" w:rsidR="00F43E71" w:rsidP="00F43E71" w:rsidRDefault="00F43E71" w14:paraId="085EAA51" w14:textId="1D11641D">
      <w:pPr>
        <w:autoSpaceDE w:val="0"/>
        <w:autoSpaceDN w:val="0"/>
        <w:adjustRightInd w:val="0"/>
        <w:ind w:firstLine="720"/>
      </w:pPr>
      <w:r>
        <w:t>Capital/start-up costs include the cost of installing required CEMS or alternatives.  Operation and maintenance costs (exclusive of labor costs) reflect ongoing costs to a unit and include both contractor costs for the required recertification, diagnostic, and quality assurance (QA) testing, and other direct maintenance-related expenses (e.g., spare parts and calibration gases). These cost estimates have been derived from EPA CEM cost models, existing ICRs, Agency staff experience under the ARP, NO</w:t>
      </w:r>
      <w:r w:rsidRPr="35C0C161">
        <w:rPr>
          <w:vertAlign w:val="subscript"/>
        </w:rPr>
        <w:t>X</w:t>
      </w:r>
      <w:r>
        <w:t xml:space="preserve"> SIP Call, CAIR, and CSAPR programs, and supplemental estimates provided by affected utilities and others related to the various cost items. These costs are assumed to include incremental calibration gas costs consistent with the former ICR for the Protocol Gas Verification Program (OMB Control Number 2060-0626).</w:t>
      </w:r>
    </w:p>
    <w:p w:rsidRPr="003F0783" w:rsidR="00F43E71" w:rsidP="00F43E71" w:rsidRDefault="00F43E71" w14:paraId="32B89468" w14:textId="77777777">
      <w:pPr>
        <w:autoSpaceDE w:val="0"/>
        <w:autoSpaceDN w:val="0"/>
        <w:adjustRightInd w:val="0"/>
        <w:ind w:firstLine="720"/>
        <w:rPr>
          <w:szCs w:val="24"/>
        </w:rPr>
      </w:pPr>
    </w:p>
    <w:p w:rsidRPr="003F0783" w:rsidR="00F43E71" w:rsidP="00F43E71" w:rsidRDefault="003E1A11" w14:paraId="1FBEE406" w14:textId="5D800D0E">
      <w:pPr>
        <w:autoSpaceDE w:val="0"/>
        <w:autoSpaceDN w:val="0"/>
        <w:adjustRightInd w:val="0"/>
        <w:ind w:firstLine="720"/>
        <w:rPr>
          <w:szCs w:val="24"/>
        </w:rPr>
      </w:pPr>
      <w:r>
        <w:rPr>
          <w:szCs w:val="24"/>
        </w:rPr>
        <w:t>F</w:t>
      </w:r>
      <w:r w:rsidRPr="003F0783" w:rsidR="00F43E71">
        <w:rPr>
          <w:szCs w:val="24"/>
        </w:rPr>
        <w:t xml:space="preserve">or units </w:t>
      </w:r>
      <w:r w:rsidR="00F306B1">
        <w:rPr>
          <w:szCs w:val="24"/>
        </w:rPr>
        <w:t xml:space="preserve">newly subject to monitoring and reporting requirements, </w:t>
      </w:r>
      <w:r w:rsidRPr="003F0783" w:rsidR="00F43E71">
        <w:rPr>
          <w:szCs w:val="24"/>
        </w:rPr>
        <w:t>this ICR includes ongoing annualized start-up/capital costs as well as ongoing O&amp;M costs for any monitoring equipment needed by the unit to meet the applicable monitoring and reporting requirements of the CSAPR trading programs</w:t>
      </w:r>
      <w:r w:rsidR="00F306B1">
        <w:rPr>
          <w:szCs w:val="24"/>
        </w:rPr>
        <w:t xml:space="preserve">. </w:t>
      </w:r>
      <w:r w:rsidRPr="003F0783" w:rsidR="00F43E71">
        <w:rPr>
          <w:szCs w:val="24"/>
        </w:rPr>
        <w:t xml:space="preserve">  </w:t>
      </w:r>
    </w:p>
    <w:p w:rsidRPr="003F0783" w:rsidR="00F43E71" w:rsidP="00F43E71" w:rsidRDefault="00F43E71" w14:paraId="793E7A04" w14:textId="77777777">
      <w:pPr>
        <w:autoSpaceDE w:val="0"/>
        <w:autoSpaceDN w:val="0"/>
        <w:adjustRightInd w:val="0"/>
        <w:rPr>
          <w:szCs w:val="24"/>
        </w:rPr>
      </w:pPr>
    </w:p>
    <w:p w:rsidRPr="003F0783" w:rsidR="00F43E71" w:rsidP="00F43E71" w:rsidRDefault="00F43E71" w14:paraId="6CDBE25D" w14:textId="77777777">
      <w:pPr>
        <w:autoSpaceDE w:val="0"/>
        <w:autoSpaceDN w:val="0"/>
        <w:adjustRightInd w:val="0"/>
        <w:ind w:left="720"/>
        <w:outlineLvl w:val="0"/>
        <w:rPr>
          <w:iCs/>
          <w:szCs w:val="24"/>
        </w:rPr>
      </w:pPr>
      <w:r w:rsidRPr="003F0783">
        <w:rPr>
          <w:szCs w:val="24"/>
        </w:rPr>
        <w:t>(</w:t>
      </w:r>
      <w:r w:rsidRPr="003F0783">
        <w:rPr>
          <w:iCs/>
          <w:szCs w:val="24"/>
        </w:rPr>
        <w:t>iii)  Capital/Start-up vs. Operating and Maintenance (O &amp; M) Costs</w:t>
      </w:r>
    </w:p>
    <w:p w:rsidRPr="003F0783" w:rsidR="00F43E71" w:rsidP="00F43E71" w:rsidRDefault="00F43E71" w14:paraId="4A87EDD0" w14:textId="77777777">
      <w:pPr>
        <w:autoSpaceDE w:val="0"/>
        <w:autoSpaceDN w:val="0"/>
        <w:adjustRightInd w:val="0"/>
        <w:rPr>
          <w:szCs w:val="24"/>
        </w:rPr>
      </w:pPr>
    </w:p>
    <w:p w:rsidRPr="003F0783" w:rsidR="00F43E71" w:rsidP="00F43E71" w:rsidRDefault="00F43E71" w14:paraId="5BBB3148" w14:textId="0BA72B55">
      <w:pPr>
        <w:autoSpaceDE w:val="0"/>
        <w:autoSpaceDN w:val="0"/>
        <w:adjustRightInd w:val="0"/>
        <w:ind w:firstLine="720"/>
        <w:rPr>
          <w:i/>
        </w:rPr>
      </w:pPr>
      <w:r>
        <w:t>Capital costs reflect one-time costs for purchase of equipment</w:t>
      </w:r>
      <w:r w:rsidR="00727D9F">
        <w:t>, or one-time up</w:t>
      </w:r>
      <w:r w:rsidR="00B6456B">
        <w:t>dates</w:t>
      </w:r>
      <w:r w:rsidR="001B2413">
        <w:t xml:space="preserve"> to equipment,</w:t>
      </w:r>
      <w:r>
        <w:t xml:space="preserve"> which will be used over a period of years. Conversely, operating and maintenance costs are those costs which are incurred on an annual or other scheduled basis. For instance, costs associated with quality assurance activities, such as spare parts or contractor costs for work, will be incurred on an annual basis.</w:t>
      </w:r>
    </w:p>
    <w:p w:rsidRPr="003F0783" w:rsidR="00F43E71" w:rsidP="00F43E71" w:rsidRDefault="00F43E71" w14:paraId="375E8680" w14:textId="77777777">
      <w:pPr>
        <w:tabs>
          <w:tab w:val="left" w:pos="720"/>
        </w:tabs>
        <w:autoSpaceDE w:val="0"/>
        <w:autoSpaceDN w:val="0"/>
        <w:adjustRightInd w:val="0"/>
        <w:ind w:left="720"/>
        <w:rPr>
          <w:iCs/>
          <w:szCs w:val="24"/>
        </w:rPr>
      </w:pPr>
    </w:p>
    <w:p w:rsidRPr="003F0783" w:rsidR="00F43E71" w:rsidP="00F43E71" w:rsidRDefault="00F43E71" w14:paraId="405AB331" w14:textId="77777777">
      <w:pPr>
        <w:tabs>
          <w:tab w:val="left" w:pos="720"/>
        </w:tabs>
        <w:autoSpaceDE w:val="0"/>
        <w:autoSpaceDN w:val="0"/>
        <w:adjustRightInd w:val="0"/>
        <w:ind w:left="720"/>
        <w:outlineLvl w:val="0"/>
        <w:rPr>
          <w:iCs/>
          <w:szCs w:val="24"/>
        </w:rPr>
      </w:pPr>
      <w:r w:rsidRPr="003F0783">
        <w:rPr>
          <w:iCs/>
          <w:szCs w:val="24"/>
        </w:rPr>
        <w:t>(iv)  Annualizing Capital Costs</w:t>
      </w:r>
    </w:p>
    <w:p w:rsidRPr="003F0783" w:rsidR="00F43E71" w:rsidP="00F43E71" w:rsidRDefault="00F43E71" w14:paraId="72993EB5" w14:textId="77777777">
      <w:pPr>
        <w:autoSpaceDE w:val="0"/>
        <w:autoSpaceDN w:val="0"/>
        <w:adjustRightInd w:val="0"/>
        <w:rPr>
          <w:szCs w:val="24"/>
        </w:rPr>
      </w:pPr>
    </w:p>
    <w:p w:rsidR="00AB67E4" w:rsidP="00F43E71" w:rsidRDefault="00F43E71" w14:paraId="501E061F" w14:textId="3D7AC5C5">
      <w:pPr>
        <w:autoSpaceDE w:val="0"/>
        <w:autoSpaceDN w:val="0"/>
        <w:adjustRightInd w:val="0"/>
        <w:ind w:firstLine="720"/>
      </w:pPr>
      <w:r>
        <w:t xml:space="preserve">The capital costs for </w:t>
      </w:r>
      <w:r w:rsidR="006036B5">
        <w:t>the initial purchase of equipment</w:t>
      </w:r>
      <w:r w:rsidR="00537298">
        <w:t>, in coordination with the ARP and CSAPR ICRs,</w:t>
      </w:r>
      <w:r w:rsidR="00965812">
        <w:t xml:space="preserve"> </w:t>
      </w:r>
      <w:r>
        <w:t xml:space="preserve">were annualized at a rate of seven percent, (i.e., the annualized capital cost was </w:t>
      </w:r>
      <w:r>
        <w:lastRenderedPageBreak/>
        <w:t>calculated assuming money to purchase the capital equipment was borrowed at a seven percent annual interest rate). The cost of the loan was amortized over the life of the loan to repay the borrowed amount plus interest. The result is the annualized capital cost reported</w:t>
      </w:r>
      <w:r w:rsidR="39B5C896">
        <w:t>).</w:t>
      </w:r>
      <w:r>
        <w:t xml:space="preserve"> The annualized cost of the necessary capital purchases varies </w:t>
      </w:r>
      <w:r w:rsidR="009E2793">
        <w:t>by the</w:t>
      </w:r>
      <w:r>
        <w:t xml:space="preserve"> type of monitoring methodology. </w:t>
      </w:r>
      <w:r w:rsidR="00E01C20">
        <w:t>Table 2 contains a breakdown of these annualized capital costs by monitoring methodology.</w:t>
      </w:r>
      <w:r>
        <w:t xml:space="preserve"> </w:t>
      </w:r>
    </w:p>
    <w:p w:rsidR="00AB67E4" w:rsidP="00F43E71" w:rsidRDefault="00AB67E4" w14:paraId="18CA47A4" w14:textId="77777777">
      <w:pPr>
        <w:autoSpaceDE w:val="0"/>
        <w:autoSpaceDN w:val="0"/>
        <w:adjustRightInd w:val="0"/>
        <w:ind w:firstLine="720"/>
      </w:pPr>
    </w:p>
    <w:p w:rsidRPr="003F0783" w:rsidR="00F43E71" w:rsidP="00F43E71" w:rsidRDefault="00774554" w14:paraId="7C0792C5" w14:textId="4EE106EE">
      <w:pPr>
        <w:autoSpaceDE w:val="0"/>
        <w:autoSpaceDN w:val="0"/>
        <w:adjustRightInd w:val="0"/>
        <w:ind w:firstLine="720"/>
      </w:pPr>
      <w:r>
        <w:t xml:space="preserve">For the purposes of this ICR, </w:t>
      </w:r>
      <w:r w:rsidR="006B0D52">
        <w:t>a one-time cost</w:t>
      </w:r>
      <w:r w:rsidR="0061506F">
        <w:t xml:space="preserve"> </w:t>
      </w:r>
      <w:r w:rsidR="0035016A">
        <w:t xml:space="preserve">for DAHS updates is applied to certain units </w:t>
      </w:r>
      <w:r w:rsidR="30E3D705">
        <w:t xml:space="preserve">subject to additional </w:t>
      </w:r>
      <w:r w:rsidR="009E2ED7">
        <w:t xml:space="preserve">reporting requirements. This one-time cost is annualized </w:t>
      </w:r>
      <w:r w:rsidR="005B6490">
        <w:t xml:space="preserve">over three years to align with the </w:t>
      </w:r>
      <w:r w:rsidR="00D53535">
        <w:t>length of the ICR approval.</w:t>
      </w:r>
      <w:r w:rsidR="006B0D52">
        <w:t xml:space="preserve"> </w:t>
      </w:r>
      <w:r w:rsidR="00B565CC">
        <w:t xml:space="preserve">The DAHS update cost is shown in Table 2. </w:t>
      </w:r>
    </w:p>
    <w:p w:rsidRPr="003F0783" w:rsidR="00F43E71" w:rsidP="00F43E71" w:rsidRDefault="00F43E71" w14:paraId="49969ADC" w14:textId="77777777">
      <w:pPr>
        <w:autoSpaceDE w:val="0"/>
        <w:autoSpaceDN w:val="0"/>
        <w:adjustRightInd w:val="0"/>
        <w:rPr>
          <w:b/>
          <w:bCs/>
          <w:szCs w:val="24"/>
        </w:rPr>
      </w:pPr>
    </w:p>
    <w:p w:rsidRPr="003F0783" w:rsidR="00F43E71" w:rsidP="00F43E71" w:rsidRDefault="00F43E71" w14:paraId="31BFB72D" w14:textId="77777777">
      <w:pPr>
        <w:keepNext/>
        <w:autoSpaceDE w:val="0"/>
        <w:autoSpaceDN w:val="0"/>
        <w:adjustRightInd w:val="0"/>
        <w:ind w:left="360"/>
        <w:rPr>
          <w:b/>
          <w:bCs/>
          <w:szCs w:val="24"/>
        </w:rPr>
      </w:pPr>
      <w:proofErr w:type="gramStart"/>
      <w:r w:rsidRPr="003F0783">
        <w:rPr>
          <w:b/>
          <w:bCs/>
          <w:szCs w:val="24"/>
        </w:rPr>
        <w:t>6.3  Estimating</w:t>
      </w:r>
      <w:proofErr w:type="gramEnd"/>
      <w:r w:rsidRPr="003F0783">
        <w:rPr>
          <w:b/>
          <w:bCs/>
          <w:szCs w:val="24"/>
        </w:rPr>
        <w:t xml:space="preserve"> Agency Burden and Costs</w:t>
      </w:r>
    </w:p>
    <w:p w:rsidRPr="003F0783" w:rsidR="00F43E71" w:rsidP="00F43E71" w:rsidRDefault="00F43E71" w14:paraId="22E2F73E" w14:textId="77777777">
      <w:pPr>
        <w:keepNext/>
        <w:autoSpaceDE w:val="0"/>
        <w:autoSpaceDN w:val="0"/>
        <w:adjustRightInd w:val="0"/>
        <w:rPr>
          <w:b/>
          <w:bCs/>
          <w:szCs w:val="24"/>
        </w:rPr>
      </w:pPr>
    </w:p>
    <w:p w:rsidRPr="003F0783" w:rsidR="00F43E71" w:rsidP="00F43E71" w:rsidRDefault="00F43E71" w14:paraId="7833BA58" w14:textId="38C1A0E2">
      <w:pPr>
        <w:autoSpaceDE w:val="0"/>
        <w:autoSpaceDN w:val="0"/>
        <w:adjustRightInd w:val="0"/>
        <w:ind w:firstLine="720"/>
      </w:pPr>
      <w:r>
        <w:t xml:space="preserve">Table </w:t>
      </w:r>
      <w:r w:rsidR="00740C4C">
        <w:t>3</w:t>
      </w:r>
      <w:r>
        <w:t xml:space="preserve"> summarizes estimated Agency burden and costs. The following discussion describes how the estimates were derived.</w:t>
      </w:r>
    </w:p>
    <w:p w:rsidRPr="003F0783" w:rsidR="00F43E71" w:rsidP="00F43E71" w:rsidRDefault="00F43E71" w14:paraId="7380C457" w14:textId="77777777">
      <w:pPr>
        <w:autoSpaceDE w:val="0"/>
        <w:autoSpaceDN w:val="0"/>
        <w:adjustRightInd w:val="0"/>
        <w:rPr>
          <w:i/>
          <w:iCs/>
          <w:szCs w:val="24"/>
        </w:rPr>
      </w:pPr>
    </w:p>
    <w:p w:rsidRPr="003F0783" w:rsidR="00F43E71" w:rsidP="00F43E71" w:rsidRDefault="00F43E71" w14:paraId="2DF93FE8" w14:textId="77777777">
      <w:pPr>
        <w:keepNext/>
        <w:autoSpaceDE w:val="0"/>
        <w:autoSpaceDN w:val="0"/>
        <w:adjustRightInd w:val="0"/>
        <w:ind w:left="720"/>
        <w:rPr>
          <w:iCs/>
          <w:szCs w:val="24"/>
        </w:rPr>
      </w:pPr>
      <w:r w:rsidRPr="003F0783">
        <w:rPr>
          <w:iCs/>
          <w:szCs w:val="24"/>
        </w:rPr>
        <w:t>(</w:t>
      </w:r>
      <w:proofErr w:type="spellStart"/>
      <w:r w:rsidRPr="003F0783">
        <w:rPr>
          <w:iCs/>
          <w:szCs w:val="24"/>
        </w:rPr>
        <w:t>i</w:t>
      </w:r>
      <w:proofErr w:type="spellEnd"/>
      <w:r w:rsidRPr="003F0783">
        <w:rPr>
          <w:iCs/>
          <w:szCs w:val="24"/>
        </w:rPr>
        <w:t>)  Agency Burden Related to Certificates of Representation and Other One-Time Registration Forms</w:t>
      </w:r>
    </w:p>
    <w:p w:rsidRPr="003F0783" w:rsidR="00F43E71" w:rsidP="00F43E71" w:rsidRDefault="00F43E71" w14:paraId="4E157C53" w14:textId="77777777">
      <w:pPr>
        <w:keepNext/>
        <w:autoSpaceDE w:val="0"/>
        <w:autoSpaceDN w:val="0"/>
        <w:adjustRightInd w:val="0"/>
        <w:ind w:left="720"/>
        <w:rPr>
          <w:iCs/>
          <w:szCs w:val="24"/>
        </w:rPr>
      </w:pPr>
    </w:p>
    <w:p w:rsidRPr="003F0783" w:rsidR="00F43E71" w:rsidP="00F43E71" w:rsidRDefault="00F43E71" w14:paraId="294F5C36" w14:textId="396A5C0E">
      <w:pPr>
        <w:ind w:firstLine="720"/>
      </w:pPr>
      <w:r>
        <w:t xml:space="preserve">The Agency must review and process each updated certificate of representation and retired exemption form submitted by industry respondents. EPA estimates that the time required is 0.5 hours per updated certificate of representation and 0.3 hours per retired unit exemption.  </w:t>
      </w:r>
    </w:p>
    <w:p w:rsidRPr="003F0783" w:rsidR="00F43E71" w:rsidP="00F43E71" w:rsidRDefault="00F43E71" w14:paraId="64915836" w14:textId="77777777">
      <w:pPr>
        <w:ind w:firstLine="720"/>
        <w:rPr>
          <w:iCs/>
          <w:szCs w:val="24"/>
        </w:rPr>
      </w:pPr>
    </w:p>
    <w:p w:rsidRPr="003F0783" w:rsidR="00F43E71" w:rsidP="00F43E71" w:rsidRDefault="00F43E71" w14:paraId="36F1EC3B" w14:textId="77777777">
      <w:pPr>
        <w:autoSpaceDE w:val="0"/>
        <w:autoSpaceDN w:val="0"/>
        <w:adjustRightInd w:val="0"/>
        <w:ind w:left="720"/>
        <w:rPr>
          <w:szCs w:val="24"/>
        </w:rPr>
      </w:pPr>
      <w:r w:rsidRPr="003F0783">
        <w:rPr>
          <w:iCs/>
          <w:szCs w:val="24"/>
        </w:rPr>
        <w:t>(ii)  Agency Burden Related to Allowance Tracking</w:t>
      </w:r>
    </w:p>
    <w:p w:rsidRPr="003F0783" w:rsidR="00F43E71" w:rsidP="00CA1C9B" w:rsidRDefault="00F43E71" w14:paraId="48C0CA8A" w14:textId="77777777">
      <w:pPr>
        <w:autoSpaceDE w:val="0"/>
        <w:autoSpaceDN w:val="0"/>
        <w:adjustRightInd w:val="0"/>
        <w:rPr>
          <w:iCs/>
          <w:szCs w:val="24"/>
        </w:rPr>
      </w:pPr>
    </w:p>
    <w:p w:rsidRPr="003F0783" w:rsidR="00F43E71" w:rsidP="00F43E71" w:rsidRDefault="00F43E71" w14:paraId="2726DAB0" w14:textId="2C3576DC">
      <w:pPr>
        <w:autoSpaceDE w:val="0"/>
        <w:autoSpaceDN w:val="0"/>
        <w:adjustRightInd w:val="0"/>
        <w:ind w:firstLine="720"/>
      </w:pPr>
      <w:r>
        <w:t xml:space="preserve">Most allowance transfer and deduction forms are submitted electronically using the CAMD Business System. These transactions are verified and processed automatically at no incremental cost to the Agency. EPA estimates that approximately 1% of the submissions each year will be submitted on paper, and that review and processing of paper submissions will require one hour per allowance transfer form and </w:t>
      </w:r>
      <w:proofErr w:type="gramStart"/>
      <w:r>
        <w:t>one half</w:t>
      </w:r>
      <w:proofErr w:type="gramEnd"/>
      <w:r>
        <w:t xml:space="preserve"> hour per allowance deduction form.</w:t>
      </w:r>
    </w:p>
    <w:p w:rsidRPr="003F0783" w:rsidR="00F43E71" w:rsidP="00F43E71" w:rsidRDefault="00F43E71" w14:paraId="18A06184" w14:textId="77777777">
      <w:pPr>
        <w:autoSpaceDE w:val="0"/>
        <w:autoSpaceDN w:val="0"/>
        <w:adjustRightInd w:val="0"/>
        <w:ind w:firstLine="720"/>
        <w:rPr>
          <w:iCs/>
          <w:szCs w:val="24"/>
        </w:rPr>
      </w:pPr>
    </w:p>
    <w:p w:rsidRPr="003F0783" w:rsidR="00F43E71" w:rsidP="00F43E71" w:rsidRDefault="00F43E71" w14:paraId="5BC9B4AE" w14:textId="77777777">
      <w:pPr>
        <w:autoSpaceDE w:val="0"/>
        <w:autoSpaceDN w:val="0"/>
        <w:adjustRightInd w:val="0"/>
        <w:ind w:firstLine="720"/>
        <w:rPr>
          <w:iCs/>
          <w:szCs w:val="24"/>
        </w:rPr>
      </w:pPr>
      <w:r w:rsidRPr="003F0783">
        <w:rPr>
          <w:iCs/>
          <w:szCs w:val="24"/>
        </w:rPr>
        <w:t>The costs of the computer systems used by the Agency in allowance tracking activities are accounted for under the ARP ICR.</w:t>
      </w:r>
    </w:p>
    <w:p w:rsidRPr="003F0783" w:rsidR="00F43E71" w:rsidP="00F43E71" w:rsidRDefault="00F43E71" w14:paraId="64256C19" w14:textId="77777777">
      <w:pPr>
        <w:autoSpaceDE w:val="0"/>
        <w:autoSpaceDN w:val="0"/>
        <w:adjustRightInd w:val="0"/>
        <w:ind w:firstLine="720"/>
        <w:rPr>
          <w:iCs/>
          <w:szCs w:val="24"/>
        </w:rPr>
      </w:pPr>
    </w:p>
    <w:p w:rsidRPr="003F0783" w:rsidR="00F43E71" w:rsidP="00F43E71" w:rsidRDefault="00F43E71" w14:paraId="0AB0E2B6" w14:textId="77777777">
      <w:pPr>
        <w:autoSpaceDE w:val="0"/>
        <w:autoSpaceDN w:val="0"/>
        <w:adjustRightInd w:val="0"/>
        <w:ind w:firstLine="720"/>
        <w:rPr>
          <w:iCs/>
          <w:szCs w:val="24"/>
        </w:rPr>
      </w:pPr>
      <w:r w:rsidRPr="003F0783">
        <w:rPr>
          <w:iCs/>
          <w:szCs w:val="24"/>
        </w:rPr>
        <w:t>(iii)  Agency Burden Related to Emissions Monitoring and Reporting</w:t>
      </w:r>
    </w:p>
    <w:p w:rsidRPr="003F0783" w:rsidR="00F43E71" w:rsidP="00F43E71" w:rsidRDefault="00F43E71" w14:paraId="3EF61B9C" w14:textId="77777777">
      <w:pPr>
        <w:autoSpaceDE w:val="0"/>
        <w:autoSpaceDN w:val="0"/>
        <w:adjustRightInd w:val="0"/>
        <w:ind w:left="720"/>
        <w:rPr>
          <w:iCs/>
          <w:szCs w:val="24"/>
        </w:rPr>
      </w:pPr>
    </w:p>
    <w:p w:rsidRPr="003F0783" w:rsidR="00F43E71" w:rsidP="00F43E71" w:rsidRDefault="00F43E71" w14:paraId="028E120F" w14:textId="0A422A9F">
      <w:pPr>
        <w:autoSpaceDE w:val="0"/>
        <w:autoSpaceDN w:val="0"/>
        <w:adjustRightInd w:val="0"/>
        <w:ind w:firstLine="720"/>
      </w:pPr>
      <w:r>
        <w:t>Agency activities related to the monitoring and reporting of emissions data include reviewing monitoring plans and monitor certification applications; processing, reviewing, and evaluating reports of quarterly emissions data from affected units, providing feedback, and storing the data; calculating/reviewing annual emissions from affected sources, and aggregating such annual emissions for compliance assurance purposes; and reviewing total annual emissions data submitted to track each state's progress toward meeting its budgets and creating a summary report of emissions. The Agency estimates that these activities will require one hour per quarterly report submitted.</w:t>
      </w:r>
    </w:p>
    <w:p w:rsidRPr="003F0783" w:rsidR="00F43E71" w:rsidP="00F43E71" w:rsidRDefault="00F43E71" w14:paraId="1F576985" w14:textId="77777777">
      <w:pPr>
        <w:autoSpaceDE w:val="0"/>
        <w:autoSpaceDN w:val="0"/>
        <w:adjustRightInd w:val="0"/>
        <w:ind w:left="720"/>
        <w:rPr>
          <w:iCs/>
          <w:szCs w:val="24"/>
        </w:rPr>
      </w:pPr>
    </w:p>
    <w:p w:rsidRPr="003F0783" w:rsidR="00F43E71" w:rsidP="00F43E71" w:rsidRDefault="00F43E71" w14:paraId="7777E344" w14:textId="77777777">
      <w:pPr>
        <w:autoSpaceDE w:val="0"/>
        <w:autoSpaceDN w:val="0"/>
        <w:adjustRightInd w:val="0"/>
        <w:ind w:firstLine="720"/>
        <w:rPr>
          <w:iCs/>
          <w:szCs w:val="24"/>
        </w:rPr>
      </w:pPr>
      <w:r w:rsidRPr="003F0783">
        <w:rPr>
          <w:iCs/>
          <w:szCs w:val="24"/>
        </w:rPr>
        <w:t>The costs of the computer systems used by the Agency in emissions-related activities are accounted for under the ARP ICR.</w:t>
      </w:r>
    </w:p>
    <w:p w:rsidRPr="003F0783" w:rsidR="00F43E71" w:rsidP="00F43E71" w:rsidRDefault="00F43E71" w14:paraId="4D569147" w14:textId="77777777">
      <w:pPr>
        <w:autoSpaceDE w:val="0"/>
        <w:autoSpaceDN w:val="0"/>
        <w:adjustRightInd w:val="0"/>
        <w:ind w:firstLine="720"/>
        <w:rPr>
          <w:iCs/>
          <w:szCs w:val="24"/>
        </w:rPr>
      </w:pPr>
    </w:p>
    <w:p w:rsidRPr="003F0783" w:rsidR="00F43E71" w:rsidP="00F43E71" w:rsidRDefault="00F43E71" w14:paraId="0D102816" w14:textId="77777777">
      <w:pPr>
        <w:autoSpaceDE w:val="0"/>
        <w:autoSpaceDN w:val="0"/>
        <w:adjustRightInd w:val="0"/>
        <w:ind w:left="720"/>
        <w:rPr>
          <w:iCs/>
          <w:szCs w:val="24"/>
        </w:rPr>
      </w:pPr>
      <w:r w:rsidRPr="003F0783">
        <w:rPr>
          <w:iCs/>
          <w:szCs w:val="24"/>
        </w:rPr>
        <w:t>(iv)  Agency Labor Costs</w:t>
      </w:r>
    </w:p>
    <w:p w:rsidRPr="003F0783" w:rsidR="00F43E71" w:rsidP="00F43E71" w:rsidRDefault="00F43E71" w14:paraId="3FDE9EEC" w14:textId="77777777">
      <w:pPr>
        <w:autoSpaceDE w:val="0"/>
        <w:autoSpaceDN w:val="0"/>
        <w:adjustRightInd w:val="0"/>
        <w:ind w:left="720"/>
        <w:rPr>
          <w:iCs/>
          <w:szCs w:val="24"/>
        </w:rPr>
      </w:pPr>
    </w:p>
    <w:p w:rsidRPr="003F64AA" w:rsidR="00F43E71" w:rsidP="00F43E71" w:rsidRDefault="00F43E71" w14:paraId="5A838FC9" w14:textId="175B5FED">
      <w:pPr>
        <w:autoSpaceDE w:val="0"/>
        <w:autoSpaceDN w:val="0"/>
        <w:adjustRightInd w:val="0"/>
        <w:rPr>
          <w:b/>
        </w:rPr>
      </w:pPr>
      <w:r w:rsidRPr="003F0783">
        <w:lastRenderedPageBreak/>
        <w:tab/>
        <w:t>Federal Agency labor rates were assumed to be $</w:t>
      </w:r>
      <w:r>
        <w:t>84.82</w:t>
      </w:r>
      <w:r w:rsidRPr="003F0783">
        <w:t xml:space="preserve"> per hour. This labor rate was derived from the federal government's 20</w:t>
      </w:r>
      <w:r>
        <w:t>21</w:t>
      </w:r>
      <w:r w:rsidRPr="003F0783">
        <w:t xml:space="preserve"> U.S. Office of Personnel Management General Schedule "Salary Table 20</w:t>
      </w:r>
      <w:r>
        <w:t>21</w:t>
      </w:r>
      <w:r w:rsidRPr="003F0783">
        <w:t>-GS"</w:t>
      </w:r>
      <w:r>
        <w:t xml:space="preserve"> </w:t>
      </w:r>
      <w:r w:rsidRPr="003F0783">
        <w:t>(</w:t>
      </w:r>
      <w:proofErr w:type="gramStart"/>
      <w:r w:rsidRPr="35C0C161">
        <w:rPr>
          <w:rStyle w:val="Hyperlink"/>
        </w:rPr>
        <w:t xml:space="preserve">https://www.opm.gov/policy-data-oversight/pay-leave/salaries-wages/salary-tables/21Tables/html/GS.aspx </w:t>
      </w:r>
      <w:r>
        <w:t xml:space="preserve"> </w:t>
      </w:r>
      <w:r w:rsidRPr="003F64AA">
        <w:t>using</w:t>
      </w:r>
      <w:proofErr w:type="gramEnd"/>
      <w:r w:rsidRPr="003F64AA">
        <w:t xml:space="preserve"> the factors in Table 1 below.  </w:t>
      </w:r>
    </w:p>
    <w:p w:rsidRPr="003F0783" w:rsidR="00F43E71" w:rsidP="00F43E71" w:rsidRDefault="00F43E71" w14:paraId="042FF9E0" w14:textId="77777777">
      <w:pPr>
        <w:keepNext/>
        <w:autoSpaceDE w:val="0"/>
        <w:autoSpaceDN w:val="0"/>
        <w:adjustRightInd w:val="0"/>
        <w:jc w:val="center"/>
        <w:rPr>
          <w:rFonts w:eastAsia="Times New Roman"/>
          <w:b/>
          <w:bCs/>
          <w:color w:val="000000"/>
          <w:szCs w:val="24"/>
        </w:rPr>
      </w:pPr>
    </w:p>
    <w:p w:rsidRPr="003F0783" w:rsidR="00F43E71" w:rsidP="00F43E71" w:rsidRDefault="00F43E71" w14:paraId="3F91B069" w14:textId="77777777">
      <w:pPr>
        <w:keepNext/>
        <w:autoSpaceDE w:val="0"/>
        <w:autoSpaceDN w:val="0"/>
        <w:adjustRightInd w:val="0"/>
        <w:jc w:val="center"/>
        <w:rPr>
          <w:rFonts w:eastAsia="Times New Roman"/>
          <w:b/>
          <w:bCs/>
          <w:color w:val="000000"/>
          <w:szCs w:val="24"/>
        </w:rPr>
      </w:pPr>
      <w:r w:rsidRPr="003F0783">
        <w:rPr>
          <w:rFonts w:eastAsia="Times New Roman"/>
          <w:b/>
          <w:bCs/>
          <w:color w:val="000000"/>
          <w:szCs w:val="24"/>
        </w:rPr>
        <w:t>Table 1:  Determination of Federal Wage Rates</w:t>
      </w:r>
    </w:p>
    <w:p w:rsidRPr="003F0783" w:rsidR="00F43E71" w:rsidP="00F43E71" w:rsidRDefault="00F43E71" w14:paraId="53298229" w14:textId="77777777">
      <w:pPr>
        <w:keepNext/>
        <w:autoSpaceDE w:val="0"/>
        <w:autoSpaceDN w:val="0"/>
        <w:adjustRightInd w:val="0"/>
        <w:jc w:val="center"/>
        <w:rPr>
          <w:b/>
          <w:bCs/>
          <w:szCs w:val="24"/>
        </w:rPr>
      </w:pPr>
    </w:p>
    <w:tbl>
      <w:tblPr>
        <w:tblW w:w="9350" w:type="dxa"/>
        <w:jc w:val="center"/>
        <w:tblLayout w:type="fixed"/>
        <w:tblCellMar>
          <w:top w:w="72" w:type="dxa"/>
          <w:left w:w="72" w:type="dxa"/>
          <w:bottom w:w="72" w:type="dxa"/>
          <w:right w:w="72" w:type="dxa"/>
        </w:tblCellMar>
        <w:tblLook w:val="04A0" w:firstRow="1" w:lastRow="0" w:firstColumn="1" w:lastColumn="0" w:noHBand="0" w:noVBand="1"/>
      </w:tblPr>
      <w:tblGrid>
        <w:gridCol w:w="6168"/>
        <w:gridCol w:w="1536"/>
        <w:gridCol w:w="1646"/>
      </w:tblGrid>
      <w:tr w:rsidRPr="003F0783" w:rsidR="00F43E71" w:rsidTr="00F43E71" w14:paraId="459DED5B" w14:textId="77777777">
        <w:trPr>
          <w:trHeight w:val="23"/>
          <w:jc w:val="center"/>
        </w:trPr>
        <w:tc>
          <w:tcPr>
            <w:tcW w:w="6168" w:type="dxa"/>
            <w:tcBorders>
              <w:top w:val="single" w:color="auto" w:sz="4" w:space="0"/>
              <w:left w:val="single" w:color="auto" w:sz="4" w:space="0"/>
              <w:bottom w:val="single" w:color="auto" w:sz="4" w:space="0"/>
              <w:right w:val="single" w:color="auto" w:sz="4" w:space="0"/>
            </w:tcBorders>
            <w:shd w:val="clear" w:color="auto" w:fill="D9D9D9"/>
            <w:noWrap/>
            <w:vAlign w:val="bottom"/>
          </w:tcPr>
          <w:p w:rsidRPr="003F0783" w:rsidR="00F43E71" w:rsidP="00F43E71" w:rsidRDefault="00F43E71" w14:paraId="7A734CD0" w14:textId="77777777">
            <w:pPr>
              <w:jc w:val="center"/>
              <w:rPr>
                <w:rFonts w:eastAsia="Times New Roman"/>
                <w:b/>
                <w:bCs/>
                <w:color w:val="000000"/>
                <w:sz w:val="20"/>
                <w:szCs w:val="20"/>
              </w:rPr>
            </w:pPr>
            <w:r w:rsidRPr="003F0783">
              <w:rPr>
                <w:rFonts w:eastAsia="Times New Roman"/>
                <w:b/>
                <w:bCs/>
                <w:color w:val="000000"/>
                <w:sz w:val="20"/>
                <w:szCs w:val="20"/>
              </w:rPr>
              <w:t xml:space="preserve">Labor category </w:t>
            </w:r>
          </w:p>
        </w:tc>
        <w:tc>
          <w:tcPr>
            <w:tcW w:w="1536" w:type="dxa"/>
            <w:tcBorders>
              <w:top w:val="single" w:color="auto" w:sz="4" w:space="0"/>
              <w:left w:val="nil"/>
              <w:bottom w:val="single" w:color="auto" w:sz="4" w:space="0"/>
              <w:right w:val="single" w:color="auto" w:sz="4" w:space="0"/>
            </w:tcBorders>
            <w:shd w:val="clear" w:color="auto" w:fill="D9D9D9"/>
            <w:noWrap/>
          </w:tcPr>
          <w:p w:rsidRPr="003F0783" w:rsidR="00F43E71" w:rsidP="00F43E71" w:rsidRDefault="00F43E71" w14:paraId="3456B34F" w14:textId="77777777">
            <w:pPr>
              <w:keepNext/>
              <w:jc w:val="center"/>
              <w:rPr>
                <w:rFonts w:eastAsia="Times New Roman"/>
                <w:b/>
                <w:bCs/>
                <w:color w:val="000000"/>
                <w:sz w:val="20"/>
                <w:szCs w:val="20"/>
              </w:rPr>
            </w:pPr>
            <w:r w:rsidRPr="003F0783">
              <w:rPr>
                <w:rFonts w:eastAsia="Times New Roman"/>
                <w:b/>
                <w:bCs/>
                <w:color w:val="000000"/>
                <w:sz w:val="20"/>
                <w:szCs w:val="20"/>
              </w:rPr>
              <w:t>Factors</w:t>
            </w:r>
          </w:p>
        </w:tc>
        <w:tc>
          <w:tcPr>
            <w:tcW w:w="1646" w:type="dxa"/>
            <w:tcBorders>
              <w:top w:val="single" w:color="auto" w:sz="4" w:space="0"/>
              <w:left w:val="nil"/>
              <w:bottom w:val="single" w:color="auto" w:sz="4" w:space="0"/>
              <w:right w:val="single" w:color="auto" w:sz="4" w:space="0"/>
            </w:tcBorders>
            <w:shd w:val="clear" w:color="auto" w:fill="D9D9D9"/>
            <w:noWrap/>
          </w:tcPr>
          <w:p w:rsidRPr="003F0783" w:rsidR="00F43E71" w:rsidP="00F43E71" w:rsidRDefault="00F43E71" w14:paraId="7D29BF54" w14:textId="77777777">
            <w:pPr>
              <w:keepNext/>
              <w:jc w:val="center"/>
              <w:rPr>
                <w:rFonts w:eastAsia="Times New Roman"/>
                <w:b/>
                <w:bCs/>
                <w:color w:val="000000"/>
                <w:sz w:val="20"/>
                <w:szCs w:val="20"/>
              </w:rPr>
            </w:pPr>
            <w:r w:rsidRPr="003F0783">
              <w:rPr>
                <w:rFonts w:eastAsia="Times New Roman"/>
                <w:b/>
                <w:bCs/>
                <w:color w:val="000000"/>
                <w:sz w:val="20"/>
                <w:szCs w:val="20"/>
              </w:rPr>
              <w:t>Total</w:t>
            </w:r>
          </w:p>
        </w:tc>
      </w:tr>
      <w:tr w:rsidRPr="003F0783" w:rsidR="00F43E71" w:rsidTr="00F43E71" w14:paraId="19B40684" w14:textId="77777777">
        <w:trPr>
          <w:trHeight w:val="23"/>
          <w:jc w:val="center"/>
        </w:trPr>
        <w:tc>
          <w:tcPr>
            <w:tcW w:w="6168"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3F0783" w:rsidR="00F43E71" w:rsidP="00F43E71" w:rsidRDefault="00F43E71" w14:paraId="56A78F01" w14:textId="77777777">
            <w:pPr>
              <w:keepNext/>
              <w:rPr>
                <w:rFonts w:eastAsia="Times New Roman"/>
                <w:color w:val="000000"/>
                <w:sz w:val="20"/>
                <w:szCs w:val="20"/>
              </w:rPr>
            </w:pPr>
            <w:r w:rsidRPr="003F0783">
              <w:rPr>
                <w:rFonts w:eastAsia="Times New Roman"/>
                <w:color w:val="000000"/>
                <w:sz w:val="20"/>
                <w:szCs w:val="20"/>
              </w:rPr>
              <w:t xml:space="preserve">Annual salary of technical staff, GS 13, Step 8 </w:t>
            </w:r>
          </w:p>
        </w:tc>
        <w:tc>
          <w:tcPr>
            <w:tcW w:w="1536" w:type="dxa"/>
            <w:tcBorders>
              <w:top w:val="single" w:color="auto" w:sz="4" w:space="0"/>
              <w:left w:val="nil"/>
              <w:bottom w:val="single" w:color="auto" w:sz="4" w:space="0"/>
              <w:right w:val="single" w:color="auto" w:sz="4" w:space="0"/>
            </w:tcBorders>
            <w:shd w:val="clear" w:color="auto" w:fill="auto"/>
            <w:noWrap/>
          </w:tcPr>
          <w:p w:rsidRPr="003F0783" w:rsidR="00F43E71" w:rsidP="00F43E71" w:rsidRDefault="00F43E71" w14:paraId="7525F61F" w14:textId="77777777">
            <w:pPr>
              <w:keepNext/>
              <w:jc w:val="right"/>
              <w:rPr>
                <w:rFonts w:eastAsia="Times New Roman"/>
                <w:color w:val="000000"/>
                <w:sz w:val="20"/>
                <w:szCs w:val="20"/>
              </w:rPr>
            </w:pPr>
          </w:p>
        </w:tc>
        <w:tc>
          <w:tcPr>
            <w:tcW w:w="1646" w:type="dxa"/>
            <w:tcBorders>
              <w:top w:val="single" w:color="auto" w:sz="4" w:space="0"/>
              <w:left w:val="nil"/>
              <w:bottom w:val="single" w:color="auto" w:sz="4" w:space="0"/>
              <w:right w:val="single" w:color="auto" w:sz="4" w:space="0"/>
            </w:tcBorders>
            <w:shd w:val="clear" w:color="auto" w:fill="auto"/>
            <w:noWrap/>
          </w:tcPr>
          <w:p w:rsidRPr="003F0783" w:rsidR="00F43E71" w:rsidP="00F43E71" w:rsidRDefault="00F43E71" w14:paraId="4C5FFE85" w14:textId="77777777">
            <w:pPr>
              <w:keepNext/>
              <w:jc w:val="right"/>
              <w:rPr>
                <w:rFonts w:eastAsia="Times New Roman"/>
                <w:color w:val="000000"/>
                <w:sz w:val="20"/>
                <w:szCs w:val="20"/>
              </w:rPr>
            </w:pPr>
            <w:r w:rsidRPr="003F0783">
              <w:rPr>
                <w:rFonts w:eastAsia="Times New Roman"/>
                <w:color w:val="000000"/>
                <w:sz w:val="20"/>
                <w:szCs w:val="20"/>
              </w:rPr>
              <w:t>$98,</w:t>
            </w:r>
            <w:r>
              <w:rPr>
                <w:rFonts w:eastAsia="Times New Roman"/>
                <w:color w:val="000000"/>
                <w:sz w:val="20"/>
                <w:szCs w:val="20"/>
              </w:rPr>
              <w:t>011</w:t>
            </w:r>
          </w:p>
        </w:tc>
      </w:tr>
      <w:tr w:rsidRPr="003F0783" w:rsidR="00F43E71" w:rsidTr="00F43E71" w14:paraId="02F025B8" w14:textId="77777777">
        <w:trPr>
          <w:trHeight w:val="23"/>
          <w:jc w:val="center"/>
        </w:trPr>
        <w:tc>
          <w:tcPr>
            <w:tcW w:w="6168" w:type="dxa"/>
            <w:tcBorders>
              <w:top w:val="nil"/>
              <w:left w:val="single" w:color="auto" w:sz="4" w:space="0"/>
              <w:bottom w:val="single" w:color="auto" w:sz="4" w:space="0"/>
              <w:right w:val="single" w:color="auto" w:sz="4" w:space="0"/>
            </w:tcBorders>
            <w:shd w:val="clear" w:color="auto" w:fill="auto"/>
            <w:noWrap/>
            <w:vAlign w:val="bottom"/>
          </w:tcPr>
          <w:p w:rsidRPr="003F0783" w:rsidR="00F43E71" w:rsidP="00F43E71" w:rsidRDefault="00F43E71" w14:paraId="2A6AB365" w14:textId="77777777">
            <w:pPr>
              <w:keepNext/>
              <w:rPr>
                <w:rFonts w:eastAsia="Times New Roman"/>
                <w:color w:val="000000"/>
                <w:sz w:val="20"/>
                <w:szCs w:val="20"/>
              </w:rPr>
            </w:pPr>
            <w:r w:rsidRPr="003F0783">
              <w:rPr>
                <w:rFonts w:eastAsia="Times New Roman"/>
                <w:color w:val="000000"/>
                <w:sz w:val="20"/>
                <w:szCs w:val="20"/>
              </w:rPr>
              <w:t xml:space="preserve">Annual cost of supervisory staff, GS 15, Step 8 </w:t>
            </w:r>
          </w:p>
        </w:tc>
        <w:tc>
          <w:tcPr>
            <w:tcW w:w="1536" w:type="dxa"/>
            <w:tcBorders>
              <w:top w:val="nil"/>
              <w:left w:val="nil"/>
              <w:bottom w:val="single" w:color="auto" w:sz="4" w:space="0"/>
              <w:right w:val="single" w:color="auto" w:sz="4" w:space="0"/>
            </w:tcBorders>
            <w:shd w:val="clear" w:color="auto" w:fill="auto"/>
            <w:noWrap/>
          </w:tcPr>
          <w:p w:rsidRPr="003F0783" w:rsidR="00F43E71" w:rsidP="00F43E71" w:rsidRDefault="00F43E71" w14:paraId="5A71016E" w14:textId="77777777">
            <w:pPr>
              <w:keepNext/>
              <w:jc w:val="right"/>
              <w:rPr>
                <w:rFonts w:eastAsia="Times New Roman"/>
                <w:color w:val="000000"/>
                <w:sz w:val="20"/>
                <w:szCs w:val="20"/>
              </w:rPr>
            </w:pPr>
            <w:r w:rsidRPr="003F0783">
              <w:rPr>
                <w:rFonts w:eastAsia="Times New Roman"/>
                <w:color w:val="000000"/>
                <w:sz w:val="20"/>
                <w:szCs w:val="20"/>
              </w:rPr>
              <w:t>$</w:t>
            </w:r>
            <w:r>
              <w:rPr>
                <w:rFonts w:eastAsia="Times New Roman"/>
                <w:color w:val="000000"/>
                <w:sz w:val="20"/>
                <w:szCs w:val="20"/>
              </w:rPr>
              <w:t>136,234</w:t>
            </w:r>
          </w:p>
        </w:tc>
        <w:tc>
          <w:tcPr>
            <w:tcW w:w="1646" w:type="dxa"/>
            <w:tcBorders>
              <w:top w:val="nil"/>
              <w:left w:val="nil"/>
              <w:bottom w:val="single" w:color="auto" w:sz="4" w:space="0"/>
              <w:right w:val="single" w:color="auto" w:sz="4" w:space="0"/>
            </w:tcBorders>
            <w:shd w:val="clear" w:color="auto" w:fill="auto"/>
            <w:noWrap/>
          </w:tcPr>
          <w:p w:rsidRPr="003F0783" w:rsidR="00F43E71" w:rsidP="00F43E71" w:rsidRDefault="00F43E71" w14:paraId="3C50CDB3" w14:textId="77777777">
            <w:pPr>
              <w:keepNext/>
              <w:jc w:val="right"/>
              <w:rPr>
                <w:rFonts w:eastAsia="Times New Roman"/>
                <w:color w:val="000000"/>
                <w:sz w:val="20"/>
                <w:szCs w:val="20"/>
              </w:rPr>
            </w:pPr>
          </w:p>
        </w:tc>
      </w:tr>
      <w:tr w:rsidRPr="003F0783" w:rsidR="00F43E71" w:rsidTr="00F43E71" w14:paraId="16905480" w14:textId="77777777">
        <w:trPr>
          <w:trHeight w:val="23"/>
          <w:jc w:val="center"/>
        </w:trPr>
        <w:tc>
          <w:tcPr>
            <w:tcW w:w="6168" w:type="dxa"/>
            <w:tcBorders>
              <w:top w:val="nil"/>
              <w:left w:val="single" w:color="auto" w:sz="4" w:space="0"/>
              <w:bottom w:val="single" w:color="auto" w:sz="4" w:space="0"/>
              <w:right w:val="single" w:color="auto" w:sz="4" w:space="0"/>
            </w:tcBorders>
            <w:shd w:val="clear" w:color="auto" w:fill="auto"/>
            <w:noWrap/>
            <w:vAlign w:val="bottom"/>
          </w:tcPr>
          <w:p w:rsidRPr="003F0783" w:rsidR="00F43E71" w:rsidP="00F43E71" w:rsidRDefault="00F43E71" w14:paraId="51E3C794" w14:textId="77777777">
            <w:pPr>
              <w:rPr>
                <w:rFonts w:eastAsia="Times New Roman"/>
                <w:color w:val="000000"/>
                <w:sz w:val="20"/>
                <w:szCs w:val="20"/>
              </w:rPr>
            </w:pPr>
            <w:r w:rsidRPr="003F0783">
              <w:rPr>
                <w:rFonts w:eastAsia="Times New Roman"/>
                <w:color w:val="000000"/>
                <w:sz w:val="20"/>
                <w:szCs w:val="20"/>
              </w:rPr>
              <w:t xml:space="preserve">Factor (1/11) </w:t>
            </w:r>
            <w:r>
              <w:rPr>
                <w:rFonts w:eastAsia="Times New Roman"/>
                <w:color w:val="000000"/>
                <w:sz w:val="20"/>
                <w:szCs w:val="20"/>
              </w:rPr>
              <w:t>applied to cost of supervisory staff</w:t>
            </w:r>
          </w:p>
        </w:tc>
        <w:tc>
          <w:tcPr>
            <w:tcW w:w="1536" w:type="dxa"/>
            <w:tcBorders>
              <w:top w:val="nil"/>
              <w:left w:val="nil"/>
              <w:bottom w:val="single" w:color="auto" w:sz="4" w:space="0"/>
              <w:right w:val="single" w:color="auto" w:sz="4" w:space="0"/>
            </w:tcBorders>
            <w:shd w:val="clear" w:color="auto" w:fill="auto"/>
            <w:noWrap/>
          </w:tcPr>
          <w:p w:rsidRPr="003F0783" w:rsidR="00F43E71" w:rsidP="00F43E71" w:rsidRDefault="00F43E71" w14:paraId="2A6C5A67" w14:textId="77777777">
            <w:pPr>
              <w:jc w:val="right"/>
              <w:rPr>
                <w:rFonts w:eastAsia="Times New Roman"/>
                <w:color w:val="000000"/>
                <w:sz w:val="20"/>
                <w:szCs w:val="20"/>
              </w:rPr>
            </w:pPr>
            <w:r w:rsidRPr="003F0783">
              <w:rPr>
                <w:rFonts w:eastAsia="Times New Roman"/>
                <w:color w:val="000000"/>
                <w:sz w:val="20"/>
                <w:szCs w:val="20"/>
              </w:rPr>
              <w:t>0.09</w:t>
            </w:r>
          </w:p>
        </w:tc>
        <w:tc>
          <w:tcPr>
            <w:tcW w:w="1646" w:type="dxa"/>
            <w:tcBorders>
              <w:top w:val="nil"/>
              <w:left w:val="nil"/>
              <w:bottom w:val="single" w:color="auto" w:sz="4" w:space="0"/>
              <w:right w:val="single" w:color="auto" w:sz="4" w:space="0"/>
            </w:tcBorders>
            <w:shd w:val="clear" w:color="auto" w:fill="auto"/>
            <w:noWrap/>
          </w:tcPr>
          <w:p w:rsidRPr="003F0783" w:rsidR="00F43E71" w:rsidP="00F43E71" w:rsidRDefault="00F43E71" w14:paraId="19D4DF89" w14:textId="77777777">
            <w:pPr>
              <w:jc w:val="right"/>
              <w:rPr>
                <w:rFonts w:eastAsia="Times New Roman"/>
                <w:color w:val="000000"/>
                <w:sz w:val="20"/>
                <w:szCs w:val="20"/>
              </w:rPr>
            </w:pPr>
          </w:p>
        </w:tc>
      </w:tr>
      <w:tr w:rsidRPr="003F0783" w:rsidR="00F43E71" w:rsidTr="00F43E71" w14:paraId="151C55BA" w14:textId="77777777">
        <w:trPr>
          <w:trHeight w:val="23"/>
          <w:jc w:val="center"/>
        </w:trPr>
        <w:tc>
          <w:tcPr>
            <w:tcW w:w="6168" w:type="dxa"/>
            <w:tcBorders>
              <w:top w:val="nil"/>
              <w:left w:val="single" w:color="auto" w:sz="4" w:space="0"/>
              <w:bottom w:val="single" w:color="auto" w:sz="4" w:space="0"/>
              <w:right w:val="single" w:color="auto" w:sz="4" w:space="0"/>
            </w:tcBorders>
            <w:shd w:val="clear" w:color="auto" w:fill="auto"/>
            <w:noWrap/>
            <w:vAlign w:val="bottom"/>
          </w:tcPr>
          <w:p w:rsidRPr="003F0783" w:rsidR="00F43E71" w:rsidP="00F43E71" w:rsidRDefault="00F43E71" w14:paraId="3A068226" w14:textId="77777777">
            <w:pPr>
              <w:rPr>
                <w:rFonts w:eastAsia="Times New Roman"/>
                <w:color w:val="000000"/>
                <w:sz w:val="20"/>
                <w:szCs w:val="20"/>
              </w:rPr>
            </w:pPr>
            <w:r w:rsidRPr="003F0783">
              <w:rPr>
                <w:rFonts w:eastAsia="Times New Roman"/>
                <w:color w:val="000000"/>
                <w:sz w:val="20"/>
                <w:szCs w:val="20"/>
              </w:rPr>
              <w:t> </w:t>
            </w:r>
          </w:p>
        </w:tc>
        <w:tc>
          <w:tcPr>
            <w:tcW w:w="1536" w:type="dxa"/>
            <w:tcBorders>
              <w:top w:val="nil"/>
              <w:left w:val="nil"/>
              <w:bottom w:val="single" w:color="auto" w:sz="4" w:space="0"/>
              <w:right w:val="single" w:color="auto" w:sz="4" w:space="0"/>
            </w:tcBorders>
            <w:shd w:val="clear" w:color="auto" w:fill="auto"/>
            <w:noWrap/>
          </w:tcPr>
          <w:p w:rsidRPr="003F0783" w:rsidR="00F43E71" w:rsidP="00F43E71" w:rsidRDefault="00F43E71" w14:paraId="26BBC8DE" w14:textId="77777777">
            <w:pPr>
              <w:jc w:val="right"/>
              <w:rPr>
                <w:rFonts w:eastAsia="Times New Roman"/>
                <w:color w:val="000000"/>
                <w:sz w:val="20"/>
                <w:szCs w:val="20"/>
              </w:rPr>
            </w:pPr>
          </w:p>
        </w:tc>
        <w:tc>
          <w:tcPr>
            <w:tcW w:w="1646" w:type="dxa"/>
            <w:tcBorders>
              <w:top w:val="nil"/>
              <w:left w:val="nil"/>
              <w:bottom w:val="single" w:color="auto" w:sz="4" w:space="0"/>
              <w:right w:val="single" w:color="auto" w:sz="4" w:space="0"/>
            </w:tcBorders>
            <w:shd w:val="clear" w:color="auto" w:fill="auto"/>
            <w:noWrap/>
            <w:vAlign w:val="bottom"/>
          </w:tcPr>
          <w:p w:rsidRPr="003F0783" w:rsidR="00F43E71" w:rsidP="00F43E71" w:rsidRDefault="00F43E71" w14:paraId="0D15B70E" w14:textId="77777777">
            <w:pPr>
              <w:jc w:val="right"/>
              <w:rPr>
                <w:rFonts w:eastAsia="Times New Roman"/>
                <w:color w:val="000000"/>
                <w:sz w:val="20"/>
                <w:szCs w:val="20"/>
              </w:rPr>
            </w:pPr>
            <w:r w:rsidRPr="003F0783">
              <w:rPr>
                <w:rFonts w:eastAsia="Times New Roman"/>
                <w:color w:val="000000"/>
                <w:sz w:val="20"/>
                <w:szCs w:val="20"/>
              </w:rPr>
              <w:t>$</w:t>
            </w:r>
            <w:r>
              <w:rPr>
                <w:rFonts w:eastAsia="Times New Roman"/>
                <w:color w:val="000000"/>
                <w:sz w:val="20"/>
                <w:szCs w:val="20"/>
              </w:rPr>
              <w:t>12,261.06</w:t>
            </w:r>
            <w:r w:rsidRPr="003F0783">
              <w:rPr>
                <w:rFonts w:eastAsia="Times New Roman"/>
                <w:color w:val="000000"/>
                <w:sz w:val="20"/>
                <w:szCs w:val="20"/>
              </w:rPr>
              <w:t xml:space="preserve"> </w:t>
            </w:r>
          </w:p>
        </w:tc>
      </w:tr>
      <w:tr w:rsidRPr="003F0783" w:rsidR="00F43E71" w:rsidTr="00F43E71" w14:paraId="5BFA6BBE" w14:textId="77777777">
        <w:trPr>
          <w:trHeight w:val="23"/>
          <w:jc w:val="center"/>
        </w:trPr>
        <w:tc>
          <w:tcPr>
            <w:tcW w:w="6168" w:type="dxa"/>
            <w:tcBorders>
              <w:top w:val="nil"/>
              <w:left w:val="single" w:color="auto" w:sz="4" w:space="0"/>
              <w:bottom w:val="single" w:color="auto" w:sz="4" w:space="0"/>
              <w:right w:val="single" w:color="auto" w:sz="4" w:space="0"/>
            </w:tcBorders>
            <w:shd w:val="clear" w:color="auto" w:fill="auto"/>
            <w:noWrap/>
            <w:vAlign w:val="bottom"/>
          </w:tcPr>
          <w:p w:rsidRPr="003F0783" w:rsidR="00F43E71" w:rsidP="00F43E71" w:rsidRDefault="00F43E71" w14:paraId="7B11788A" w14:textId="77777777">
            <w:pPr>
              <w:rPr>
                <w:rFonts w:eastAsia="Times New Roman"/>
                <w:color w:val="000000"/>
                <w:sz w:val="20"/>
                <w:szCs w:val="20"/>
              </w:rPr>
            </w:pPr>
            <w:r w:rsidRPr="003F0783">
              <w:rPr>
                <w:rFonts w:eastAsia="Times New Roman"/>
                <w:color w:val="000000"/>
                <w:sz w:val="20"/>
                <w:szCs w:val="20"/>
              </w:rPr>
              <w:t>Benefits</w:t>
            </w:r>
          </w:p>
        </w:tc>
        <w:tc>
          <w:tcPr>
            <w:tcW w:w="1536" w:type="dxa"/>
            <w:tcBorders>
              <w:top w:val="nil"/>
              <w:left w:val="nil"/>
              <w:bottom w:val="single" w:color="auto" w:sz="4" w:space="0"/>
              <w:right w:val="single" w:color="auto" w:sz="4" w:space="0"/>
            </w:tcBorders>
            <w:shd w:val="clear" w:color="auto" w:fill="auto"/>
            <w:noWrap/>
          </w:tcPr>
          <w:p w:rsidRPr="003F0783" w:rsidR="00F43E71" w:rsidP="00F43E71" w:rsidRDefault="00F43E71" w14:paraId="684A3A45" w14:textId="77777777">
            <w:pPr>
              <w:jc w:val="right"/>
              <w:rPr>
                <w:rFonts w:eastAsia="Times New Roman"/>
                <w:color w:val="000000"/>
                <w:sz w:val="20"/>
                <w:szCs w:val="20"/>
              </w:rPr>
            </w:pPr>
            <w:r w:rsidRPr="003F0783">
              <w:rPr>
                <w:rFonts w:eastAsia="Times New Roman"/>
                <w:color w:val="000000"/>
                <w:sz w:val="20"/>
                <w:szCs w:val="20"/>
              </w:rPr>
              <w:t>1.6</w:t>
            </w:r>
          </w:p>
        </w:tc>
        <w:tc>
          <w:tcPr>
            <w:tcW w:w="1646" w:type="dxa"/>
            <w:tcBorders>
              <w:top w:val="nil"/>
              <w:left w:val="nil"/>
              <w:bottom w:val="single" w:color="auto" w:sz="4" w:space="0"/>
              <w:right w:val="single" w:color="auto" w:sz="4" w:space="0"/>
            </w:tcBorders>
            <w:shd w:val="clear" w:color="auto" w:fill="auto"/>
            <w:noWrap/>
            <w:vAlign w:val="bottom"/>
          </w:tcPr>
          <w:p w:rsidRPr="003F0783" w:rsidR="00F43E71" w:rsidP="00F43E71" w:rsidRDefault="00F43E71" w14:paraId="02AA57E4" w14:textId="77777777">
            <w:pPr>
              <w:jc w:val="right"/>
              <w:rPr>
                <w:rFonts w:eastAsia="Times New Roman"/>
                <w:color w:val="000000"/>
                <w:sz w:val="20"/>
                <w:szCs w:val="20"/>
              </w:rPr>
            </w:pPr>
          </w:p>
        </w:tc>
      </w:tr>
      <w:tr w:rsidRPr="003F0783" w:rsidR="00F43E71" w:rsidTr="00F43E71" w14:paraId="2E187006" w14:textId="77777777">
        <w:trPr>
          <w:trHeight w:val="23"/>
          <w:jc w:val="center"/>
        </w:trPr>
        <w:tc>
          <w:tcPr>
            <w:tcW w:w="6168" w:type="dxa"/>
            <w:tcBorders>
              <w:top w:val="nil"/>
              <w:left w:val="single" w:color="auto" w:sz="4" w:space="0"/>
              <w:bottom w:val="single" w:color="auto" w:sz="4" w:space="0"/>
              <w:right w:val="single" w:color="auto" w:sz="4" w:space="0"/>
            </w:tcBorders>
            <w:shd w:val="clear" w:color="auto" w:fill="auto"/>
            <w:noWrap/>
            <w:vAlign w:val="bottom"/>
          </w:tcPr>
          <w:p w:rsidRPr="003F0783" w:rsidR="00F43E71" w:rsidP="00F43E71" w:rsidRDefault="00F43E71" w14:paraId="31042E6B" w14:textId="77777777">
            <w:pPr>
              <w:rPr>
                <w:rFonts w:eastAsia="Times New Roman"/>
                <w:color w:val="000000"/>
                <w:sz w:val="20"/>
                <w:szCs w:val="20"/>
              </w:rPr>
            </w:pPr>
            <w:r w:rsidRPr="003F0783">
              <w:rPr>
                <w:rFonts w:eastAsia="Times New Roman"/>
                <w:color w:val="000000"/>
                <w:sz w:val="20"/>
                <w:szCs w:val="20"/>
              </w:rPr>
              <w:t xml:space="preserve">Total cost per FTE </w:t>
            </w:r>
          </w:p>
        </w:tc>
        <w:tc>
          <w:tcPr>
            <w:tcW w:w="1536" w:type="dxa"/>
            <w:tcBorders>
              <w:top w:val="nil"/>
              <w:left w:val="nil"/>
              <w:bottom w:val="single" w:color="auto" w:sz="4" w:space="0"/>
              <w:right w:val="single" w:color="auto" w:sz="4" w:space="0"/>
            </w:tcBorders>
            <w:shd w:val="clear" w:color="auto" w:fill="auto"/>
            <w:noWrap/>
          </w:tcPr>
          <w:p w:rsidRPr="003F0783" w:rsidR="00F43E71" w:rsidP="00F43E71" w:rsidRDefault="00F43E71" w14:paraId="087599EA" w14:textId="77777777">
            <w:pPr>
              <w:jc w:val="right"/>
              <w:rPr>
                <w:rFonts w:eastAsia="Times New Roman"/>
                <w:color w:val="000000"/>
                <w:sz w:val="20"/>
                <w:szCs w:val="20"/>
              </w:rPr>
            </w:pPr>
          </w:p>
        </w:tc>
        <w:tc>
          <w:tcPr>
            <w:tcW w:w="1646" w:type="dxa"/>
            <w:tcBorders>
              <w:top w:val="nil"/>
              <w:left w:val="nil"/>
              <w:bottom w:val="single" w:color="auto" w:sz="4" w:space="0"/>
              <w:right w:val="single" w:color="auto" w:sz="4" w:space="0"/>
            </w:tcBorders>
            <w:shd w:val="clear" w:color="auto" w:fill="auto"/>
            <w:noWrap/>
            <w:vAlign w:val="bottom"/>
          </w:tcPr>
          <w:p w:rsidRPr="003F0783" w:rsidR="00F43E71" w:rsidP="00F43E71" w:rsidRDefault="00F43E71" w14:paraId="229E4DB9" w14:textId="77777777">
            <w:pPr>
              <w:jc w:val="right"/>
              <w:rPr>
                <w:rFonts w:eastAsia="Times New Roman"/>
                <w:color w:val="000000"/>
                <w:sz w:val="20"/>
                <w:szCs w:val="20"/>
              </w:rPr>
            </w:pPr>
            <w:r w:rsidRPr="003F0783">
              <w:rPr>
                <w:rFonts w:eastAsia="Times New Roman"/>
                <w:color w:val="000000"/>
                <w:sz w:val="20"/>
                <w:szCs w:val="20"/>
              </w:rPr>
              <w:t>$176,</w:t>
            </w:r>
            <w:r>
              <w:rPr>
                <w:rFonts w:eastAsia="Times New Roman"/>
                <w:color w:val="000000"/>
                <w:sz w:val="20"/>
                <w:szCs w:val="20"/>
              </w:rPr>
              <w:t>435.30</w:t>
            </w:r>
            <w:r w:rsidRPr="003F0783">
              <w:rPr>
                <w:rFonts w:eastAsia="Times New Roman"/>
                <w:color w:val="000000"/>
                <w:sz w:val="20"/>
                <w:szCs w:val="20"/>
              </w:rPr>
              <w:t xml:space="preserve"> </w:t>
            </w:r>
          </w:p>
        </w:tc>
      </w:tr>
      <w:tr w:rsidRPr="003F0783" w:rsidR="00F43E71" w:rsidTr="00F43E71" w14:paraId="1B3FB45D" w14:textId="77777777">
        <w:trPr>
          <w:trHeight w:val="23"/>
          <w:jc w:val="center"/>
        </w:trPr>
        <w:tc>
          <w:tcPr>
            <w:tcW w:w="6168" w:type="dxa"/>
            <w:tcBorders>
              <w:top w:val="nil"/>
              <w:left w:val="single" w:color="auto" w:sz="4" w:space="0"/>
              <w:bottom w:val="single" w:color="auto" w:sz="4" w:space="0"/>
              <w:right w:val="single" w:color="auto" w:sz="4" w:space="0"/>
            </w:tcBorders>
            <w:shd w:val="clear" w:color="auto" w:fill="auto"/>
            <w:vAlign w:val="bottom"/>
          </w:tcPr>
          <w:p w:rsidRPr="003F0783" w:rsidR="00F43E71" w:rsidP="00F43E71" w:rsidRDefault="00F43E71" w14:paraId="7A8E6A65" w14:textId="77777777">
            <w:pPr>
              <w:rPr>
                <w:rFonts w:eastAsia="Times New Roman"/>
                <w:color w:val="000000"/>
                <w:sz w:val="20"/>
                <w:szCs w:val="20"/>
              </w:rPr>
            </w:pPr>
            <w:r w:rsidRPr="003F0783">
              <w:rPr>
                <w:rFonts w:eastAsia="Times New Roman"/>
                <w:color w:val="000000"/>
                <w:sz w:val="20"/>
                <w:szCs w:val="20"/>
              </w:rPr>
              <w:t>Total hourly cost (total cost per FTE divided by 2,080 hours per year)</w:t>
            </w:r>
          </w:p>
        </w:tc>
        <w:tc>
          <w:tcPr>
            <w:tcW w:w="1536" w:type="dxa"/>
            <w:tcBorders>
              <w:top w:val="nil"/>
              <w:left w:val="nil"/>
              <w:bottom w:val="single" w:color="auto" w:sz="4" w:space="0"/>
              <w:right w:val="single" w:color="auto" w:sz="4" w:space="0"/>
            </w:tcBorders>
            <w:shd w:val="clear" w:color="auto" w:fill="auto"/>
            <w:noWrap/>
          </w:tcPr>
          <w:p w:rsidRPr="003F0783" w:rsidR="00F43E71" w:rsidP="00F43E71" w:rsidRDefault="00F43E71" w14:paraId="4494AB30" w14:textId="77777777">
            <w:pPr>
              <w:jc w:val="right"/>
              <w:rPr>
                <w:rFonts w:eastAsia="Times New Roman"/>
                <w:color w:val="000000"/>
                <w:sz w:val="20"/>
                <w:szCs w:val="20"/>
              </w:rPr>
            </w:pPr>
          </w:p>
        </w:tc>
        <w:tc>
          <w:tcPr>
            <w:tcW w:w="1646" w:type="dxa"/>
            <w:tcBorders>
              <w:top w:val="nil"/>
              <w:left w:val="nil"/>
              <w:bottom w:val="single" w:color="auto" w:sz="4" w:space="0"/>
              <w:right w:val="single" w:color="auto" w:sz="4" w:space="0"/>
            </w:tcBorders>
            <w:shd w:val="clear" w:color="auto" w:fill="auto"/>
            <w:noWrap/>
            <w:vAlign w:val="bottom"/>
          </w:tcPr>
          <w:p w:rsidRPr="003F0783" w:rsidR="00F43E71" w:rsidP="00F43E71" w:rsidRDefault="00F43E71" w14:paraId="16782C14" w14:textId="77777777">
            <w:pPr>
              <w:jc w:val="right"/>
              <w:rPr>
                <w:rFonts w:eastAsia="Times New Roman"/>
                <w:color w:val="000000"/>
                <w:sz w:val="20"/>
                <w:szCs w:val="20"/>
              </w:rPr>
            </w:pPr>
            <w:r w:rsidRPr="003F0783">
              <w:rPr>
                <w:rFonts w:eastAsia="Times New Roman"/>
                <w:color w:val="000000"/>
                <w:sz w:val="20"/>
                <w:szCs w:val="20"/>
              </w:rPr>
              <w:t>$</w:t>
            </w:r>
            <w:r>
              <w:rPr>
                <w:rFonts w:eastAsia="Times New Roman"/>
                <w:color w:val="000000"/>
                <w:sz w:val="20"/>
                <w:szCs w:val="20"/>
              </w:rPr>
              <w:t>84.82</w:t>
            </w:r>
            <w:r w:rsidRPr="003F0783">
              <w:rPr>
                <w:rFonts w:eastAsia="Times New Roman"/>
                <w:color w:val="000000"/>
                <w:sz w:val="20"/>
                <w:szCs w:val="20"/>
              </w:rPr>
              <w:t xml:space="preserve"> </w:t>
            </w:r>
          </w:p>
        </w:tc>
      </w:tr>
    </w:tbl>
    <w:p w:rsidRPr="003F0783" w:rsidR="00F43E71" w:rsidP="00F43E71" w:rsidRDefault="00F43E71" w14:paraId="75F716FE" w14:textId="77777777">
      <w:pPr>
        <w:autoSpaceDE w:val="0"/>
        <w:autoSpaceDN w:val="0"/>
        <w:adjustRightInd w:val="0"/>
        <w:rPr>
          <w:b/>
          <w:bCs/>
          <w:szCs w:val="24"/>
        </w:rPr>
      </w:pPr>
    </w:p>
    <w:p w:rsidRPr="003F0783" w:rsidR="00F43E71" w:rsidP="00F43E71" w:rsidRDefault="00F43E71" w14:paraId="233A0BDB" w14:textId="77777777">
      <w:pPr>
        <w:keepNext/>
        <w:autoSpaceDE w:val="0"/>
        <w:autoSpaceDN w:val="0"/>
        <w:adjustRightInd w:val="0"/>
        <w:ind w:left="360"/>
        <w:rPr>
          <w:b/>
          <w:bCs/>
          <w:szCs w:val="24"/>
        </w:rPr>
      </w:pPr>
      <w:proofErr w:type="gramStart"/>
      <w:r w:rsidRPr="003F0783">
        <w:rPr>
          <w:b/>
          <w:bCs/>
          <w:szCs w:val="24"/>
        </w:rPr>
        <w:t>6.4  Estimating</w:t>
      </w:r>
      <w:proofErr w:type="gramEnd"/>
      <w:r w:rsidRPr="003F0783">
        <w:rPr>
          <w:b/>
          <w:bCs/>
          <w:szCs w:val="24"/>
        </w:rPr>
        <w:t xml:space="preserve"> the Respondent Universe and Total Burden and Costs</w:t>
      </w:r>
    </w:p>
    <w:p w:rsidRPr="003F0783" w:rsidR="00F43E71" w:rsidP="00F43E71" w:rsidRDefault="00F43E71" w14:paraId="04E59486" w14:textId="77777777">
      <w:pPr>
        <w:keepNext/>
        <w:autoSpaceDE w:val="0"/>
        <w:autoSpaceDN w:val="0"/>
        <w:adjustRightInd w:val="0"/>
        <w:rPr>
          <w:b/>
          <w:bCs/>
          <w:szCs w:val="24"/>
        </w:rPr>
      </w:pPr>
    </w:p>
    <w:p w:rsidRPr="00B54A2E" w:rsidR="00F43E71" w:rsidP="00B54A2E" w:rsidRDefault="00F43E71" w14:paraId="2013B6A6" w14:textId="3020F393">
      <w:pPr>
        <w:autoSpaceDE w:val="0"/>
        <w:autoSpaceDN w:val="0"/>
        <w:adjustRightInd w:val="0"/>
        <w:ind w:firstLine="720"/>
      </w:pPr>
      <w:r w:rsidRPr="00B1086D">
        <w:t xml:space="preserve">EPA estimates that there are approximately </w:t>
      </w:r>
      <w:r w:rsidR="00F82EBE">
        <w:t>140</w:t>
      </w:r>
      <w:r w:rsidRPr="00B1086D">
        <w:t xml:space="preserve"> industry respondents potentially subject to one or more of the information collections covered by this ICR. The industry respondents consist of </w:t>
      </w:r>
      <w:r w:rsidR="0094570F">
        <w:t>140</w:t>
      </w:r>
      <w:r w:rsidRPr="00B1086D">
        <w:t xml:space="preserve"> source facilities with </w:t>
      </w:r>
      <w:r w:rsidR="006047A1">
        <w:t>350</w:t>
      </w:r>
      <w:r w:rsidRPr="00B1086D">
        <w:t xml:space="preserve"> units </w:t>
      </w:r>
      <w:r w:rsidRPr="00B1086D" w:rsidR="00490672">
        <w:t xml:space="preserve">newly </w:t>
      </w:r>
      <w:r w:rsidRPr="00B1086D">
        <w:t xml:space="preserve">subject to </w:t>
      </w:r>
      <w:r w:rsidRPr="00B1086D" w:rsidR="00490672">
        <w:t xml:space="preserve">the CSAPR </w:t>
      </w:r>
      <w:r w:rsidRPr="003F64AA" w:rsidR="00F26FE4">
        <w:rPr>
          <w:szCs w:val="24"/>
        </w:rPr>
        <w:t>NO</w:t>
      </w:r>
      <w:r w:rsidRPr="003F64AA" w:rsidR="00F26FE4">
        <w:rPr>
          <w:szCs w:val="24"/>
          <w:vertAlign w:val="subscript"/>
        </w:rPr>
        <w:t>X</w:t>
      </w:r>
      <w:r w:rsidRPr="00B1086D" w:rsidR="00490672">
        <w:t xml:space="preserve"> Ozone Season Group 3 program</w:t>
      </w:r>
      <w:r w:rsidRPr="00B1086D">
        <w:t>, including sources and units that are also subject to the ARP</w:t>
      </w:r>
      <w:r w:rsidRPr="00B1086D" w:rsidR="00490672">
        <w:t>.</w:t>
      </w:r>
      <w:r>
        <w:t xml:space="preserve"> This </w:t>
      </w:r>
      <w:r w:rsidR="00B535DB">
        <w:t>ICR</w:t>
      </w:r>
      <w:r w:rsidR="00490672">
        <w:t xml:space="preserve"> </w:t>
      </w:r>
      <w:r>
        <w:t>includes estimated allowance-related burden and costs for industry respondents</w:t>
      </w:r>
      <w:r w:rsidR="00490672">
        <w:t xml:space="preserve"> not currently accounted for under the ARP or CSAPR ICRs</w:t>
      </w:r>
      <w:r>
        <w:t xml:space="preserve">. EPA believes that </w:t>
      </w:r>
      <w:r w:rsidR="00A97222">
        <w:t xml:space="preserve">most of </w:t>
      </w:r>
      <w:r>
        <w:t xml:space="preserve">the emissions-related information collection burden and costs for sources and units </w:t>
      </w:r>
      <w:r w:rsidR="008A1EC4">
        <w:t>already</w:t>
      </w:r>
      <w:r>
        <w:t xml:space="preserve"> subject to the </w:t>
      </w:r>
      <w:r w:rsidR="00EB64EF">
        <w:t xml:space="preserve">monitoring and reporting requirements are </w:t>
      </w:r>
      <w:r>
        <w:t>fully accounted for in the ARP</w:t>
      </w:r>
      <w:r w:rsidR="00EB64EF">
        <w:t xml:space="preserve">, </w:t>
      </w:r>
      <w:r w:rsidRPr="003F64AA" w:rsidR="00F26FE4">
        <w:rPr>
          <w:szCs w:val="24"/>
        </w:rPr>
        <w:t>NO</w:t>
      </w:r>
      <w:r w:rsidRPr="003F64AA" w:rsidR="00F26FE4">
        <w:rPr>
          <w:szCs w:val="24"/>
          <w:vertAlign w:val="subscript"/>
        </w:rPr>
        <w:t>X</w:t>
      </w:r>
      <w:r w:rsidR="00EB64EF">
        <w:t xml:space="preserve"> SIP Call, </w:t>
      </w:r>
      <w:r w:rsidR="00233B8C">
        <w:t>or</w:t>
      </w:r>
      <w:r w:rsidR="00EB64EF">
        <w:t xml:space="preserve"> CSAPR</w:t>
      </w:r>
      <w:r>
        <w:t xml:space="preserve"> ICR</w:t>
      </w:r>
      <w:r w:rsidR="00EB64EF">
        <w:t>s</w:t>
      </w:r>
      <w:r>
        <w:t xml:space="preserve"> (OMB Control Number</w:t>
      </w:r>
      <w:r w:rsidR="00585691">
        <w:t>s</w:t>
      </w:r>
      <w:r>
        <w:t xml:space="preserve"> 2060-0258</w:t>
      </w:r>
      <w:r w:rsidR="00585691">
        <w:t xml:space="preserve">, </w:t>
      </w:r>
      <w:r w:rsidR="00074304">
        <w:t>2060-0445, 2060-</w:t>
      </w:r>
      <w:r w:rsidR="00F32FA6">
        <w:t>0667</w:t>
      </w:r>
      <w:r>
        <w:t xml:space="preserve">). Accordingly, this </w:t>
      </w:r>
      <w:r w:rsidR="00B535DB">
        <w:t>ICR</w:t>
      </w:r>
      <w:r w:rsidR="00490672">
        <w:t xml:space="preserve"> </w:t>
      </w:r>
      <w:r>
        <w:t xml:space="preserve">includes estimated emissions-related burden and costs for sources that are not </w:t>
      </w:r>
      <w:r w:rsidR="00490672">
        <w:t xml:space="preserve">currently </w:t>
      </w:r>
      <w:r>
        <w:t xml:space="preserve">subject to the </w:t>
      </w:r>
      <w:r w:rsidR="00490672">
        <w:t xml:space="preserve">Part 75 monitoring and reporting requirements under the </w:t>
      </w:r>
      <w:r>
        <w:t>ARP</w:t>
      </w:r>
      <w:r w:rsidR="00726DD8">
        <w:t xml:space="preserve">, </w:t>
      </w:r>
      <w:r w:rsidRPr="003F64AA" w:rsidR="00F26FE4">
        <w:rPr>
          <w:szCs w:val="24"/>
        </w:rPr>
        <w:t>NO</w:t>
      </w:r>
      <w:r w:rsidRPr="003F64AA" w:rsidR="00F26FE4">
        <w:rPr>
          <w:szCs w:val="24"/>
          <w:vertAlign w:val="subscript"/>
        </w:rPr>
        <w:t>X</w:t>
      </w:r>
      <w:r w:rsidR="00726DD8">
        <w:t xml:space="preserve"> SIP Call,</w:t>
      </w:r>
      <w:r w:rsidR="00490672">
        <w:t xml:space="preserve"> or CSAPR programs</w:t>
      </w:r>
      <w:r w:rsidR="00AC23F4">
        <w:t xml:space="preserve"> and sources which need to </w:t>
      </w:r>
      <w:r w:rsidR="004277B2">
        <w:t>make one-time DAHS upgrades due to altered reporting requirements</w:t>
      </w:r>
      <w:r>
        <w:t xml:space="preserve">. EPA estimates that there are approximately </w:t>
      </w:r>
      <w:r w:rsidR="00887FC0">
        <w:t>6</w:t>
      </w:r>
      <w:r>
        <w:t xml:space="preserve"> sources with </w:t>
      </w:r>
      <w:r w:rsidR="00490672">
        <w:t>16</w:t>
      </w:r>
      <w:r>
        <w:t xml:space="preserve"> units </w:t>
      </w:r>
      <w:r w:rsidR="00490672">
        <w:t xml:space="preserve">newly </w:t>
      </w:r>
      <w:r>
        <w:t xml:space="preserve">subject to emissions-related information collection requirements </w:t>
      </w:r>
      <w:r w:rsidR="007B3D94">
        <w:t xml:space="preserve">and </w:t>
      </w:r>
      <w:r w:rsidR="00FC0686">
        <w:t>1</w:t>
      </w:r>
      <w:r w:rsidR="003B7C40">
        <w:t>82</w:t>
      </w:r>
      <w:r w:rsidR="00FC0686">
        <w:t xml:space="preserve"> sources </w:t>
      </w:r>
      <w:r w:rsidR="00D67168">
        <w:t xml:space="preserve">with </w:t>
      </w:r>
      <w:r w:rsidR="002F3511">
        <w:t>449</w:t>
      </w:r>
      <w:r w:rsidR="00D67168">
        <w:t xml:space="preserve"> </w:t>
      </w:r>
      <w:r w:rsidR="005A6872">
        <w:t>units that will need one-time upgrades</w:t>
      </w:r>
      <w:r w:rsidR="008F7671">
        <w:t>.</w:t>
      </w:r>
      <w:r>
        <w:t xml:space="preserve"> Table 2 provides estimates of</w:t>
      </w:r>
      <w:r w:rsidR="00215D18">
        <w:t xml:space="preserve"> annual</w:t>
      </w:r>
      <w:r>
        <w:t xml:space="preserve"> industry respondent burden and costs</w:t>
      </w:r>
      <w:r w:rsidR="00F5750E">
        <w:t>.</w:t>
      </w:r>
      <w:r w:rsidR="000420C7">
        <w:t xml:space="preserve"> Estimates</w:t>
      </w:r>
      <w:r w:rsidRPr="003F0783">
        <w:rPr>
          <w:szCs w:val="24"/>
        </w:rPr>
        <w:t xml:space="preserve"> of the Agency’s burden and costs are provided in Table </w:t>
      </w:r>
      <w:r w:rsidR="00354532">
        <w:rPr>
          <w:szCs w:val="24"/>
        </w:rPr>
        <w:t>3</w:t>
      </w:r>
      <w:r w:rsidRPr="003F0783">
        <w:rPr>
          <w:szCs w:val="24"/>
        </w:rPr>
        <w:t>.</w:t>
      </w:r>
    </w:p>
    <w:p w:rsidRPr="003F0783" w:rsidR="00F43E71" w:rsidP="00F43E71" w:rsidRDefault="00F43E71" w14:paraId="2F52AF4F" w14:textId="77777777">
      <w:pPr>
        <w:autoSpaceDE w:val="0"/>
        <w:autoSpaceDN w:val="0"/>
        <w:adjustRightInd w:val="0"/>
        <w:ind w:left="360" w:hanging="180"/>
        <w:rPr>
          <w:b/>
          <w:bCs/>
          <w:szCs w:val="24"/>
        </w:rPr>
      </w:pPr>
    </w:p>
    <w:p w:rsidRPr="003F0783" w:rsidR="00F43E71" w:rsidP="00F43E71" w:rsidRDefault="00F43E71" w14:paraId="121C3B99" w14:textId="77777777">
      <w:pPr>
        <w:autoSpaceDE w:val="0"/>
        <w:autoSpaceDN w:val="0"/>
        <w:adjustRightInd w:val="0"/>
        <w:jc w:val="center"/>
        <w:rPr>
          <w:b/>
          <w:bCs/>
          <w:szCs w:val="24"/>
        </w:rPr>
        <w:sectPr w:rsidRPr="003F0783" w:rsidR="00F43E71" w:rsidSect="00F43E71">
          <w:footerReference w:type="even" r:id="rId12"/>
          <w:footerReference w:type="default" r:id="rId13"/>
          <w:headerReference w:type="first" r:id="rId14"/>
          <w:pgSz w:w="12240" w:h="15840" w:code="1"/>
          <w:pgMar w:top="720" w:right="1440" w:bottom="1440" w:left="1440" w:header="720" w:footer="720" w:gutter="0"/>
          <w:cols w:space="720"/>
          <w:titlePg/>
          <w:docGrid w:linePitch="360"/>
        </w:sectPr>
      </w:pPr>
    </w:p>
    <w:p w:rsidRPr="003F0783" w:rsidR="00F43E71" w:rsidP="00F43E71" w:rsidRDefault="00F43E71" w14:paraId="58B09DD0" w14:textId="2564F50D">
      <w:pPr>
        <w:autoSpaceDE w:val="0"/>
        <w:autoSpaceDN w:val="0"/>
        <w:adjustRightInd w:val="0"/>
        <w:jc w:val="center"/>
        <w:rPr>
          <w:b/>
          <w:bCs/>
          <w:szCs w:val="24"/>
        </w:rPr>
      </w:pPr>
      <w:r w:rsidRPr="00B1086D">
        <w:rPr>
          <w:b/>
          <w:color w:val="0F0F0F"/>
        </w:rPr>
        <w:lastRenderedPageBreak/>
        <w:t>Table 2:  Annual Industry Respondent Burden and Cost by Activity</w:t>
      </w:r>
    </w:p>
    <w:tbl>
      <w:tblPr>
        <w:tblW w:w="14045" w:type="dxa"/>
        <w:jc w:val="center"/>
        <w:tblLayout w:type="fixed"/>
        <w:tblCellMar>
          <w:top w:w="72" w:type="dxa"/>
          <w:left w:w="72" w:type="dxa"/>
          <w:bottom w:w="72" w:type="dxa"/>
          <w:right w:w="72" w:type="dxa"/>
        </w:tblCellMar>
        <w:tblLook w:val="04A0" w:firstRow="1" w:lastRow="0" w:firstColumn="1" w:lastColumn="0" w:noHBand="0" w:noVBand="1"/>
      </w:tblPr>
      <w:tblGrid>
        <w:gridCol w:w="1085"/>
        <w:gridCol w:w="3050"/>
        <w:gridCol w:w="980"/>
        <w:gridCol w:w="981"/>
        <w:gridCol w:w="980"/>
        <w:gridCol w:w="981"/>
        <w:gridCol w:w="980"/>
        <w:gridCol w:w="981"/>
        <w:gridCol w:w="867"/>
        <w:gridCol w:w="990"/>
        <w:gridCol w:w="1170"/>
        <w:gridCol w:w="1000"/>
      </w:tblGrid>
      <w:tr w:rsidRPr="003F0783" w:rsidR="002D14BB" w:rsidTr="7EDF893D" w14:paraId="28235B0E" w14:textId="77777777">
        <w:trPr>
          <w:cantSplit/>
          <w:trHeight w:val="1394"/>
          <w:jc w:val="center"/>
        </w:trPr>
        <w:tc>
          <w:tcPr>
            <w:tcW w:w="4135" w:type="dxa"/>
            <w:gridSpan w:val="2"/>
            <w:tcBorders>
              <w:top w:val="single" w:color="auto" w:sz="4" w:space="0"/>
              <w:left w:val="single" w:color="auto" w:sz="4" w:space="0"/>
              <w:bottom w:val="single" w:color="auto" w:sz="4" w:space="0"/>
              <w:right w:val="single" w:color="auto" w:sz="4" w:space="0"/>
            </w:tcBorders>
            <w:shd w:val="clear" w:color="auto" w:fill="auto"/>
            <w:vAlign w:val="bottom"/>
          </w:tcPr>
          <w:p w:rsidRPr="003F0783" w:rsidR="002D14BB" w:rsidP="00F43E71" w:rsidRDefault="002D14BB" w14:paraId="0AA327CE" w14:textId="77777777">
            <w:pPr>
              <w:jc w:val="center"/>
              <w:rPr>
                <w:b/>
                <w:bCs/>
                <w:sz w:val="22"/>
              </w:rPr>
            </w:pPr>
          </w:p>
        </w:tc>
        <w:tc>
          <w:tcPr>
            <w:tcW w:w="980" w:type="dxa"/>
            <w:tcBorders>
              <w:top w:val="single" w:color="auto" w:sz="4" w:space="0"/>
              <w:left w:val="nil"/>
              <w:bottom w:val="single" w:color="auto" w:sz="4" w:space="0"/>
              <w:right w:val="single" w:color="auto" w:sz="4" w:space="0"/>
            </w:tcBorders>
            <w:shd w:val="clear" w:color="auto" w:fill="auto"/>
            <w:textDirection w:val="btLr"/>
            <w:vAlign w:val="center"/>
          </w:tcPr>
          <w:p w:rsidRPr="003F0783" w:rsidR="002D14BB" w:rsidP="00F43E71" w:rsidRDefault="002D14BB" w14:paraId="303ACB40" w14:textId="7E5D70C2">
            <w:pPr>
              <w:jc w:val="center"/>
              <w:rPr>
                <w:b/>
                <w:bCs/>
                <w:sz w:val="20"/>
                <w:szCs w:val="20"/>
              </w:rPr>
            </w:pPr>
            <w:r w:rsidRPr="003F0783">
              <w:rPr>
                <w:b/>
                <w:bCs/>
                <w:sz w:val="20"/>
                <w:szCs w:val="20"/>
              </w:rPr>
              <w:t>Manager $</w:t>
            </w:r>
            <w:r>
              <w:rPr>
                <w:b/>
                <w:bCs/>
                <w:sz w:val="20"/>
                <w:szCs w:val="20"/>
              </w:rPr>
              <w:t>108.89</w:t>
            </w:r>
            <w:r w:rsidRPr="003F0783">
              <w:rPr>
                <w:b/>
                <w:bCs/>
                <w:sz w:val="20"/>
                <w:szCs w:val="20"/>
              </w:rPr>
              <w:t xml:space="preserve"> per hour</w:t>
            </w:r>
          </w:p>
        </w:tc>
        <w:tc>
          <w:tcPr>
            <w:tcW w:w="981" w:type="dxa"/>
            <w:tcBorders>
              <w:top w:val="single" w:color="auto" w:sz="4" w:space="0"/>
              <w:left w:val="nil"/>
              <w:bottom w:val="single" w:color="auto" w:sz="4" w:space="0"/>
              <w:right w:val="single" w:color="auto" w:sz="4" w:space="0"/>
            </w:tcBorders>
            <w:shd w:val="clear" w:color="auto" w:fill="auto"/>
            <w:textDirection w:val="btLr"/>
            <w:vAlign w:val="center"/>
          </w:tcPr>
          <w:p w:rsidRPr="003F0783" w:rsidR="002D14BB" w:rsidP="00F43E71" w:rsidRDefault="002D14BB" w14:paraId="5A941FAE" w14:textId="77777777">
            <w:pPr>
              <w:jc w:val="center"/>
              <w:rPr>
                <w:b/>
                <w:bCs/>
                <w:sz w:val="20"/>
                <w:szCs w:val="20"/>
              </w:rPr>
            </w:pPr>
            <w:r w:rsidRPr="003F0783">
              <w:rPr>
                <w:b/>
                <w:bCs/>
                <w:sz w:val="20"/>
                <w:szCs w:val="20"/>
              </w:rPr>
              <w:t>Technician   $</w:t>
            </w:r>
            <w:r>
              <w:rPr>
                <w:b/>
                <w:bCs/>
                <w:sz w:val="20"/>
                <w:szCs w:val="20"/>
              </w:rPr>
              <w:t>77.15</w:t>
            </w:r>
            <w:r w:rsidRPr="003F0783">
              <w:rPr>
                <w:b/>
                <w:bCs/>
                <w:sz w:val="20"/>
                <w:szCs w:val="20"/>
              </w:rPr>
              <w:t xml:space="preserve"> per hour</w:t>
            </w:r>
          </w:p>
        </w:tc>
        <w:tc>
          <w:tcPr>
            <w:tcW w:w="980" w:type="dxa"/>
            <w:tcBorders>
              <w:top w:val="single" w:color="auto" w:sz="4" w:space="0"/>
              <w:left w:val="nil"/>
              <w:bottom w:val="single" w:color="auto" w:sz="4" w:space="0"/>
              <w:right w:val="single" w:color="auto" w:sz="4" w:space="0"/>
            </w:tcBorders>
            <w:shd w:val="clear" w:color="auto" w:fill="auto"/>
            <w:textDirection w:val="btLr"/>
            <w:vAlign w:val="center"/>
          </w:tcPr>
          <w:p w:rsidRPr="003F0783" w:rsidR="002D14BB" w:rsidP="00F43E71" w:rsidRDefault="002D14BB" w14:paraId="7F903059" w14:textId="77777777">
            <w:pPr>
              <w:jc w:val="center"/>
              <w:rPr>
                <w:b/>
                <w:bCs/>
                <w:sz w:val="20"/>
                <w:szCs w:val="20"/>
              </w:rPr>
            </w:pPr>
            <w:r w:rsidRPr="003F0783">
              <w:rPr>
                <w:b/>
                <w:bCs/>
                <w:sz w:val="20"/>
                <w:szCs w:val="20"/>
              </w:rPr>
              <w:t>Respondent hours per year</w:t>
            </w:r>
          </w:p>
        </w:tc>
        <w:tc>
          <w:tcPr>
            <w:tcW w:w="981" w:type="dxa"/>
            <w:tcBorders>
              <w:top w:val="single" w:color="auto" w:sz="4" w:space="0"/>
              <w:left w:val="nil"/>
              <w:bottom w:val="single" w:color="auto" w:sz="4" w:space="0"/>
              <w:right w:val="single" w:color="auto" w:sz="4" w:space="0"/>
            </w:tcBorders>
            <w:shd w:val="clear" w:color="auto" w:fill="auto"/>
            <w:textDirection w:val="btLr"/>
            <w:vAlign w:val="center"/>
          </w:tcPr>
          <w:p w:rsidRPr="003F0783" w:rsidR="002D14BB" w:rsidP="00F43E71" w:rsidRDefault="002D14BB" w14:paraId="599BB3E0" w14:textId="1443F007">
            <w:pPr>
              <w:jc w:val="center"/>
              <w:rPr>
                <w:b/>
                <w:bCs/>
                <w:sz w:val="20"/>
                <w:szCs w:val="20"/>
              </w:rPr>
            </w:pPr>
            <w:r w:rsidRPr="003F0783">
              <w:rPr>
                <w:b/>
                <w:bCs/>
                <w:sz w:val="20"/>
                <w:szCs w:val="20"/>
              </w:rPr>
              <w:t>Respondent labor cost per year</w:t>
            </w:r>
          </w:p>
        </w:tc>
        <w:tc>
          <w:tcPr>
            <w:tcW w:w="980" w:type="dxa"/>
            <w:tcBorders>
              <w:top w:val="single" w:color="auto" w:sz="4" w:space="0"/>
              <w:left w:val="nil"/>
              <w:bottom w:val="single" w:color="auto" w:sz="4" w:space="0"/>
              <w:right w:val="single" w:color="auto" w:sz="4" w:space="0"/>
            </w:tcBorders>
            <w:shd w:val="clear" w:color="auto" w:fill="auto"/>
            <w:textDirection w:val="btLr"/>
            <w:vAlign w:val="center"/>
          </w:tcPr>
          <w:p w:rsidRPr="003F0783" w:rsidR="002D14BB" w:rsidP="00F43E71" w:rsidRDefault="002D14BB" w14:paraId="455087CB" w14:textId="77777777">
            <w:pPr>
              <w:jc w:val="center"/>
              <w:rPr>
                <w:b/>
                <w:bCs/>
                <w:sz w:val="20"/>
                <w:szCs w:val="20"/>
              </w:rPr>
            </w:pPr>
            <w:r w:rsidRPr="003F0783">
              <w:rPr>
                <w:b/>
                <w:bCs/>
                <w:sz w:val="20"/>
                <w:szCs w:val="20"/>
              </w:rPr>
              <w:t>Cont. O&amp;M cost per year</w:t>
            </w:r>
          </w:p>
        </w:tc>
        <w:tc>
          <w:tcPr>
            <w:tcW w:w="981" w:type="dxa"/>
            <w:tcBorders>
              <w:top w:val="single" w:color="auto" w:sz="4" w:space="0"/>
              <w:left w:val="nil"/>
              <w:bottom w:val="single" w:color="auto" w:sz="4" w:space="0"/>
              <w:right w:val="single" w:color="auto" w:sz="4" w:space="0"/>
            </w:tcBorders>
            <w:shd w:val="clear" w:color="auto" w:fill="auto"/>
            <w:textDirection w:val="btLr"/>
            <w:vAlign w:val="center"/>
          </w:tcPr>
          <w:p w:rsidRPr="003F0783" w:rsidR="002D14BB" w:rsidP="00F43E71" w:rsidRDefault="002D14BB" w14:paraId="3D765468" w14:textId="77777777">
            <w:pPr>
              <w:jc w:val="center"/>
              <w:rPr>
                <w:b/>
                <w:bCs/>
                <w:sz w:val="20"/>
                <w:szCs w:val="20"/>
              </w:rPr>
            </w:pPr>
            <w:r w:rsidRPr="003F0783">
              <w:rPr>
                <w:b/>
                <w:bCs/>
                <w:sz w:val="20"/>
                <w:szCs w:val="20"/>
              </w:rPr>
              <w:t>Start-up / capital cost per year</w:t>
            </w:r>
          </w:p>
        </w:tc>
        <w:tc>
          <w:tcPr>
            <w:tcW w:w="867" w:type="dxa"/>
            <w:tcBorders>
              <w:top w:val="single" w:color="auto" w:sz="4" w:space="0"/>
              <w:left w:val="nil"/>
              <w:bottom w:val="single" w:color="auto" w:sz="4" w:space="0"/>
              <w:right w:val="single" w:color="auto" w:sz="4" w:space="0"/>
            </w:tcBorders>
            <w:shd w:val="clear" w:color="auto" w:fill="auto"/>
            <w:textDirection w:val="btLr"/>
            <w:vAlign w:val="center"/>
          </w:tcPr>
          <w:p w:rsidRPr="003F0783" w:rsidR="002D14BB" w:rsidP="00F43E71" w:rsidRDefault="002D14BB" w14:paraId="7F90F591" w14:textId="77777777">
            <w:pPr>
              <w:jc w:val="center"/>
              <w:rPr>
                <w:b/>
                <w:bCs/>
                <w:sz w:val="20"/>
                <w:szCs w:val="20"/>
              </w:rPr>
            </w:pPr>
            <w:r w:rsidRPr="003F0783">
              <w:rPr>
                <w:b/>
                <w:bCs/>
                <w:sz w:val="20"/>
                <w:szCs w:val="20"/>
              </w:rPr>
              <w:t>Number of respondents / transactions</w:t>
            </w:r>
          </w:p>
        </w:tc>
        <w:tc>
          <w:tcPr>
            <w:tcW w:w="990" w:type="dxa"/>
            <w:tcBorders>
              <w:top w:val="single" w:color="auto" w:sz="4" w:space="0"/>
              <w:left w:val="nil"/>
              <w:bottom w:val="single" w:color="auto" w:sz="4" w:space="0"/>
              <w:right w:val="single" w:color="auto" w:sz="4" w:space="0"/>
            </w:tcBorders>
            <w:shd w:val="clear" w:color="auto" w:fill="auto"/>
            <w:textDirection w:val="btLr"/>
            <w:vAlign w:val="center"/>
          </w:tcPr>
          <w:p w:rsidRPr="003F0783" w:rsidR="002D14BB" w:rsidP="00F43E71" w:rsidRDefault="002D14BB" w14:paraId="7729A911" w14:textId="77777777">
            <w:pPr>
              <w:jc w:val="center"/>
              <w:rPr>
                <w:b/>
                <w:bCs/>
                <w:sz w:val="20"/>
                <w:szCs w:val="20"/>
              </w:rPr>
            </w:pPr>
            <w:r w:rsidRPr="003F0783">
              <w:rPr>
                <w:b/>
                <w:bCs/>
                <w:sz w:val="20"/>
                <w:szCs w:val="20"/>
              </w:rPr>
              <w:t>Total hours per year</w:t>
            </w:r>
          </w:p>
        </w:tc>
        <w:tc>
          <w:tcPr>
            <w:tcW w:w="1170" w:type="dxa"/>
            <w:tcBorders>
              <w:top w:val="single" w:color="auto" w:sz="4" w:space="0"/>
              <w:left w:val="nil"/>
              <w:bottom w:val="single" w:color="auto" w:sz="4" w:space="0"/>
              <w:right w:val="single" w:color="auto" w:sz="4" w:space="0"/>
            </w:tcBorders>
            <w:shd w:val="clear" w:color="auto" w:fill="auto"/>
            <w:textDirection w:val="btLr"/>
            <w:vAlign w:val="center"/>
          </w:tcPr>
          <w:p w:rsidRPr="003F0783" w:rsidR="002D14BB" w:rsidP="00F43E71" w:rsidRDefault="002D14BB" w14:paraId="479BD8FD" w14:textId="10D20420">
            <w:pPr>
              <w:jc w:val="center"/>
              <w:rPr>
                <w:b/>
                <w:bCs/>
                <w:sz w:val="20"/>
                <w:szCs w:val="20"/>
              </w:rPr>
            </w:pPr>
            <w:r>
              <w:rPr>
                <w:b/>
                <w:bCs/>
                <w:sz w:val="20"/>
                <w:szCs w:val="20"/>
              </w:rPr>
              <w:t xml:space="preserve">Total </w:t>
            </w:r>
            <w:r w:rsidR="00F25561">
              <w:rPr>
                <w:b/>
                <w:bCs/>
                <w:sz w:val="20"/>
                <w:szCs w:val="20"/>
              </w:rPr>
              <w:t>Capital and O&amp;M costs</w:t>
            </w:r>
          </w:p>
        </w:tc>
        <w:tc>
          <w:tcPr>
            <w:tcW w:w="1000" w:type="dxa"/>
            <w:tcBorders>
              <w:top w:val="single" w:color="auto" w:sz="4" w:space="0"/>
              <w:left w:val="single" w:color="auto" w:sz="4" w:space="0"/>
              <w:bottom w:val="single" w:color="auto" w:sz="4" w:space="0"/>
              <w:right w:val="single" w:color="auto" w:sz="4" w:space="0"/>
            </w:tcBorders>
            <w:shd w:val="clear" w:color="auto" w:fill="auto"/>
            <w:textDirection w:val="btLr"/>
            <w:vAlign w:val="center"/>
          </w:tcPr>
          <w:p w:rsidRPr="003F0783" w:rsidR="002D14BB" w:rsidP="00F43E71" w:rsidRDefault="002D14BB" w14:paraId="1447F8E0" w14:textId="1005BFCD">
            <w:pPr>
              <w:jc w:val="center"/>
              <w:rPr>
                <w:b/>
                <w:bCs/>
                <w:sz w:val="20"/>
                <w:szCs w:val="20"/>
              </w:rPr>
            </w:pPr>
            <w:r w:rsidRPr="003F0783">
              <w:rPr>
                <w:b/>
                <w:bCs/>
                <w:sz w:val="20"/>
                <w:szCs w:val="20"/>
              </w:rPr>
              <w:t>Total cost per year</w:t>
            </w:r>
          </w:p>
        </w:tc>
      </w:tr>
      <w:tr w:rsidRPr="003F0783" w:rsidR="002D14BB" w:rsidTr="002D14BB" w14:paraId="273178AA" w14:textId="77777777">
        <w:trPr>
          <w:trHeight w:val="255"/>
          <w:jc w:val="center"/>
        </w:trPr>
        <w:tc>
          <w:tcPr>
            <w:tcW w:w="1085" w:type="dxa"/>
            <w:tcBorders>
              <w:top w:val="nil"/>
              <w:left w:val="single" w:color="auto" w:sz="4" w:space="0"/>
              <w:bottom w:val="single" w:color="auto" w:sz="4" w:space="0"/>
              <w:right w:val="single" w:color="auto" w:sz="4" w:space="0"/>
            </w:tcBorders>
            <w:shd w:val="clear" w:color="auto" w:fill="D9D9D9" w:themeFill="background1" w:themeFillShade="D9"/>
          </w:tcPr>
          <w:p w:rsidRPr="003F0783" w:rsidR="002D14BB" w:rsidP="00F43E71" w:rsidRDefault="002D14BB" w14:paraId="5EDCC3AE" w14:textId="77777777">
            <w:pPr>
              <w:jc w:val="center"/>
              <w:rPr>
                <w:b/>
                <w:bCs/>
                <w:sz w:val="20"/>
                <w:szCs w:val="20"/>
              </w:rPr>
            </w:pPr>
          </w:p>
        </w:tc>
        <w:tc>
          <w:tcPr>
            <w:tcW w:w="12960" w:type="dxa"/>
            <w:gridSpan w:val="11"/>
            <w:tcBorders>
              <w:top w:val="nil"/>
              <w:left w:val="single" w:color="auto" w:sz="4" w:space="0"/>
              <w:bottom w:val="single" w:color="auto" w:sz="4" w:space="0"/>
              <w:right w:val="single" w:color="auto" w:sz="4" w:space="0"/>
            </w:tcBorders>
            <w:shd w:val="clear" w:color="auto" w:fill="D9D9D9" w:themeFill="background1" w:themeFillShade="D9"/>
            <w:vAlign w:val="center"/>
          </w:tcPr>
          <w:p w:rsidRPr="003F0783" w:rsidR="002D14BB" w:rsidP="00F43E71" w:rsidRDefault="002D14BB" w14:paraId="6F68EBF8" w14:textId="26211985">
            <w:pPr>
              <w:jc w:val="center"/>
              <w:rPr>
                <w:rFonts w:eastAsia="Times New Roman"/>
                <w:color w:val="000000"/>
                <w:sz w:val="20"/>
                <w:szCs w:val="20"/>
              </w:rPr>
            </w:pPr>
            <w:r w:rsidRPr="003F0783">
              <w:rPr>
                <w:b/>
                <w:bCs/>
                <w:sz w:val="20"/>
                <w:szCs w:val="20"/>
              </w:rPr>
              <w:t>Registration-related burden and costs</w:t>
            </w:r>
          </w:p>
        </w:tc>
      </w:tr>
      <w:tr w:rsidRPr="003F0783" w:rsidR="002D14BB" w:rsidTr="00F25561" w14:paraId="67369C4B" w14:textId="77777777">
        <w:trPr>
          <w:trHeight w:val="255"/>
          <w:jc w:val="center"/>
        </w:trPr>
        <w:tc>
          <w:tcPr>
            <w:tcW w:w="4135" w:type="dxa"/>
            <w:gridSpan w:val="2"/>
            <w:tcBorders>
              <w:top w:val="nil"/>
              <w:left w:val="single" w:color="auto" w:sz="4" w:space="0"/>
              <w:bottom w:val="single" w:color="auto" w:sz="4" w:space="0"/>
              <w:right w:val="single" w:color="auto" w:sz="4" w:space="0"/>
            </w:tcBorders>
            <w:shd w:val="clear" w:color="auto" w:fill="auto"/>
          </w:tcPr>
          <w:p w:rsidRPr="003F0783" w:rsidR="002D14BB" w:rsidP="00F43E71" w:rsidRDefault="002D14BB" w14:paraId="2FEED711" w14:textId="6486613F">
            <w:pPr>
              <w:rPr>
                <w:sz w:val="20"/>
                <w:szCs w:val="20"/>
              </w:rPr>
            </w:pPr>
            <w:r w:rsidRPr="003F0783">
              <w:rPr>
                <w:sz w:val="20"/>
                <w:szCs w:val="20"/>
              </w:rPr>
              <w:t>Certificate of representation</w:t>
            </w:r>
          </w:p>
        </w:tc>
        <w:tc>
          <w:tcPr>
            <w:tcW w:w="980" w:type="dxa"/>
            <w:tcBorders>
              <w:top w:val="nil"/>
              <w:left w:val="nil"/>
              <w:bottom w:val="single" w:color="auto" w:sz="4" w:space="0"/>
              <w:right w:val="single" w:color="auto" w:sz="4" w:space="0"/>
            </w:tcBorders>
            <w:shd w:val="clear" w:color="auto" w:fill="auto"/>
            <w:vAlign w:val="bottom"/>
          </w:tcPr>
          <w:p w:rsidRPr="003F0783" w:rsidR="002D14BB" w:rsidP="00F43E71" w:rsidRDefault="002D14BB" w14:paraId="78BD81B0" w14:textId="6D62D71C">
            <w:pPr>
              <w:jc w:val="right"/>
              <w:rPr>
                <w:rFonts w:eastAsia="Times New Roman"/>
                <w:color w:val="000000"/>
                <w:sz w:val="20"/>
                <w:szCs w:val="20"/>
              </w:rPr>
            </w:pPr>
            <w:r>
              <w:rPr>
                <w:rFonts w:eastAsia="Times New Roman"/>
                <w:color w:val="000000"/>
                <w:sz w:val="20"/>
                <w:szCs w:val="20"/>
              </w:rPr>
              <w:t>2</w:t>
            </w:r>
          </w:p>
        </w:tc>
        <w:tc>
          <w:tcPr>
            <w:tcW w:w="981" w:type="dxa"/>
            <w:tcBorders>
              <w:top w:val="nil"/>
              <w:left w:val="nil"/>
              <w:bottom w:val="single" w:color="auto" w:sz="4" w:space="0"/>
              <w:right w:val="single" w:color="auto" w:sz="4" w:space="0"/>
            </w:tcBorders>
            <w:shd w:val="clear" w:color="auto" w:fill="auto"/>
            <w:vAlign w:val="bottom"/>
          </w:tcPr>
          <w:p w:rsidRPr="003F0783" w:rsidR="002D14BB" w:rsidP="00F43E71" w:rsidRDefault="002D14BB" w14:paraId="192526F7" w14:textId="03E3400A">
            <w:pPr>
              <w:jc w:val="right"/>
              <w:rPr>
                <w:rFonts w:eastAsia="Times New Roman"/>
                <w:color w:val="000000"/>
                <w:sz w:val="20"/>
                <w:szCs w:val="20"/>
              </w:rPr>
            </w:pPr>
            <w:r>
              <w:rPr>
                <w:rFonts w:eastAsia="Times New Roman"/>
                <w:color w:val="000000"/>
                <w:sz w:val="20"/>
                <w:szCs w:val="20"/>
              </w:rPr>
              <w:t>3</w:t>
            </w:r>
          </w:p>
        </w:tc>
        <w:tc>
          <w:tcPr>
            <w:tcW w:w="980" w:type="dxa"/>
            <w:tcBorders>
              <w:top w:val="nil"/>
              <w:left w:val="nil"/>
              <w:bottom w:val="single" w:color="auto" w:sz="4" w:space="0"/>
              <w:right w:val="single" w:color="auto" w:sz="4" w:space="0"/>
            </w:tcBorders>
            <w:shd w:val="clear" w:color="auto" w:fill="auto"/>
            <w:vAlign w:val="bottom"/>
          </w:tcPr>
          <w:p w:rsidRPr="003F0783" w:rsidR="002D14BB" w:rsidP="00F43E71" w:rsidRDefault="002D14BB" w14:paraId="4154861B" w14:textId="401C84A4">
            <w:pPr>
              <w:jc w:val="right"/>
              <w:rPr>
                <w:rFonts w:eastAsia="Times New Roman"/>
                <w:color w:val="000000"/>
                <w:sz w:val="20"/>
                <w:szCs w:val="20"/>
              </w:rPr>
            </w:pPr>
            <w:r>
              <w:rPr>
                <w:rFonts w:eastAsia="Times New Roman"/>
                <w:color w:val="000000"/>
                <w:sz w:val="20"/>
                <w:szCs w:val="20"/>
              </w:rPr>
              <w:t>5</w:t>
            </w:r>
          </w:p>
        </w:tc>
        <w:tc>
          <w:tcPr>
            <w:tcW w:w="981" w:type="dxa"/>
            <w:tcBorders>
              <w:top w:val="nil"/>
              <w:left w:val="nil"/>
              <w:bottom w:val="single" w:color="auto" w:sz="4" w:space="0"/>
              <w:right w:val="single" w:color="auto" w:sz="4" w:space="0"/>
            </w:tcBorders>
            <w:shd w:val="clear" w:color="auto" w:fill="auto"/>
            <w:vAlign w:val="bottom"/>
          </w:tcPr>
          <w:p w:rsidRPr="003F0783" w:rsidR="002D14BB" w:rsidP="00F43E71" w:rsidRDefault="002D14BB" w14:paraId="62A9925F" w14:textId="21196C95">
            <w:pPr>
              <w:jc w:val="right"/>
              <w:rPr>
                <w:rFonts w:eastAsia="Times New Roman"/>
                <w:color w:val="000000"/>
                <w:sz w:val="20"/>
                <w:szCs w:val="20"/>
              </w:rPr>
            </w:pPr>
            <w:r w:rsidRPr="003F0783">
              <w:rPr>
                <w:rFonts w:eastAsia="Times New Roman"/>
                <w:color w:val="000000"/>
                <w:sz w:val="20"/>
                <w:szCs w:val="20"/>
              </w:rPr>
              <w:t>$</w:t>
            </w:r>
            <w:r>
              <w:rPr>
                <w:rFonts w:eastAsia="Times New Roman"/>
                <w:color w:val="000000"/>
                <w:sz w:val="20"/>
                <w:szCs w:val="20"/>
              </w:rPr>
              <w:t>449</w:t>
            </w:r>
          </w:p>
        </w:tc>
        <w:tc>
          <w:tcPr>
            <w:tcW w:w="980" w:type="dxa"/>
            <w:tcBorders>
              <w:top w:val="nil"/>
              <w:left w:val="nil"/>
              <w:bottom w:val="single" w:color="auto" w:sz="4" w:space="0"/>
              <w:right w:val="single" w:color="auto" w:sz="4" w:space="0"/>
            </w:tcBorders>
            <w:shd w:val="clear" w:color="auto" w:fill="auto"/>
            <w:vAlign w:val="bottom"/>
          </w:tcPr>
          <w:p w:rsidRPr="003F0783" w:rsidR="002D14BB" w:rsidP="00F43E71" w:rsidRDefault="002D14BB" w14:paraId="1E613B2D" w14:textId="77777777">
            <w:pPr>
              <w:jc w:val="right"/>
              <w:rPr>
                <w:rFonts w:eastAsia="Times New Roman"/>
                <w:color w:val="000000"/>
                <w:sz w:val="20"/>
                <w:szCs w:val="20"/>
              </w:rPr>
            </w:pPr>
          </w:p>
        </w:tc>
        <w:tc>
          <w:tcPr>
            <w:tcW w:w="981" w:type="dxa"/>
            <w:tcBorders>
              <w:top w:val="nil"/>
              <w:left w:val="nil"/>
              <w:bottom w:val="single" w:color="auto" w:sz="4" w:space="0"/>
              <w:right w:val="single" w:color="auto" w:sz="4" w:space="0"/>
            </w:tcBorders>
            <w:shd w:val="clear" w:color="auto" w:fill="auto"/>
            <w:vAlign w:val="bottom"/>
          </w:tcPr>
          <w:p w:rsidRPr="003F0783" w:rsidR="002D14BB" w:rsidP="00F43E71" w:rsidRDefault="002D14BB" w14:paraId="13280012" w14:textId="77777777">
            <w:pPr>
              <w:jc w:val="right"/>
              <w:rPr>
                <w:rFonts w:eastAsia="Times New Roman"/>
                <w:color w:val="000000"/>
                <w:sz w:val="20"/>
                <w:szCs w:val="20"/>
              </w:rPr>
            </w:pPr>
          </w:p>
        </w:tc>
        <w:tc>
          <w:tcPr>
            <w:tcW w:w="867" w:type="dxa"/>
            <w:tcBorders>
              <w:top w:val="nil"/>
              <w:left w:val="nil"/>
              <w:bottom w:val="single" w:color="auto" w:sz="4" w:space="0"/>
              <w:right w:val="single" w:color="auto" w:sz="4" w:space="0"/>
            </w:tcBorders>
            <w:shd w:val="clear" w:color="auto" w:fill="auto"/>
            <w:vAlign w:val="bottom"/>
          </w:tcPr>
          <w:p w:rsidRPr="003F0783" w:rsidR="002D14BB" w:rsidP="00F43E71" w:rsidRDefault="002D14BB" w14:paraId="00977A66" w14:textId="67676445">
            <w:pPr>
              <w:jc w:val="right"/>
              <w:rPr>
                <w:rFonts w:eastAsia="Times New Roman"/>
                <w:color w:val="000000"/>
                <w:sz w:val="20"/>
                <w:szCs w:val="20"/>
              </w:rPr>
            </w:pPr>
            <w:r>
              <w:rPr>
                <w:rFonts w:eastAsia="Times New Roman"/>
                <w:color w:val="000000"/>
                <w:sz w:val="20"/>
                <w:szCs w:val="20"/>
              </w:rPr>
              <w:t>6</w:t>
            </w:r>
          </w:p>
        </w:tc>
        <w:tc>
          <w:tcPr>
            <w:tcW w:w="990" w:type="dxa"/>
            <w:tcBorders>
              <w:top w:val="nil"/>
              <w:left w:val="nil"/>
              <w:bottom w:val="single" w:color="auto" w:sz="4" w:space="0"/>
              <w:right w:val="single" w:color="auto" w:sz="4" w:space="0"/>
            </w:tcBorders>
            <w:shd w:val="clear" w:color="auto" w:fill="auto"/>
            <w:vAlign w:val="bottom"/>
          </w:tcPr>
          <w:p w:rsidRPr="003F0783" w:rsidR="002D14BB" w:rsidP="00F43E71" w:rsidRDefault="002D14BB" w14:paraId="4E3F55F3" w14:textId="047EAA99">
            <w:pPr>
              <w:jc w:val="right"/>
              <w:rPr>
                <w:rFonts w:eastAsia="Times New Roman"/>
                <w:color w:val="000000"/>
                <w:sz w:val="20"/>
                <w:szCs w:val="20"/>
              </w:rPr>
            </w:pPr>
            <w:r>
              <w:rPr>
                <w:rFonts w:eastAsia="Times New Roman"/>
                <w:color w:val="000000"/>
                <w:sz w:val="20"/>
                <w:szCs w:val="20"/>
              </w:rPr>
              <w:t>30</w:t>
            </w:r>
          </w:p>
        </w:tc>
        <w:tc>
          <w:tcPr>
            <w:tcW w:w="1170" w:type="dxa"/>
            <w:tcBorders>
              <w:top w:val="nil"/>
              <w:left w:val="nil"/>
              <w:bottom w:val="single" w:color="auto" w:sz="4" w:space="0"/>
              <w:right w:val="single" w:color="auto" w:sz="4" w:space="0"/>
            </w:tcBorders>
          </w:tcPr>
          <w:p w:rsidRPr="003F0783" w:rsidR="002D14BB" w:rsidP="00F43E71" w:rsidRDefault="002D14BB" w14:paraId="1B01EAE6" w14:textId="77777777">
            <w:pPr>
              <w:jc w:val="right"/>
              <w:rPr>
                <w:rFonts w:eastAsia="Times New Roman"/>
                <w:color w:val="000000"/>
                <w:sz w:val="20"/>
                <w:szCs w:val="20"/>
              </w:rPr>
            </w:pPr>
          </w:p>
        </w:tc>
        <w:tc>
          <w:tcPr>
            <w:tcW w:w="1000" w:type="dxa"/>
            <w:tcBorders>
              <w:top w:val="nil"/>
              <w:left w:val="single" w:color="auto" w:sz="4" w:space="0"/>
              <w:bottom w:val="single" w:color="auto" w:sz="4" w:space="0"/>
              <w:right w:val="single" w:color="auto" w:sz="4" w:space="0"/>
            </w:tcBorders>
            <w:shd w:val="clear" w:color="auto" w:fill="auto"/>
            <w:vAlign w:val="bottom"/>
          </w:tcPr>
          <w:p w:rsidRPr="003F0783" w:rsidR="002D14BB" w:rsidP="00F43E71" w:rsidRDefault="002D14BB" w14:paraId="6ED11C46" w14:textId="03E24872">
            <w:pPr>
              <w:jc w:val="right"/>
              <w:rPr>
                <w:rFonts w:eastAsia="Times New Roman"/>
                <w:color w:val="000000"/>
                <w:sz w:val="20"/>
                <w:szCs w:val="20"/>
              </w:rPr>
            </w:pPr>
            <w:r w:rsidRPr="003F0783">
              <w:rPr>
                <w:rFonts w:eastAsia="Times New Roman"/>
                <w:color w:val="000000"/>
                <w:sz w:val="20"/>
                <w:szCs w:val="20"/>
              </w:rPr>
              <w:t>$</w:t>
            </w:r>
            <w:r>
              <w:rPr>
                <w:rFonts w:eastAsia="Times New Roman"/>
                <w:color w:val="000000"/>
                <w:sz w:val="20"/>
                <w:szCs w:val="20"/>
              </w:rPr>
              <w:t>2,694</w:t>
            </w:r>
          </w:p>
        </w:tc>
      </w:tr>
      <w:tr w:rsidRPr="003F0783" w:rsidR="002D14BB" w:rsidTr="002D14BB" w14:paraId="1102EB5E" w14:textId="77777777">
        <w:trPr>
          <w:trHeight w:val="225"/>
          <w:jc w:val="center"/>
        </w:trPr>
        <w:tc>
          <w:tcPr>
            <w:tcW w:w="1085" w:type="dxa"/>
            <w:tcBorders>
              <w:top w:val="nil"/>
              <w:left w:val="single" w:color="auto" w:sz="4" w:space="0"/>
              <w:bottom w:val="single" w:color="auto" w:sz="4" w:space="0"/>
              <w:right w:val="single" w:color="auto" w:sz="4" w:space="0"/>
            </w:tcBorders>
            <w:shd w:val="clear" w:color="auto" w:fill="D9D9D9" w:themeFill="background1" w:themeFillShade="D9"/>
          </w:tcPr>
          <w:p w:rsidRPr="003F0783" w:rsidR="002D14BB" w:rsidP="00F43E71" w:rsidRDefault="002D14BB" w14:paraId="51126751" w14:textId="77777777">
            <w:pPr>
              <w:jc w:val="center"/>
              <w:rPr>
                <w:b/>
                <w:bCs/>
                <w:sz w:val="20"/>
                <w:szCs w:val="20"/>
              </w:rPr>
            </w:pPr>
          </w:p>
        </w:tc>
        <w:tc>
          <w:tcPr>
            <w:tcW w:w="12960" w:type="dxa"/>
            <w:gridSpan w:val="11"/>
            <w:tcBorders>
              <w:top w:val="nil"/>
              <w:left w:val="single" w:color="auto" w:sz="4" w:space="0"/>
              <w:bottom w:val="single" w:color="auto" w:sz="4" w:space="0"/>
              <w:right w:val="single" w:color="auto" w:sz="4" w:space="0"/>
            </w:tcBorders>
            <w:shd w:val="clear" w:color="auto" w:fill="D9D9D9" w:themeFill="background1" w:themeFillShade="D9"/>
          </w:tcPr>
          <w:p w:rsidRPr="003F0783" w:rsidR="002D14BB" w:rsidP="00F43E71" w:rsidRDefault="002D14BB" w14:paraId="36F5DBED" w14:textId="157BFFD6">
            <w:pPr>
              <w:jc w:val="center"/>
              <w:rPr>
                <w:rFonts w:eastAsia="Times New Roman"/>
                <w:color w:val="000000"/>
                <w:sz w:val="20"/>
                <w:szCs w:val="20"/>
              </w:rPr>
            </w:pPr>
            <w:r w:rsidRPr="003F0783">
              <w:rPr>
                <w:b/>
                <w:bCs/>
                <w:sz w:val="20"/>
                <w:szCs w:val="20"/>
              </w:rPr>
              <w:t>Allowance-related burden and costs</w:t>
            </w:r>
          </w:p>
        </w:tc>
      </w:tr>
      <w:tr w:rsidRPr="003F0783" w:rsidR="002D14BB" w:rsidTr="00F25561" w14:paraId="41AD4694" w14:textId="77777777">
        <w:trPr>
          <w:trHeight w:val="255"/>
          <w:jc w:val="center"/>
        </w:trPr>
        <w:tc>
          <w:tcPr>
            <w:tcW w:w="4135" w:type="dxa"/>
            <w:gridSpan w:val="2"/>
            <w:tcBorders>
              <w:top w:val="nil"/>
              <w:left w:val="single" w:color="auto" w:sz="4" w:space="0"/>
              <w:bottom w:val="single" w:color="auto" w:sz="4" w:space="0"/>
              <w:right w:val="single" w:color="auto" w:sz="4" w:space="0"/>
            </w:tcBorders>
            <w:shd w:val="clear" w:color="auto" w:fill="auto"/>
          </w:tcPr>
          <w:p w:rsidRPr="003F0783" w:rsidR="002D14BB" w:rsidP="00F43E71" w:rsidRDefault="002D14BB" w14:paraId="380C2793" w14:textId="124DA1F5">
            <w:pPr>
              <w:rPr>
                <w:sz w:val="20"/>
                <w:szCs w:val="20"/>
              </w:rPr>
            </w:pPr>
            <w:r w:rsidRPr="003F0783">
              <w:rPr>
                <w:sz w:val="20"/>
                <w:szCs w:val="20"/>
              </w:rPr>
              <w:t>Allowance transfer form submissions</w:t>
            </w:r>
            <w:r>
              <w:rPr>
                <w:sz w:val="20"/>
                <w:szCs w:val="20"/>
                <w:vertAlign w:val="superscript"/>
              </w:rPr>
              <w:t>1</w:t>
            </w:r>
          </w:p>
        </w:tc>
        <w:tc>
          <w:tcPr>
            <w:tcW w:w="980" w:type="dxa"/>
            <w:tcBorders>
              <w:top w:val="nil"/>
              <w:left w:val="nil"/>
              <w:bottom w:val="single" w:color="auto" w:sz="4" w:space="0"/>
              <w:right w:val="single" w:color="auto" w:sz="4" w:space="0"/>
            </w:tcBorders>
            <w:shd w:val="clear" w:color="auto" w:fill="auto"/>
            <w:vAlign w:val="bottom"/>
          </w:tcPr>
          <w:p w:rsidRPr="003F0783" w:rsidR="002D14BB" w:rsidP="00F43E71" w:rsidRDefault="002D14BB" w14:paraId="4557159B" w14:textId="77777777">
            <w:pPr>
              <w:jc w:val="right"/>
              <w:rPr>
                <w:rFonts w:eastAsia="Times New Roman"/>
                <w:color w:val="000000"/>
                <w:sz w:val="20"/>
                <w:szCs w:val="20"/>
              </w:rPr>
            </w:pPr>
            <w:r w:rsidRPr="003F0783">
              <w:rPr>
                <w:rFonts w:eastAsia="Times New Roman"/>
                <w:color w:val="000000"/>
                <w:sz w:val="20"/>
                <w:szCs w:val="20"/>
              </w:rPr>
              <w:t>1</w:t>
            </w:r>
          </w:p>
        </w:tc>
        <w:tc>
          <w:tcPr>
            <w:tcW w:w="981" w:type="dxa"/>
            <w:tcBorders>
              <w:top w:val="nil"/>
              <w:left w:val="nil"/>
              <w:bottom w:val="single" w:color="auto" w:sz="4" w:space="0"/>
              <w:right w:val="single" w:color="auto" w:sz="4" w:space="0"/>
            </w:tcBorders>
            <w:shd w:val="clear" w:color="auto" w:fill="auto"/>
            <w:vAlign w:val="bottom"/>
          </w:tcPr>
          <w:p w:rsidRPr="003F0783" w:rsidR="002D14BB" w:rsidP="00F43E71" w:rsidRDefault="002D14BB" w14:paraId="38E4C808" w14:textId="77777777">
            <w:pPr>
              <w:jc w:val="right"/>
              <w:rPr>
                <w:rFonts w:eastAsia="Times New Roman"/>
                <w:color w:val="000000"/>
                <w:sz w:val="20"/>
                <w:szCs w:val="20"/>
              </w:rPr>
            </w:pPr>
            <w:r w:rsidRPr="003F0783">
              <w:rPr>
                <w:rFonts w:eastAsia="Times New Roman"/>
                <w:color w:val="000000"/>
                <w:sz w:val="20"/>
                <w:szCs w:val="20"/>
              </w:rPr>
              <w:t>1</w:t>
            </w:r>
          </w:p>
        </w:tc>
        <w:tc>
          <w:tcPr>
            <w:tcW w:w="980" w:type="dxa"/>
            <w:tcBorders>
              <w:top w:val="nil"/>
              <w:left w:val="nil"/>
              <w:bottom w:val="single" w:color="auto" w:sz="4" w:space="0"/>
              <w:right w:val="single" w:color="auto" w:sz="4" w:space="0"/>
            </w:tcBorders>
            <w:shd w:val="clear" w:color="auto" w:fill="auto"/>
            <w:vAlign w:val="bottom"/>
          </w:tcPr>
          <w:p w:rsidRPr="003F0783" w:rsidR="002D14BB" w:rsidP="00F43E71" w:rsidRDefault="002D14BB" w14:paraId="3BDAA3E3" w14:textId="77777777">
            <w:pPr>
              <w:jc w:val="right"/>
              <w:rPr>
                <w:rFonts w:eastAsia="Times New Roman"/>
                <w:color w:val="000000"/>
                <w:sz w:val="20"/>
                <w:szCs w:val="20"/>
              </w:rPr>
            </w:pPr>
            <w:r w:rsidRPr="003F0783">
              <w:rPr>
                <w:rFonts w:eastAsia="Times New Roman"/>
                <w:color w:val="000000"/>
                <w:sz w:val="20"/>
                <w:szCs w:val="20"/>
              </w:rPr>
              <w:t>2</w:t>
            </w:r>
          </w:p>
        </w:tc>
        <w:tc>
          <w:tcPr>
            <w:tcW w:w="981" w:type="dxa"/>
            <w:tcBorders>
              <w:top w:val="nil"/>
              <w:left w:val="nil"/>
              <w:bottom w:val="single" w:color="auto" w:sz="4" w:space="0"/>
              <w:right w:val="single" w:color="auto" w:sz="4" w:space="0"/>
            </w:tcBorders>
            <w:shd w:val="clear" w:color="auto" w:fill="auto"/>
            <w:vAlign w:val="bottom"/>
          </w:tcPr>
          <w:p w:rsidRPr="003F0783" w:rsidR="002D14BB" w:rsidP="00F43E71" w:rsidRDefault="002D14BB" w14:paraId="4DCE1228" w14:textId="77777777">
            <w:pPr>
              <w:jc w:val="right"/>
              <w:rPr>
                <w:rFonts w:eastAsia="Times New Roman"/>
                <w:color w:val="000000"/>
                <w:sz w:val="20"/>
                <w:szCs w:val="20"/>
              </w:rPr>
            </w:pPr>
            <w:r w:rsidRPr="003F0783">
              <w:rPr>
                <w:rFonts w:eastAsia="Times New Roman"/>
                <w:color w:val="000000"/>
                <w:sz w:val="20"/>
                <w:szCs w:val="20"/>
              </w:rPr>
              <w:t>$</w:t>
            </w:r>
            <w:r>
              <w:rPr>
                <w:rFonts w:eastAsia="Times New Roman"/>
                <w:color w:val="000000"/>
                <w:sz w:val="20"/>
                <w:szCs w:val="20"/>
              </w:rPr>
              <w:t>186</w:t>
            </w:r>
          </w:p>
        </w:tc>
        <w:tc>
          <w:tcPr>
            <w:tcW w:w="980" w:type="dxa"/>
            <w:tcBorders>
              <w:top w:val="nil"/>
              <w:left w:val="nil"/>
              <w:bottom w:val="single" w:color="auto" w:sz="4" w:space="0"/>
              <w:right w:val="single" w:color="auto" w:sz="4" w:space="0"/>
            </w:tcBorders>
            <w:shd w:val="clear" w:color="auto" w:fill="auto"/>
            <w:vAlign w:val="bottom"/>
          </w:tcPr>
          <w:p w:rsidRPr="003F0783" w:rsidR="002D14BB" w:rsidP="00F43E71" w:rsidRDefault="002D14BB" w14:paraId="759B6870" w14:textId="77777777">
            <w:pPr>
              <w:jc w:val="right"/>
              <w:rPr>
                <w:rFonts w:eastAsia="Times New Roman"/>
                <w:color w:val="000000"/>
                <w:sz w:val="20"/>
                <w:szCs w:val="20"/>
              </w:rPr>
            </w:pPr>
          </w:p>
        </w:tc>
        <w:tc>
          <w:tcPr>
            <w:tcW w:w="981" w:type="dxa"/>
            <w:tcBorders>
              <w:top w:val="nil"/>
              <w:left w:val="nil"/>
              <w:bottom w:val="single" w:color="auto" w:sz="4" w:space="0"/>
              <w:right w:val="single" w:color="auto" w:sz="4" w:space="0"/>
            </w:tcBorders>
            <w:shd w:val="clear" w:color="auto" w:fill="auto"/>
            <w:vAlign w:val="bottom"/>
          </w:tcPr>
          <w:p w:rsidRPr="003F0783" w:rsidR="002D14BB" w:rsidP="00F43E71" w:rsidRDefault="002D14BB" w14:paraId="66027DB5" w14:textId="77777777">
            <w:pPr>
              <w:jc w:val="right"/>
              <w:rPr>
                <w:rFonts w:eastAsia="Times New Roman"/>
                <w:color w:val="000000"/>
                <w:sz w:val="20"/>
                <w:szCs w:val="20"/>
              </w:rPr>
            </w:pPr>
          </w:p>
        </w:tc>
        <w:tc>
          <w:tcPr>
            <w:tcW w:w="867" w:type="dxa"/>
            <w:tcBorders>
              <w:top w:val="nil"/>
              <w:left w:val="nil"/>
              <w:bottom w:val="single" w:color="auto" w:sz="4" w:space="0"/>
              <w:right w:val="single" w:color="auto" w:sz="4" w:space="0"/>
            </w:tcBorders>
            <w:shd w:val="clear" w:color="auto" w:fill="auto"/>
            <w:vAlign w:val="bottom"/>
          </w:tcPr>
          <w:p w:rsidRPr="003F0783" w:rsidR="002D14BB" w:rsidP="00F43E71" w:rsidRDefault="002D14BB" w14:paraId="089D6DB0" w14:textId="5E60BF19">
            <w:pPr>
              <w:jc w:val="right"/>
              <w:rPr>
                <w:rFonts w:eastAsia="Times New Roman"/>
                <w:color w:val="000000"/>
                <w:sz w:val="20"/>
                <w:szCs w:val="20"/>
              </w:rPr>
            </w:pPr>
            <w:r>
              <w:rPr>
                <w:rFonts w:eastAsia="Times New Roman"/>
                <w:color w:val="000000"/>
                <w:sz w:val="20"/>
                <w:szCs w:val="20"/>
              </w:rPr>
              <w:t>12</w:t>
            </w:r>
          </w:p>
        </w:tc>
        <w:tc>
          <w:tcPr>
            <w:tcW w:w="990" w:type="dxa"/>
            <w:tcBorders>
              <w:top w:val="nil"/>
              <w:left w:val="nil"/>
              <w:bottom w:val="single" w:color="auto" w:sz="4" w:space="0"/>
              <w:right w:val="single" w:color="auto" w:sz="4" w:space="0"/>
            </w:tcBorders>
            <w:shd w:val="clear" w:color="auto" w:fill="auto"/>
            <w:vAlign w:val="bottom"/>
          </w:tcPr>
          <w:p w:rsidRPr="003F0783" w:rsidR="002D14BB" w:rsidP="00F43E71" w:rsidRDefault="002D14BB" w14:paraId="1A859FC1" w14:textId="70080FA9">
            <w:pPr>
              <w:jc w:val="right"/>
              <w:rPr>
                <w:rFonts w:eastAsia="Times New Roman"/>
                <w:color w:val="000000"/>
                <w:sz w:val="20"/>
                <w:szCs w:val="20"/>
              </w:rPr>
            </w:pPr>
            <w:r>
              <w:rPr>
                <w:rFonts w:eastAsia="Times New Roman"/>
                <w:color w:val="000000"/>
                <w:sz w:val="20"/>
                <w:szCs w:val="20"/>
              </w:rPr>
              <w:t>24</w:t>
            </w:r>
          </w:p>
        </w:tc>
        <w:tc>
          <w:tcPr>
            <w:tcW w:w="1170" w:type="dxa"/>
            <w:tcBorders>
              <w:top w:val="nil"/>
              <w:left w:val="nil"/>
              <w:bottom w:val="single" w:color="auto" w:sz="4" w:space="0"/>
              <w:right w:val="single" w:color="auto" w:sz="4" w:space="0"/>
            </w:tcBorders>
          </w:tcPr>
          <w:p w:rsidRPr="003F0783" w:rsidR="002D14BB" w:rsidP="00F43E71" w:rsidRDefault="002D14BB" w14:paraId="4BBFD3FD" w14:textId="77777777">
            <w:pPr>
              <w:jc w:val="right"/>
              <w:rPr>
                <w:rFonts w:eastAsia="Times New Roman"/>
                <w:color w:val="000000"/>
                <w:sz w:val="20"/>
                <w:szCs w:val="20"/>
              </w:rPr>
            </w:pPr>
          </w:p>
        </w:tc>
        <w:tc>
          <w:tcPr>
            <w:tcW w:w="1000" w:type="dxa"/>
            <w:tcBorders>
              <w:top w:val="nil"/>
              <w:left w:val="single" w:color="auto" w:sz="4" w:space="0"/>
              <w:bottom w:val="single" w:color="auto" w:sz="4" w:space="0"/>
              <w:right w:val="single" w:color="auto" w:sz="4" w:space="0"/>
            </w:tcBorders>
            <w:shd w:val="clear" w:color="auto" w:fill="auto"/>
            <w:vAlign w:val="bottom"/>
          </w:tcPr>
          <w:p w:rsidRPr="003F0783" w:rsidR="002D14BB" w:rsidP="00F43E71" w:rsidRDefault="002D14BB" w14:paraId="134E660A" w14:textId="2B894243">
            <w:pPr>
              <w:jc w:val="right"/>
              <w:rPr>
                <w:rFonts w:eastAsia="Times New Roman"/>
                <w:color w:val="000000"/>
                <w:sz w:val="20"/>
                <w:szCs w:val="20"/>
              </w:rPr>
            </w:pPr>
            <w:r w:rsidRPr="003F0783">
              <w:rPr>
                <w:rFonts w:eastAsia="Times New Roman"/>
                <w:color w:val="000000"/>
                <w:sz w:val="20"/>
                <w:szCs w:val="20"/>
              </w:rPr>
              <w:t>$</w:t>
            </w:r>
            <w:r>
              <w:rPr>
                <w:rFonts w:eastAsia="Times New Roman"/>
                <w:color w:val="000000"/>
                <w:sz w:val="20"/>
                <w:szCs w:val="20"/>
              </w:rPr>
              <w:t>2,232</w:t>
            </w:r>
          </w:p>
        </w:tc>
      </w:tr>
      <w:tr w:rsidRPr="003F0783" w:rsidR="002D14BB" w:rsidTr="00F25561" w14:paraId="6DEF008E" w14:textId="77777777">
        <w:trPr>
          <w:trHeight w:val="255"/>
          <w:jc w:val="center"/>
        </w:trPr>
        <w:tc>
          <w:tcPr>
            <w:tcW w:w="4135" w:type="dxa"/>
            <w:gridSpan w:val="2"/>
            <w:tcBorders>
              <w:top w:val="nil"/>
              <w:left w:val="single" w:color="auto" w:sz="4" w:space="0"/>
              <w:bottom w:val="single" w:color="auto" w:sz="4" w:space="0"/>
              <w:right w:val="single" w:color="auto" w:sz="4" w:space="0"/>
            </w:tcBorders>
            <w:shd w:val="clear" w:color="auto" w:fill="auto"/>
          </w:tcPr>
          <w:p w:rsidRPr="003F0783" w:rsidR="002D14BB" w:rsidP="00F43E71" w:rsidRDefault="002D14BB" w14:paraId="2F797767" w14:textId="474AE5FB">
            <w:pPr>
              <w:rPr>
                <w:sz w:val="20"/>
                <w:szCs w:val="20"/>
              </w:rPr>
            </w:pPr>
            <w:r w:rsidRPr="003F0783">
              <w:rPr>
                <w:sz w:val="20"/>
                <w:szCs w:val="20"/>
              </w:rPr>
              <w:t>Allowance deduction form submissions</w:t>
            </w:r>
            <w:r>
              <w:rPr>
                <w:sz w:val="20"/>
                <w:szCs w:val="20"/>
                <w:vertAlign w:val="superscript"/>
              </w:rPr>
              <w:t>2</w:t>
            </w:r>
          </w:p>
        </w:tc>
        <w:tc>
          <w:tcPr>
            <w:tcW w:w="980" w:type="dxa"/>
            <w:tcBorders>
              <w:top w:val="nil"/>
              <w:left w:val="nil"/>
              <w:bottom w:val="single" w:color="auto" w:sz="4" w:space="0"/>
              <w:right w:val="single" w:color="auto" w:sz="4" w:space="0"/>
            </w:tcBorders>
            <w:shd w:val="clear" w:color="auto" w:fill="auto"/>
            <w:vAlign w:val="bottom"/>
          </w:tcPr>
          <w:p w:rsidRPr="003F0783" w:rsidR="002D14BB" w:rsidP="00F43E71" w:rsidRDefault="002D14BB" w14:paraId="61E689E0" w14:textId="77777777">
            <w:pPr>
              <w:jc w:val="right"/>
              <w:rPr>
                <w:rFonts w:eastAsia="Times New Roman"/>
                <w:color w:val="000000"/>
                <w:sz w:val="20"/>
                <w:szCs w:val="20"/>
              </w:rPr>
            </w:pPr>
            <w:r w:rsidRPr="003F0783">
              <w:rPr>
                <w:rFonts w:eastAsia="Times New Roman"/>
                <w:color w:val="000000"/>
                <w:sz w:val="20"/>
                <w:szCs w:val="20"/>
              </w:rPr>
              <w:t>1</w:t>
            </w:r>
          </w:p>
        </w:tc>
        <w:tc>
          <w:tcPr>
            <w:tcW w:w="981" w:type="dxa"/>
            <w:tcBorders>
              <w:top w:val="nil"/>
              <w:left w:val="nil"/>
              <w:bottom w:val="single" w:color="auto" w:sz="4" w:space="0"/>
              <w:right w:val="single" w:color="auto" w:sz="4" w:space="0"/>
            </w:tcBorders>
            <w:shd w:val="clear" w:color="auto" w:fill="auto"/>
            <w:vAlign w:val="bottom"/>
          </w:tcPr>
          <w:p w:rsidRPr="003F0783" w:rsidR="002D14BB" w:rsidP="00F43E71" w:rsidRDefault="002D14BB" w14:paraId="64443FF2" w14:textId="77777777">
            <w:pPr>
              <w:jc w:val="right"/>
              <w:rPr>
                <w:rFonts w:eastAsia="Times New Roman"/>
                <w:color w:val="000000"/>
                <w:sz w:val="20"/>
                <w:szCs w:val="20"/>
              </w:rPr>
            </w:pPr>
            <w:r w:rsidRPr="003F0783">
              <w:rPr>
                <w:rFonts w:eastAsia="Times New Roman"/>
                <w:color w:val="000000"/>
                <w:sz w:val="20"/>
                <w:szCs w:val="20"/>
              </w:rPr>
              <w:t>2</w:t>
            </w:r>
          </w:p>
        </w:tc>
        <w:tc>
          <w:tcPr>
            <w:tcW w:w="980" w:type="dxa"/>
            <w:tcBorders>
              <w:top w:val="nil"/>
              <w:left w:val="nil"/>
              <w:bottom w:val="single" w:color="auto" w:sz="4" w:space="0"/>
              <w:right w:val="single" w:color="auto" w:sz="4" w:space="0"/>
            </w:tcBorders>
            <w:shd w:val="clear" w:color="auto" w:fill="auto"/>
            <w:vAlign w:val="bottom"/>
          </w:tcPr>
          <w:p w:rsidRPr="003F0783" w:rsidR="002D14BB" w:rsidP="00F43E71" w:rsidRDefault="002D14BB" w14:paraId="2956247F" w14:textId="77777777">
            <w:pPr>
              <w:jc w:val="right"/>
              <w:rPr>
                <w:rFonts w:eastAsia="Times New Roman"/>
                <w:color w:val="000000"/>
                <w:sz w:val="20"/>
                <w:szCs w:val="20"/>
              </w:rPr>
            </w:pPr>
            <w:r w:rsidRPr="003F0783">
              <w:rPr>
                <w:rFonts w:eastAsia="Times New Roman"/>
                <w:color w:val="000000"/>
                <w:sz w:val="20"/>
                <w:szCs w:val="20"/>
              </w:rPr>
              <w:t>3</w:t>
            </w:r>
          </w:p>
        </w:tc>
        <w:tc>
          <w:tcPr>
            <w:tcW w:w="981" w:type="dxa"/>
            <w:tcBorders>
              <w:top w:val="nil"/>
              <w:left w:val="nil"/>
              <w:bottom w:val="single" w:color="auto" w:sz="4" w:space="0"/>
              <w:right w:val="single" w:color="auto" w:sz="4" w:space="0"/>
            </w:tcBorders>
            <w:shd w:val="clear" w:color="auto" w:fill="auto"/>
            <w:vAlign w:val="bottom"/>
          </w:tcPr>
          <w:p w:rsidRPr="003F0783" w:rsidR="002D14BB" w:rsidP="00F43E71" w:rsidRDefault="002D14BB" w14:paraId="68C2E018" w14:textId="77777777">
            <w:pPr>
              <w:jc w:val="right"/>
              <w:rPr>
                <w:rFonts w:eastAsia="Times New Roman"/>
                <w:color w:val="000000"/>
                <w:sz w:val="20"/>
                <w:szCs w:val="20"/>
              </w:rPr>
            </w:pPr>
            <w:r w:rsidRPr="003F0783">
              <w:rPr>
                <w:rFonts w:eastAsia="Times New Roman"/>
                <w:color w:val="000000"/>
                <w:sz w:val="20"/>
                <w:szCs w:val="20"/>
              </w:rPr>
              <w:t>$</w:t>
            </w:r>
            <w:r>
              <w:rPr>
                <w:rFonts w:eastAsia="Times New Roman"/>
                <w:color w:val="000000"/>
                <w:sz w:val="20"/>
                <w:szCs w:val="20"/>
              </w:rPr>
              <w:t>279</w:t>
            </w:r>
          </w:p>
        </w:tc>
        <w:tc>
          <w:tcPr>
            <w:tcW w:w="980" w:type="dxa"/>
            <w:tcBorders>
              <w:top w:val="nil"/>
              <w:left w:val="nil"/>
              <w:bottom w:val="single" w:color="auto" w:sz="4" w:space="0"/>
              <w:right w:val="single" w:color="auto" w:sz="4" w:space="0"/>
            </w:tcBorders>
            <w:shd w:val="clear" w:color="auto" w:fill="auto"/>
            <w:vAlign w:val="bottom"/>
          </w:tcPr>
          <w:p w:rsidRPr="003F0783" w:rsidR="002D14BB" w:rsidP="00F43E71" w:rsidRDefault="002D14BB" w14:paraId="171BEF42" w14:textId="77777777">
            <w:pPr>
              <w:jc w:val="right"/>
              <w:rPr>
                <w:rFonts w:eastAsia="Times New Roman"/>
                <w:color w:val="000000"/>
                <w:sz w:val="20"/>
                <w:szCs w:val="20"/>
              </w:rPr>
            </w:pPr>
          </w:p>
        </w:tc>
        <w:tc>
          <w:tcPr>
            <w:tcW w:w="981" w:type="dxa"/>
            <w:tcBorders>
              <w:top w:val="nil"/>
              <w:left w:val="nil"/>
              <w:bottom w:val="single" w:color="auto" w:sz="4" w:space="0"/>
              <w:right w:val="single" w:color="auto" w:sz="4" w:space="0"/>
            </w:tcBorders>
            <w:shd w:val="clear" w:color="auto" w:fill="auto"/>
            <w:vAlign w:val="bottom"/>
          </w:tcPr>
          <w:p w:rsidRPr="003F0783" w:rsidR="002D14BB" w:rsidP="00F43E71" w:rsidRDefault="002D14BB" w14:paraId="25B67817" w14:textId="77777777">
            <w:pPr>
              <w:jc w:val="right"/>
              <w:rPr>
                <w:rFonts w:eastAsia="Times New Roman"/>
                <w:color w:val="000000"/>
                <w:sz w:val="20"/>
                <w:szCs w:val="20"/>
              </w:rPr>
            </w:pPr>
          </w:p>
        </w:tc>
        <w:tc>
          <w:tcPr>
            <w:tcW w:w="867" w:type="dxa"/>
            <w:tcBorders>
              <w:top w:val="nil"/>
              <w:left w:val="nil"/>
              <w:bottom w:val="single" w:color="auto" w:sz="4" w:space="0"/>
              <w:right w:val="single" w:color="auto" w:sz="4" w:space="0"/>
            </w:tcBorders>
            <w:shd w:val="clear" w:color="auto" w:fill="auto"/>
            <w:vAlign w:val="bottom"/>
          </w:tcPr>
          <w:p w:rsidRPr="003F0783" w:rsidR="002D14BB" w:rsidP="00F43E71" w:rsidRDefault="002D14BB" w14:paraId="6429DE46" w14:textId="58169C43">
            <w:pPr>
              <w:jc w:val="right"/>
              <w:rPr>
                <w:rFonts w:eastAsia="Times New Roman"/>
                <w:color w:val="000000"/>
                <w:sz w:val="20"/>
                <w:szCs w:val="20"/>
              </w:rPr>
            </w:pPr>
            <w:r>
              <w:rPr>
                <w:rFonts w:eastAsia="Times New Roman"/>
                <w:color w:val="000000"/>
                <w:sz w:val="20"/>
                <w:szCs w:val="20"/>
              </w:rPr>
              <w:t>3</w:t>
            </w:r>
          </w:p>
        </w:tc>
        <w:tc>
          <w:tcPr>
            <w:tcW w:w="990" w:type="dxa"/>
            <w:tcBorders>
              <w:top w:val="nil"/>
              <w:left w:val="nil"/>
              <w:bottom w:val="single" w:color="auto" w:sz="4" w:space="0"/>
              <w:right w:val="single" w:color="auto" w:sz="4" w:space="0"/>
            </w:tcBorders>
            <w:shd w:val="clear" w:color="auto" w:fill="auto"/>
            <w:vAlign w:val="bottom"/>
          </w:tcPr>
          <w:p w:rsidRPr="003F0783" w:rsidR="002D14BB" w:rsidP="00F43E71" w:rsidRDefault="002D14BB" w14:paraId="35410E0E" w14:textId="7675A395">
            <w:pPr>
              <w:jc w:val="right"/>
              <w:rPr>
                <w:rFonts w:eastAsia="Times New Roman"/>
                <w:color w:val="000000"/>
                <w:sz w:val="20"/>
                <w:szCs w:val="20"/>
              </w:rPr>
            </w:pPr>
            <w:r>
              <w:rPr>
                <w:rFonts w:eastAsia="Times New Roman"/>
                <w:color w:val="000000"/>
                <w:sz w:val="20"/>
                <w:szCs w:val="20"/>
              </w:rPr>
              <w:t>9</w:t>
            </w:r>
          </w:p>
        </w:tc>
        <w:tc>
          <w:tcPr>
            <w:tcW w:w="1170" w:type="dxa"/>
            <w:tcBorders>
              <w:top w:val="nil"/>
              <w:left w:val="nil"/>
              <w:bottom w:val="single" w:color="auto" w:sz="4" w:space="0"/>
              <w:right w:val="single" w:color="auto" w:sz="4" w:space="0"/>
            </w:tcBorders>
          </w:tcPr>
          <w:p w:rsidRPr="003F0783" w:rsidR="002D14BB" w:rsidP="00F43E71" w:rsidRDefault="002D14BB" w14:paraId="51AACA11" w14:textId="77777777">
            <w:pPr>
              <w:jc w:val="right"/>
              <w:rPr>
                <w:rFonts w:eastAsia="Times New Roman"/>
                <w:color w:val="000000"/>
                <w:sz w:val="20"/>
                <w:szCs w:val="20"/>
              </w:rPr>
            </w:pPr>
          </w:p>
        </w:tc>
        <w:tc>
          <w:tcPr>
            <w:tcW w:w="1000" w:type="dxa"/>
            <w:tcBorders>
              <w:top w:val="nil"/>
              <w:left w:val="single" w:color="auto" w:sz="4" w:space="0"/>
              <w:bottom w:val="single" w:color="auto" w:sz="4" w:space="0"/>
              <w:right w:val="single" w:color="auto" w:sz="4" w:space="0"/>
            </w:tcBorders>
            <w:shd w:val="clear" w:color="auto" w:fill="auto"/>
            <w:vAlign w:val="bottom"/>
          </w:tcPr>
          <w:p w:rsidRPr="003F0783" w:rsidR="002D14BB" w:rsidP="00F43E71" w:rsidRDefault="002D14BB" w14:paraId="1BC4F4C6" w14:textId="3DDFE6EC">
            <w:pPr>
              <w:jc w:val="right"/>
              <w:rPr>
                <w:rFonts w:eastAsia="Times New Roman"/>
                <w:color w:val="000000"/>
                <w:sz w:val="20"/>
                <w:szCs w:val="20"/>
              </w:rPr>
            </w:pPr>
            <w:r w:rsidRPr="003F0783">
              <w:rPr>
                <w:rFonts w:eastAsia="Times New Roman"/>
                <w:color w:val="000000"/>
                <w:sz w:val="20"/>
                <w:szCs w:val="20"/>
              </w:rPr>
              <w:t>$</w:t>
            </w:r>
            <w:r>
              <w:rPr>
                <w:rFonts w:eastAsia="Times New Roman"/>
                <w:color w:val="000000"/>
                <w:sz w:val="20"/>
                <w:szCs w:val="20"/>
              </w:rPr>
              <w:t>837</w:t>
            </w:r>
          </w:p>
        </w:tc>
      </w:tr>
      <w:tr w:rsidRPr="003F0783" w:rsidR="002D14BB" w:rsidTr="002D14BB" w14:paraId="502649AF" w14:textId="77777777">
        <w:trPr>
          <w:trHeight w:val="207"/>
          <w:jc w:val="center"/>
        </w:trPr>
        <w:tc>
          <w:tcPr>
            <w:tcW w:w="1085" w:type="dxa"/>
            <w:tcBorders>
              <w:top w:val="nil"/>
              <w:left w:val="single" w:color="auto" w:sz="4" w:space="0"/>
              <w:bottom w:val="single" w:color="auto" w:sz="4" w:space="0"/>
              <w:right w:val="single" w:color="auto" w:sz="4" w:space="0"/>
            </w:tcBorders>
            <w:shd w:val="clear" w:color="auto" w:fill="D9D9D9" w:themeFill="background1" w:themeFillShade="D9"/>
          </w:tcPr>
          <w:p w:rsidRPr="003F0783" w:rsidR="002D14BB" w:rsidP="00F43E71" w:rsidRDefault="002D14BB" w14:paraId="53D03AD9" w14:textId="77777777">
            <w:pPr>
              <w:jc w:val="center"/>
              <w:rPr>
                <w:b/>
                <w:bCs/>
                <w:sz w:val="20"/>
                <w:szCs w:val="20"/>
              </w:rPr>
            </w:pPr>
          </w:p>
        </w:tc>
        <w:tc>
          <w:tcPr>
            <w:tcW w:w="12960" w:type="dxa"/>
            <w:gridSpan w:val="11"/>
            <w:tcBorders>
              <w:top w:val="nil"/>
              <w:left w:val="single" w:color="auto" w:sz="4" w:space="0"/>
              <w:bottom w:val="single" w:color="auto" w:sz="4" w:space="0"/>
              <w:right w:val="single" w:color="auto" w:sz="4" w:space="0"/>
            </w:tcBorders>
            <w:shd w:val="clear" w:color="auto" w:fill="D9D9D9" w:themeFill="background1" w:themeFillShade="D9"/>
          </w:tcPr>
          <w:p w:rsidRPr="003F0783" w:rsidR="002D14BB" w:rsidP="00F43E71" w:rsidRDefault="002D14BB" w14:paraId="04F5435F" w14:textId="5AE9BBA3">
            <w:pPr>
              <w:jc w:val="center"/>
              <w:rPr>
                <w:rFonts w:eastAsia="Times New Roman"/>
                <w:color w:val="000000"/>
                <w:sz w:val="20"/>
                <w:szCs w:val="20"/>
              </w:rPr>
            </w:pPr>
            <w:r w:rsidRPr="003F0783">
              <w:rPr>
                <w:b/>
                <w:bCs/>
                <w:sz w:val="20"/>
                <w:szCs w:val="20"/>
              </w:rPr>
              <w:t>Emissions-related burden and costs</w:t>
            </w:r>
          </w:p>
        </w:tc>
      </w:tr>
      <w:tr w:rsidRPr="003F0783" w:rsidR="002D14BB" w:rsidTr="00F25561" w14:paraId="51B70227" w14:textId="77777777">
        <w:trPr>
          <w:trHeight w:val="255"/>
          <w:jc w:val="center"/>
        </w:trPr>
        <w:tc>
          <w:tcPr>
            <w:tcW w:w="4135" w:type="dxa"/>
            <w:gridSpan w:val="2"/>
            <w:tcBorders>
              <w:top w:val="nil"/>
              <w:left w:val="single" w:color="auto" w:sz="4" w:space="0"/>
              <w:bottom w:val="single" w:color="auto" w:sz="4" w:space="0"/>
              <w:right w:val="single" w:color="auto" w:sz="4" w:space="0"/>
            </w:tcBorders>
            <w:shd w:val="clear" w:color="auto" w:fill="auto"/>
          </w:tcPr>
          <w:p w:rsidRPr="003F0783" w:rsidR="002D14BB" w:rsidP="00F43E71" w:rsidRDefault="002D14BB" w14:paraId="67E5A4ED" w14:textId="1F65ADF2">
            <w:pPr>
              <w:rPr>
                <w:sz w:val="20"/>
                <w:szCs w:val="20"/>
              </w:rPr>
            </w:pPr>
            <w:r w:rsidRPr="003F0783">
              <w:rPr>
                <w:sz w:val="20"/>
                <w:szCs w:val="20"/>
              </w:rPr>
              <w:t>Review of regulations</w:t>
            </w:r>
            <w:r>
              <w:rPr>
                <w:sz w:val="20"/>
                <w:szCs w:val="20"/>
                <w:vertAlign w:val="superscript"/>
              </w:rPr>
              <w:t>3</w:t>
            </w:r>
          </w:p>
        </w:tc>
        <w:tc>
          <w:tcPr>
            <w:tcW w:w="980" w:type="dxa"/>
            <w:tcBorders>
              <w:top w:val="nil"/>
              <w:left w:val="nil"/>
              <w:bottom w:val="single" w:color="auto" w:sz="4" w:space="0"/>
              <w:right w:val="single" w:color="auto" w:sz="4" w:space="0"/>
            </w:tcBorders>
            <w:shd w:val="clear" w:color="auto" w:fill="auto"/>
            <w:vAlign w:val="bottom"/>
          </w:tcPr>
          <w:p w:rsidRPr="003F0783" w:rsidR="002D14BB" w:rsidP="00F43E71" w:rsidRDefault="002D14BB" w14:paraId="6FF4F694" w14:textId="77777777">
            <w:pPr>
              <w:jc w:val="right"/>
              <w:rPr>
                <w:rFonts w:eastAsia="Times New Roman"/>
                <w:color w:val="000000"/>
                <w:sz w:val="20"/>
                <w:szCs w:val="20"/>
              </w:rPr>
            </w:pPr>
            <w:r w:rsidRPr="003F0783">
              <w:rPr>
                <w:rFonts w:eastAsia="Times New Roman"/>
                <w:color w:val="000000"/>
                <w:sz w:val="20"/>
                <w:szCs w:val="20"/>
              </w:rPr>
              <w:t>4</w:t>
            </w:r>
          </w:p>
        </w:tc>
        <w:tc>
          <w:tcPr>
            <w:tcW w:w="981" w:type="dxa"/>
            <w:tcBorders>
              <w:top w:val="nil"/>
              <w:left w:val="nil"/>
              <w:bottom w:val="single" w:color="auto" w:sz="4" w:space="0"/>
              <w:right w:val="single" w:color="auto" w:sz="4" w:space="0"/>
            </w:tcBorders>
            <w:shd w:val="clear" w:color="auto" w:fill="auto"/>
            <w:vAlign w:val="bottom"/>
          </w:tcPr>
          <w:p w:rsidRPr="003F0783" w:rsidR="002D14BB" w:rsidP="00F43E71" w:rsidRDefault="002D14BB" w14:paraId="23A48DD8" w14:textId="77777777">
            <w:pPr>
              <w:jc w:val="right"/>
              <w:rPr>
                <w:rFonts w:eastAsia="Times New Roman"/>
                <w:color w:val="000000"/>
                <w:sz w:val="20"/>
                <w:szCs w:val="20"/>
              </w:rPr>
            </w:pPr>
            <w:r w:rsidRPr="003F0783">
              <w:rPr>
                <w:rFonts w:eastAsia="Times New Roman"/>
                <w:color w:val="000000"/>
                <w:sz w:val="20"/>
                <w:szCs w:val="20"/>
              </w:rPr>
              <w:t>4</w:t>
            </w:r>
          </w:p>
        </w:tc>
        <w:tc>
          <w:tcPr>
            <w:tcW w:w="980" w:type="dxa"/>
            <w:tcBorders>
              <w:top w:val="nil"/>
              <w:left w:val="nil"/>
              <w:bottom w:val="single" w:color="auto" w:sz="4" w:space="0"/>
              <w:right w:val="single" w:color="auto" w:sz="4" w:space="0"/>
            </w:tcBorders>
            <w:shd w:val="clear" w:color="auto" w:fill="auto"/>
            <w:vAlign w:val="bottom"/>
          </w:tcPr>
          <w:p w:rsidRPr="003F0783" w:rsidR="002D14BB" w:rsidP="00F43E71" w:rsidRDefault="002D14BB" w14:paraId="7AE25787" w14:textId="77777777">
            <w:pPr>
              <w:jc w:val="right"/>
              <w:rPr>
                <w:rFonts w:eastAsia="Times New Roman"/>
                <w:color w:val="000000"/>
                <w:sz w:val="20"/>
                <w:szCs w:val="20"/>
              </w:rPr>
            </w:pPr>
            <w:r w:rsidRPr="003F0783">
              <w:rPr>
                <w:rFonts w:eastAsia="Times New Roman"/>
                <w:color w:val="000000"/>
                <w:sz w:val="20"/>
                <w:szCs w:val="20"/>
              </w:rPr>
              <w:t>8</w:t>
            </w:r>
          </w:p>
        </w:tc>
        <w:tc>
          <w:tcPr>
            <w:tcW w:w="981" w:type="dxa"/>
            <w:tcBorders>
              <w:top w:val="nil"/>
              <w:left w:val="nil"/>
              <w:bottom w:val="single" w:color="auto" w:sz="4" w:space="0"/>
              <w:right w:val="single" w:color="auto" w:sz="4" w:space="0"/>
            </w:tcBorders>
            <w:shd w:val="clear" w:color="auto" w:fill="auto"/>
            <w:vAlign w:val="bottom"/>
          </w:tcPr>
          <w:p w:rsidRPr="003F0783" w:rsidR="002D14BB" w:rsidP="00F43E71" w:rsidRDefault="002D14BB" w14:paraId="5844E1DC" w14:textId="77777777">
            <w:pPr>
              <w:jc w:val="right"/>
              <w:rPr>
                <w:rFonts w:eastAsia="Times New Roman"/>
                <w:color w:val="000000"/>
                <w:sz w:val="20"/>
                <w:szCs w:val="20"/>
              </w:rPr>
            </w:pPr>
            <w:r w:rsidRPr="003F0783">
              <w:rPr>
                <w:rFonts w:eastAsia="Times New Roman"/>
                <w:color w:val="000000"/>
                <w:sz w:val="20"/>
                <w:szCs w:val="20"/>
              </w:rPr>
              <w:t>$</w:t>
            </w:r>
            <w:r>
              <w:rPr>
                <w:rFonts w:eastAsia="Times New Roman"/>
                <w:color w:val="000000"/>
                <w:sz w:val="20"/>
                <w:szCs w:val="20"/>
              </w:rPr>
              <w:t>744</w:t>
            </w:r>
          </w:p>
        </w:tc>
        <w:tc>
          <w:tcPr>
            <w:tcW w:w="980" w:type="dxa"/>
            <w:tcBorders>
              <w:top w:val="nil"/>
              <w:left w:val="nil"/>
              <w:bottom w:val="single" w:color="auto" w:sz="4" w:space="0"/>
              <w:right w:val="single" w:color="auto" w:sz="4" w:space="0"/>
            </w:tcBorders>
            <w:shd w:val="clear" w:color="auto" w:fill="auto"/>
            <w:vAlign w:val="bottom"/>
          </w:tcPr>
          <w:p w:rsidRPr="003F0783" w:rsidR="002D14BB" w:rsidP="00F43E71" w:rsidRDefault="002D14BB" w14:paraId="65998CA9" w14:textId="77777777">
            <w:pPr>
              <w:jc w:val="right"/>
              <w:rPr>
                <w:rFonts w:eastAsia="Times New Roman"/>
                <w:color w:val="000000"/>
                <w:sz w:val="20"/>
                <w:szCs w:val="20"/>
              </w:rPr>
            </w:pPr>
          </w:p>
        </w:tc>
        <w:tc>
          <w:tcPr>
            <w:tcW w:w="981" w:type="dxa"/>
            <w:tcBorders>
              <w:top w:val="nil"/>
              <w:left w:val="nil"/>
              <w:bottom w:val="single" w:color="auto" w:sz="4" w:space="0"/>
              <w:right w:val="single" w:color="auto" w:sz="4" w:space="0"/>
            </w:tcBorders>
            <w:shd w:val="clear" w:color="auto" w:fill="auto"/>
            <w:vAlign w:val="bottom"/>
          </w:tcPr>
          <w:p w:rsidRPr="003F0783" w:rsidR="002D14BB" w:rsidP="00F43E71" w:rsidRDefault="002D14BB" w14:paraId="4EB62422" w14:textId="77777777">
            <w:pPr>
              <w:jc w:val="right"/>
              <w:rPr>
                <w:rFonts w:eastAsia="Times New Roman"/>
                <w:color w:val="000000"/>
                <w:sz w:val="20"/>
                <w:szCs w:val="20"/>
              </w:rPr>
            </w:pPr>
          </w:p>
        </w:tc>
        <w:tc>
          <w:tcPr>
            <w:tcW w:w="867" w:type="dxa"/>
            <w:tcBorders>
              <w:top w:val="nil"/>
              <w:left w:val="nil"/>
              <w:bottom w:val="single" w:color="auto" w:sz="4" w:space="0"/>
              <w:right w:val="single" w:color="auto" w:sz="4" w:space="0"/>
            </w:tcBorders>
            <w:shd w:val="clear" w:color="auto" w:fill="auto"/>
            <w:vAlign w:val="bottom"/>
          </w:tcPr>
          <w:p w:rsidRPr="003F0783" w:rsidR="002D14BB" w:rsidP="00F43E71" w:rsidRDefault="002D14BB" w14:paraId="3C95060B" w14:textId="2572E815">
            <w:pPr>
              <w:jc w:val="right"/>
              <w:rPr>
                <w:rFonts w:eastAsia="Times New Roman"/>
                <w:color w:val="000000"/>
                <w:sz w:val="20"/>
                <w:szCs w:val="20"/>
              </w:rPr>
            </w:pPr>
            <w:r>
              <w:rPr>
                <w:rFonts w:eastAsia="Times New Roman"/>
                <w:color w:val="000000"/>
                <w:sz w:val="20"/>
                <w:szCs w:val="20"/>
              </w:rPr>
              <w:t>6</w:t>
            </w:r>
          </w:p>
        </w:tc>
        <w:tc>
          <w:tcPr>
            <w:tcW w:w="990" w:type="dxa"/>
            <w:tcBorders>
              <w:top w:val="nil"/>
              <w:left w:val="nil"/>
              <w:bottom w:val="single" w:color="auto" w:sz="4" w:space="0"/>
              <w:right w:val="single" w:color="auto" w:sz="4" w:space="0"/>
            </w:tcBorders>
            <w:shd w:val="clear" w:color="auto" w:fill="auto"/>
            <w:vAlign w:val="bottom"/>
          </w:tcPr>
          <w:p w:rsidRPr="003F0783" w:rsidR="002D14BB" w:rsidP="00F43E71" w:rsidRDefault="002D14BB" w14:paraId="3C1597BB" w14:textId="3767713A">
            <w:pPr>
              <w:jc w:val="right"/>
              <w:rPr>
                <w:rFonts w:eastAsia="Times New Roman"/>
                <w:color w:val="000000"/>
                <w:sz w:val="20"/>
                <w:szCs w:val="20"/>
              </w:rPr>
            </w:pPr>
            <w:r>
              <w:rPr>
                <w:rFonts w:eastAsia="Times New Roman"/>
                <w:color w:val="000000"/>
                <w:sz w:val="20"/>
                <w:szCs w:val="20"/>
              </w:rPr>
              <w:t>48</w:t>
            </w:r>
          </w:p>
        </w:tc>
        <w:tc>
          <w:tcPr>
            <w:tcW w:w="1170" w:type="dxa"/>
            <w:tcBorders>
              <w:top w:val="nil"/>
              <w:left w:val="nil"/>
              <w:bottom w:val="single" w:color="auto" w:sz="4" w:space="0"/>
              <w:right w:val="single" w:color="auto" w:sz="4" w:space="0"/>
            </w:tcBorders>
          </w:tcPr>
          <w:p w:rsidRPr="003F0783" w:rsidR="002D14BB" w:rsidP="00F43E71" w:rsidRDefault="002D14BB" w14:paraId="1408C99E" w14:textId="77777777">
            <w:pPr>
              <w:jc w:val="right"/>
              <w:rPr>
                <w:rFonts w:eastAsia="Times New Roman"/>
                <w:color w:val="000000"/>
                <w:sz w:val="20"/>
                <w:szCs w:val="20"/>
              </w:rPr>
            </w:pPr>
          </w:p>
        </w:tc>
        <w:tc>
          <w:tcPr>
            <w:tcW w:w="1000" w:type="dxa"/>
            <w:tcBorders>
              <w:top w:val="nil"/>
              <w:left w:val="single" w:color="auto" w:sz="4" w:space="0"/>
              <w:bottom w:val="single" w:color="auto" w:sz="4" w:space="0"/>
              <w:right w:val="single" w:color="auto" w:sz="4" w:space="0"/>
            </w:tcBorders>
            <w:shd w:val="clear" w:color="auto" w:fill="auto"/>
            <w:vAlign w:val="bottom"/>
          </w:tcPr>
          <w:p w:rsidRPr="003F0783" w:rsidR="002D14BB" w:rsidP="00F43E71" w:rsidRDefault="002D14BB" w14:paraId="236AC291" w14:textId="2C1746ED">
            <w:pPr>
              <w:jc w:val="right"/>
              <w:rPr>
                <w:rFonts w:eastAsia="Times New Roman"/>
                <w:color w:val="000000"/>
                <w:sz w:val="20"/>
                <w:szCs w:val="20"/>
              </w:rPr>
            </w:pPr>
            <w:r w:rsidRPr="003F0783">
              <w:rPr>
                <w:rFonts w:eastAsia="Times New Roman"/>
                <w:color w:val="000000"/>
                <w:sz w:val="20"/>
                <w:szCs w:val="20"/>
              </w:rPr>
              <w:t>$</w:t>
            </w:r>
            <w:r>
              <w:rPr>
                <w:rFonts w:eastAsia="Times New Roman"/>
                <w:color w:val="000000"/>
                <w:sz w:val="20"/>
                <w:szCs w:val="20"/>
              </w:rPr>
              <w:t>4,464</w:t>
            </w:r>
          </w:p>
        </w:tc>
      </w:tr>
      <w:tr w:rsidRPr="003F0783" w:rsidR="002D14BB" w:rsidTr="00F25561" w14:paraId="12ABB475" w14:textId="77777777">
        <w:trPr>
          <w:trHeight w:val="255"/>
          <w:jc w:val="center"/>
        </w:trPr>
        <w:tc>
          <w:tcPr>
            <w:tcW w:w="4135" w:type="dxa"/>
            <w:gridSpan w:val="2"/>
            <w:tcBorders>
              <w:top w:val="nil"/>
              <w:left w:val="single" w:color="auto" w:sz="4" w:space="0"/>
              <w:bottom w:val="single" w:color="auto" w:sz="4" w:space="0"/>
              <w:right w:val="single" w:color="auto" w:sz="4" w:space="0"/>
            </w:tcBorders>
            <w:shd w:val="clear" w:color="auto" w:fill="auto"/>
          </w:tcPr>
          <w:p w:rsidRPr="003F0783" w:rsidR="002D14BB" w:rsidP="00F43E71" w:rsidRDefault="002D14BB" w14:paraId="74DA64F6" w14:textId="1ACED5A3">
            <w:pPr>
              <w:rPr>
                <w:sz w:val="20"/>
                <w:szCs w:val="20"/>
              </w:rPr>
            </w:pPr>
            <w:r w:rsidRPr="003F0783">
              <w:rPr>
                <w:sz w:val="20"/>
                <w:szCs w:val="20"/>
              </w:rPr>
              <w:t>Response to error messages</w:t>
            </w:r>
          </w:p>
        </w:tc>
        <w:tc>
          <w:tcPr>
            <w:tcW w:w="980" w:type="dxa"/>
            <w:tcBorders>
              <w:top w:val="nil"/>
              <w:left w:val="nil"/>
              <w:bottom w:val="single" w:color="auto" w:sz="4" w:space="0"/>
              <w:right w:val="single" w:color="auto" w:sz="4" w:space="0"/>
            </w:tcBorders>
            <w:shd w:val="clear" w:color="auto" w:fill="auto"/>
            <w:vAlign w:val="bottom"/>
          </w:tcPr>
          <w:p w:rsidRPr="003F0783" w:rsidR="002D14BB" w:rsidP="00F43E71" w:rsidRDefault="002D14BB" w14:paraId="7960268D" w14:textId="77777777">
            <w:pPr>
              <w:jc w:val="right"/>
              <w:rPr>
                <w:rFonts w:eastAsia="Times New Roman"/>
                <w:color w:val="000000"/>
                <w:sz w:val="20"/>
                <w:szCs w:val="20"/>
              </w:rPr>
            </w:pPr>
            <w:r w:rsidRPr="003F0783">
              <w:rPr>
                <w:rFonts w:eastAsia="Times New Roman"/>
                <w:color w:val="000000"/>
                <w:sz w:val="20"/>
                <w:szCs w:val="20"/>
              </w:rPr>
              <w:t>6</w:t>
            </w:r>
          </w:p>
        </w:tc>
        <w:tc>
          <w:tcPr>
            <w:tcW w:w="981" w:type="dxa"/>
            <w:tcBorders>
              <w:top w:val="nil"/>
              <w:left w:val="nil"/>
              <w:bottom w:val="single" w:color="auto" w:sz="4" w:space="0"/>
              <w:right w:val="single" w:color="auto" w:sz="4" w:space="0"/>
            </w:tcBorders>
            <w:shd w:val="clear" w:color="auto" w:fill="auto"/>
            <w:vAlign w:val="bottom"/>
          </w:tcPr>
          <w:p w:rsidRPr="003F0783" w:rsidR="002D14BB" w:rsidP="00F43E71" w:rsidRDefault="002D14BB" w14:paraId="78B3F2B8" w14:textId="77777777">
            <w:pPr>
              <w:jc w:val="right"/>
              <w:rPr>
                <w:rFonts w:eastAsia="Times New Roman"/>
                <w:color w:val="000000"/>
                <w:sz w:val="20"/>
                <w:szCs w:val="20"/>
              </w:rPr>
            </w:pPr>
            <w:r w:rsidRPr="003F0783">
              <w:rPr>
                <w:rFonts w:eastAsia="Times New Roman"/>
                <w:color w:val="000000"/>
                <w:sz w:val="20"/>
                <w:szCs w:val="20"/>
              </w:rPr>
              <w:t>18</w:t>
            </w:r>
          </w:p>
        </w:tc>
        <w:tc>
          <w:tcPr>
            <w:tcW w:w="980" w:type="dxa"/>
            <w:tcBorders>
              <w:top w:val="nil"/>
              <w:left w:val="nil"/>
              <w:bottom w:val="single" w:color="auto" w:sz="4" w:space="0"/>
              <w:right w:val="single" w:color="auto" w:sz="4" w:space="0"/>
            </w:tcBorders>
            <w:shd w:val="clear" w:color="auto" w:fill="auto"/>
            <w:vAlign w:val="bottom"/>
          </w:tcPr>
          <w:p w:rsidRPr="003F0783" w:rsidR="002D14BB" w:rsidP="00F43E71" w:rsidRDefault="002D14BB" w14:paraId="2A7374A8" w14:textId="77777777">
            <w:pPr>
              <w:jc w:val="right"/>
              <w:rPr>
                <w:rFonts w:eastAsia="Times New Roman"/>
                <w:color w:val="000000"/>
                <w:sz w:val="20"/>
                <w:szCs w:val="20"/>
              </w:rPr>
            </w:pPr>
            <w:r w:rsidRPr="003F0783">
              <w:rPr>
                <w:rFonts w:eastAsia="Times New Roman"/>
                <w:color w:val="000000"/>
                <w:sz w:val="20"/>
                <w:szCs w:val="20"/>
              </w:rPr>
              <w:t>24</w:t>
            </w:r>
          </w:p>
        </w:tc>
        <w:tc>
          <w:tcPr>
            <w:tcW w:w="981" w:type="dxa"/>
            <w:tcBorders>
              <w:top w:val="nil"/>
              <w:left w:val="nil"/>
              <w:bottom w:val="single" w:color="auto" w:sz="4" w:space="0"/>
              <w:right w:val="single" w:color="auto" w:sz="4" w:space="0"/>
            </w:tcBorders>
            <w:shd w:val="clear" w:color="auto" w:fill="auto"/>
            <w:vAlign w:val="bottom"/>
          </w:tcPr>
          <w:p w:rsidRPr="003F0783" w:rsidR="002D14BB" w:rsidP="00F43E71" w:rsidRDefault="002D14BB" w14:paraId="2A4F1598" w14:textId="77777777">
            <w:pPr>
              <w:jc w:val="right"/>
              <w:rPr>
                <w:rFonts w:eastAsia="Times New Roman"/>
                <w:color w:val="000000"/>
                <w:sz w:val="20"/>
                <w:szCs w:val="20"/>
              </w:rPr>
            </w:pPr>
            <w:r w:rsidRPr="003F0783">
              <w:rPr>
                <w:rFonts w:eastAsia="Times New Roman"/>
                <w:color w:val="000000"/>
                <w:sz w:val="20"/>
                <w:szCs w:val="20"/>
              </w:rPr>
              <w:t>$</w:t>
            </w:r>
            <w:r>
              <w:rPr>
                <w:rFonts w:eastAsia="Times New Roman"/>
                <w:color w:val="000000"/>
                <w:sz w:val="20"/>
                <w:szCs w:val="20"/>
              </w:rPr>
              <w:t>2,042</w:t>
            </w:r>
          </w:p>
        </w:tc>
        <w:tc>
          <w:tcPr>
            <w:tcW w:w="980" w:type="dxa"/>
            <w:tcBorders>
              <w:top w:val="nil"/>
              <w:left w:val="nil"/>
              <w:bottom w:val="single" w:color="auto" w:sz="4" w:space="0"/>
              <w:right w:val="single" w:color="auto" w:sz="4" w:space="0"/>
            </w:tcBorders>
            <w:shd w:val="clear" w:color="auto" w:fill="auto"/>
            <w:vAlign w:val="bottom"/>
          </w:tcPr>
          <w:p w:rsidRPr="003F0783" w:rsidR="002D14BB" w:rsidP="00F43E71" w:rsidRDefault="002D14BB" w14:paraId="36FC236A" w14:textId="77777777">
            <w:pPr>
              <w:jc w:val="right"/>
              <w:rPr>
                <w:rFonts w:eastAsia="Times New Roman"/>
                <w:color w:val="000000"/>
                <w:sz w:val="20"/>
                <w:szCs w:val="20"/>
              </w:rPr>
            </w:pPr>
          </w:p>
        </w:tc>
        <w:tc>
          <w:tcPr>
            <w:tcW w:w="981" w:type="dxa"/>
            <w:tcBorders>
              <w:top w:val="nil"/>
              <w:left w:val="nil"/>
              <w:bottom w:val="single" w:color="auto" w:sz="4" w:space="0"/>
              <w:right w:val="single" w:color="auto" w:sz="4" w:space="0"/>
            </w:tcBorders>
            <w:shd w:val="clear" w:color="auto" w:fill="auto"/>
            <w:vAlign w:val="bottom"/>
          </w:tcPr>
          <w:p w:rsidRPr="003F0783" w:rsidR="002D14BB" w:rsidP="00F43E71" w:rsidRDefault="002D14BB" w14:paraId="01E76005" w14:textId="77777777">
            <w:pPr>
              <w:jc w:val="right"/>
              <w:rPr>
                <w:rFonts w:eastAsia="Times New Roman"/>
                <w:color w:val="000000"/>
                <w:sz w:val="20"/>
                <w:szCs w:val="20"/>
              </w:rPr>
            </w:pPr>
          </w:p>
        </w:tc>
        <w:tc>
          <w:tcPr>
            <w:tcW w:w="867" w:type="dxa"/>
            <w:tcBorders>
              <w:top w:val="nil"/>
              <w:left w:val="nil"/>
              <w:bottom w:val="single" w:color="auto" w:sz="4" w:space="0"/>
              <w:right w:val="single" w:color="auto" w:sz="4" w:space="0"/>
            </w:tcBorders>
            <w:shd w:val="clear" w:color="auto" w:fill="auto"/>
            <w:vAlign w:val="bottom"/>
          </w:tcPr>
          <w:p w:rsidRPr="003F0783" w:rsidR="002D14BB" w:rsidP="00F43E71" w:rsidRDefault="002D14BB" w14:paraId="245B505F" w14:textId="5D4F44D9">
            <w:pPr>
              <w:jc w:val="right"/>
              <w:rPr>
                <w:rFonts w:eastAsia="Times New Roman"/>
                <w:color w:val="000000"/>
                <w:sz w:val="20"/>
                <w:szCs w:val="20"/>
              </w:rPr>
            </w:pPr>
            <w:r>
              <w:rPr>
                <w:rFonts w:eastAsia="Times New Roman"/>
                <w:color w:val="000000"/>
                <w:sz w:val="20"/>
                <w:szCs w:val="20"/>
              </w:rPr>
              <w:t>16</w:t>
            </w:r>
          </w:p>
        </w:tc>
        <w:tc>
          <w:tcPr>
            <w:tcW w:w="990" w:type="dxa"/>
            <w:tcBorders>
              <w:top w:val="nil"/>
              <w:left w:val="nil"/>
              <w:bottom w:val="single" w:color="auto" w:sz="4" w:space="0"/>
              <w:right w:val="single" w:color="auto" w:sz="4" w:space="0"/>
            </w:tcBorders>
            <w:shd w:val="clear" w:color="auto" w:fill="auto"/>
            <w:vAlign w:val="bottom"/>
          </w:tcPr>
          <w:p w:rsidRPr="003F0783" w:rsidR="002D14BB" w:rsidP="00F43E71" w:rsidRDefault="002D14BB" w14:paraId="5E271AF6" w14:textId="45112195">
            <w:pPr>
              <w:jc w:val="right"/>
              <w:rPr>
                <w:rFonts w:eastAsia="Times New Roman"/>
                <w:color w:val="000000"/>
                <w:sz w:val="20"/>
                <w:szCs w:val="20"/>
              </w:rPr>
            </w:pPr>
            <w:r>
              <w:rPr>
                <w:rFonts w:eastAsia="Times New Roman"/>
                <w:color w:val="000000"/>
                <w:sz w:val="20"/>
                <w:szCs w:val="20"/>
              </w:rPr>
              <w:t>4</w:t>
            </w:r>
          </w:p>
        </w:tc>
        <w:tc>
          <w:tcPr>
            <w:tcW w:w="1170" w:type="dxa"/>
            <w:tcBorders>
              <w:top w:val="nil"/>
              <w:left w:val="nil"/>
              <w:bottom w:val="single" w:color="auto" w:sz="4" w:space="0"/>
              <w:right w:val="single" w:color="auto" w:sz="4" w:space="0"/>
            </w:tcBorders>
          </w:tcPr>
          <w:p w:rsidRPr="003F0783" w:rsidR="002D14BB" w:rsidP="00F43E71" w:rsidRDefault="002D14BB" w14:paraId="2E164933" w14:textId="77777777">
            <w:pPr>
              <w:jc w:val="right"/>
              <w:rPr>
                <w:rFonts w:eastAsia="Times New Roman"/>
                <w:color w:val="000000"/>
                <w:sz w:val="20"/>
                <w:szCs w:val="20"/>
              </w:rPr>
            </w:pPr>
          </w:p>
        </w:tc>
        <w:tc>
          <w:tcPr>
            <w:tcW w:w="1000" w:type="dxa"/>
            <w:tcBorders>
              <w:top w:val="nil"/>
              <w:left w:val="single" w:color="auto" w:sz="4" w:space="0"/>
              <w:bottom w:val="single" w:color="auto" w:sz="4" w:space="0"/>
              <w:right w:val="single" w:color="auto" w:sz="4" w:space="0"/>
            </w:tcBorders>
            <w:shd w:val="clear" w:color="auto" w:fill="auto"/>
            <w:vAlign w:val="bottom"/>
          </w:tcPr>
          <w:p w:rsidRPr="003F0783" w:rsidR="002D14BB" w:rsidP="00F43E71" w:rsidRDefault="002D14BB" w14:paraId="1D424708" w14:textId="0A3F0101">
            <w:pPr>
              <w:jc w:val="right"/>
              <w:rPr>
                <w:rFonts w:eastAsia="Times New Roman"/>
                <w:color w:val="000000"/>
                <w:sz w:val="20"/>
                <w:szCs w:val="20"/>
              </w:rPr>
            </w:pPr>
            <w:r w:rsidRPr="003F0783">
              <w:rPr>
                <w:rFonts w:eastAsia="Times New Roman"/>
                <w:color w:val="000000"/>
                <w:sz w:val="20"/>
                <w:szCs w:val="20"/>
              </w:rPr>
              <w:t>$</w:t>
            </w:r>
            <w:r>
              <w:rPr>
                <w:rFonts w:eastAsia="Times New Roman"/>
                <w:color w:val="000000"/>
                <w:sz w:val="20"/>
                <w:szCs w:val="20"/>
              </w:rPr>
              <w:t>32,672</w:t>
            </w:r>
          </w:p>
        </w:tc>
      </w:tr>
      <w:tr w:rsidRPr="003F0783" w:rsidR="00153833" w:rsidTr="00F25561" w14:paraId="35A4AF4F" w14:textId="77777777">
        <w:trPr>
          <w:trHeight w:val="255"/>
          <w:jc w:val="center"/>
        </w:trPr>
        <w:tc>
          <w:tcPr>
            <w:tcW w:w="4135" w:type="dxa"/>
            <w:gridSpan w:val="2"/>
            <w:tcBorders>
              <w:top w:val="nil"/>
              <w:left w:val="single" w:color="auto" w:sz="4" w:space="0"/>
              <w:bottom w:val="single" w:color="auto" w:sz="4" w:space="0"/>
              <w:right w:val="single" w:color="auto" w:sz="4" w:space="0"/>
            </w:tcBorders>
            <w:shd w:val="clear" w:color="auto" w:fill="auto"/>
          </w:tcPr>
          <w:p w:rsidRPr="003F0783" w:rsidR="00153833" w:rsidP="00F43E71" w:rsidRDefault="00153833" w14:paraId="5B4D3852" w14:textId="66EAE0C4">
            <w:pPr>
              <w:rPr>
                <w:sz w:val="20"/>
                <w:szCs w:val="20"/>
              </w:rPr>
            </w:pPr>
            <w:r>
              <w:rPr>
                <w:sz w:val="20"/>
                <w:szCs w:val="20"/>
              </w:rPr>
              <w:t>DAHS Updates</w:t>
            </w:r>
            <w:r w:rsidRPr="00367C27" w:rsidR="009A7319">
              <w:rPr>
                <w:sz w:val="20"/>
                <w:szCs w:val="20"/>
                <w:vertAlign w:val="superscript"/>
              </w:rPr>
              <w:t>4</w:t>
            </w:r>
          </w:p>
        </w:tc>
        <w:tc>
          <w:tcPr>
            <w:tcW w:w="980" w:type="dxa"/>
            <w:tcBorders>
              <w:top w:val="nil"/>
              <w:left w:val="nil"/>
              <w:bottom w:val="single" w:color="auto" w:sz="4" w:space="0"/>
              <w:right w:val="single" w:color="auto" w:sz="4" w:space="0"/>
            </w:tcBorders>
            <w:shd w:val="clear" w:color="auto" w:fill="auto"/>
            <w:vAlign w:val="bottom"/>
          </w:tcPr>
          <w:p w:rsidRPr="003F0783" w:rsidR="00153833" w:rsidP="00F43E71" w:rsidRDefault="00153833" w14:paraId="3C768286" w14:textId="77777777">
            <w:pPr>
              <w:jc w:val="right"/>
              <w:rPr>
                <w:rFonts w:eastAsia="Times New Roman"/>
                <w:color w:val="000000"/>
                <w:sz w:val="20"/>
                <w:szCs w:val="20"/>
              </w:rPr>
            </w:pPr>
          </w:p>
        </w:tc>
        <w:tc>
          <w:tcPr>
            <w:tcW w:w="981" w:type="dxa"/>
            <w:tcBorders>
              <w:top w:val="nil"/>
              <w:left w:val="nil"/>
              <w:bottom w:val="single" w:color="auto" w:sz="4" w:space="0"/>
              <w:right w:val="single" w:color="auto" w:sz="4" w:space="0"/>
            </w:tcBorders>
            <w:shd w:val="clear" w:color="auto" w:fill="auto"/>
            <w:vAlign w:val="bottom"/>
          </w:tcPr>
          <w:p w:rsidRPr="003F0783" w:rsidR="00153833" w:rsidP="00F43E71" w:rsidRDefault="00153833" w14:paraId="297A1544" w14:textId="77777777">
            <w:pPr>
              <w:jc w:val="right"/>
              <w:rPr>
                <w:rFonts w:eastAsia="Times New Roman"/>
                <w:color w:val="000000"/>
                <w:sz w:val="20"/>
                <w:szCs w:val="20"/>
              </w:rPr>
            </w:pPr>
          </w:p>
        </w:tc>
        <w:tc>
          <w:tcPr>
            <w:tcW w:w="980" w:type="dxa"/>
            <w:tcBorders>
              <w:top w:val="nil"/>
              <w:left w:val="nil"/>
              <w:bottom w:val="single" w:color="auto" w:sz="4" w:space="0"/>
              <w:right w:val="single" w:color="auto" w:sz="4" w:space="0"/>
            </w:tcBorders>
            <w:shd w:val="clear" w:color="auto" w:fill="auto"/>
            <w:vAlign w:val="bottom"/>
          </w:tcPr>
          <w:p w:rsidRPr="003F0783" w:rsidR="00153833" w:rsidP="00F43E71" w:rsidRDefault="00153833" w14:paraId="4B8E893A" w14:textId="77777777">
            <w:pPr>
              <w:jc w:val="right"/>
              <w:rPr>
                <w:rFonts w:eastAsia="Times New Roman"/>
                <w:color w:val="000000"/>
                <w:sz w:val="20"/>
                <w:szCs w:val="20"/>
              </w:rPr>
            </w:pPr>
          </w:p>
        </w:tc>
        <w:tc>
          <w:tcPr>
            <w:tcW w:w="981" w:type="dxa"/>
            <w:tcBorders>
              <w:top w:val="nil"/>
              <w:left w:val="nil"/>
              <w:bottom w:val="single" w:color="auto" w:sz="4" w:space="0"/>
              <w:right w:val="single" w:color="auto" w:sz="4" w:space="0"/>
            </w:tcBorders>
            <w:shd w:val="clear" w:color="auto" w:fill="auto"/>
            <w:vAlign w:val="bottom"/>
          </w:tcPr>
          <w:p w:rsidRPr="003F0783" w:rsidR="00153833" w:rsidP="00F43E71" w:rsidRDefault="00153833" w14:paraId="36334066" w14:textId="77777777">
            <w:pPr>
              <w:jc w:val="right"/>
              <w:rPr>
                <w:rFonts w:eastAsia="Times New Roman"/>
                <w:color w:val="000000"/>
                <w:sz w:val="20"/>
                <w:szCs w:val="20"/>
              </w:rPr>
            </w:pPr>
          </w:p>
        </w:tc>
        <w:tc>
          <w:tcPr>
            <w:tcW w:w="980" w:type="dxa"/>
            <w:tcBorders>
              <w:top w:val="nil"/>
              <w:left w:val="nil"/>
              <w:bottom w:val="single" w:color="auto" w:sz="4" w:space="0"/>
              <w:right w:val="single" w:color="auto" w:sz="4" w:space="0"/>
            </w:tcBorders>
            <w:shd w:val="clear" w:color="auto" w:fill="auto"/>
            <w:vAlign w:val="bottom"/>
          </w:tcPr>
          <w:p w:rsidRPr="003F0783" w:rsidR="00153833" w:rsidP="00F43E71" w:rsidRDefault="00153833" w14:paraId="673A6A16" w14:textId="77777777">
            <w:pPr>
              <w:jc w:val="right"/>
              <w:rPr>
                <w:rFonts w:eastAsia="Times New Roman"/>
                <w:color w:val="000000"/>
                <w:sz w:val="20"/>
                <w:szCs w:val="20"/>
              </w:rPr>
            </w:pPr>
          </w:p>
        </w:tc>
        <w:tc>
          <w:tcPr>
            <w:tcW w:w="981" w:type="dxa"/>
            <w:tcBorders>
              <w:top w:val="nil"/>
              <w:left w:val="nil"/>
              <w:bottom w:val="single" w:color="auto" w:sz="4" w:space="0"/>
              <w:right w:val="single" w:color="auto" w:sz="4" w:space="0"/>
            </w:tcBorders>
            <w:shd w:val="clear" w:color="auto" w:fill="auto"/>
            <w:vAlign w:val="bottom"/>
          </w:tcPr>
          <w:p w:rsidRPr="003F0783" w:rsidR="00153833" w:rsidP="00F43E71" w:rsidRDefault="002869B7" w14:paraId="4704B073" w14:textId="311AA1B6">
            <w:pPr>
              <w:jc w:val="right"/>
              <w:rPr>
                <w:rFonts w:eastAsia="Times New Roman"/>
                <w:color w:val="000000"/>
                <w:sz w:val="20"/>
                <w:szCs w:val="20"/>
              </w:rPr>
            </w:pPr>
            <w:r>
              <w:rPr>
                <w:rFonts w:eastAsia="Times New Roman"/>
                <w:color w:val="000000"/>
                <w:sz w:val="20"/>
                <w:szCs w:val="20"/>
              </w:rPr>
              <w:t>$</w:t>
            </w:r>
            <w:r w:rsidR="00DF7DAC">
              <w:rPr>
                <w:rFonts w:eastAsia="Times New Roman"/>
                <w:color w:val="000000"/>
                <w:sz w:val="20"/>
                <w:szCs w:val="20"/>
              </w:rPr>
              <w:t>190</w:t>
            </w:r>
          </w:p>
        </w:tc>
        <w:tc>
          <w:tcPr>
            <w:tcW w:w="867" w:type="dxa"/>
            <w:tcBorders>
              <w:top w:val="nil"/>
              <w:left w:val="nil"/>
              <w:bottom w:val="single" w:color="auto" w:sz="4" w:space="0"/>
              <w:right w:val="single" w:color="auto" w:sz="4" w:space="0"/>
            </w:tcBorders>
            <w:shd w:val="clear" w:color="auto" w:fill="auto"/>
            <w:vAlign w:val="bottom"/>
          </w:tcPr>
          <w:p w:rsidR="00153833" w:rsidP="00F43E71" w:rsidRDefault="00270043" w14:paraId="19F1F92E" w14:textId="0AABD160">
            <w:pPr>
              <w:jc w:val="right"/>
              <w:rPr>
                <w:rFonts w:eastAsia="Times New Roman"/>
                <w:color w:val="000000"/>
                <w:sz w:val="20"/>
                <w:szCs w:val="20"/>
              </w:rPr>
            </w:pPr>
            <w:r>
              <w:rPr>
                <w:rFonts w:eastAsia="Times New Roman"/>
                <w:color w:val="000000"/>
                <w:sz w:val="20"/>
                <w:szCs w:val="20"/>
              </w:rPr>
              <w:t>449</w:t>
            </w:r>
          </w:p>
        </w:tc>
        <w:tc>
          <w:tcPr>
            <w:tcW w:w="990" w:type="dxa"/>
            <w:tcBorders>
              <w:top w:val="nil"/>
              <w:left w:val="nil"/>
              <w:bottom w:val="single" w:color="auto" w:sz="4" w:space="0"/>
              <w:right w:val="single" w:color="auto" w:sz="4" w:space="0"/>
            </w:tcBorders>
            <w:shd w:val="clear" w:color="auto" w:fill="auto"/>
            <w:vAlign w:val="bottom"/>
          </w:tcPr>
          <w:p w:rsidR="00153833" w:rsidP="00F43E71" w:rsidRDefault="00153833" w14:paraId="72F12589" w14:textId="77777777">
            <w:pPr>
              <w:jc w:val="right"/>
              <w:rPr>
                <w:rFonts w:eastAsia="Times New Roman"/>
                <w:color w:val="000000"/>
                <w:sz w:val="20"/>
                <w:szCs w:val="20"/>
              </w:rPr>
            </w:pPr>
          </w:p>
        </w:tc>
        <w:tc>
          <w:tcPr>
            <w:tcW w:w="1170" w:type="dxa"/>
            <w:tcBorders>
              <w:top w:val="nil"/>
              <w:left w:val="nil"/>
              <w:bottom w:val="single" w:color="auto" w:sz="4" w:space="0"/>
              <w:right w:val="single" w:color="auto" w:sz="4" w:space="0"/>
            </w:tcBorders>
          </w:tcPr>
          <w:p w:rsidRPr="003F0783" w:rsidR="00153833" w:rsidP="00F43E71" w:rsidRDefault="00DF7DAC" w14:paraId="2839F215" w14:textId="7CE91C3F">
            <w:pPr>
              <w:jc w:val="right"/>
              <w:rPr>
                <w:rFonts w:eastAsia="Times New Roman"/>
                <w:color w:val="000000"/>
                <w:sz w:val="20"/>
                <w:szCs w:val="20"/>
              </w:rPr>
            </w:pPr>
            <w:r>
              <w:rPr>
                <w:rFonts w:eastAsia="Times New Roman"/>
                <w:color w:val="000000"/>
                <w:sz w:val="20"/>
                <w:szCs w:val="20"/>
              </w:rPr>
              <w:t>$</w:t>
            </w:r>
            <w:r w:rsidR="00160E9A">
              <w:rPr>
                <w:rFonts w:eastAsia="Times New Roman"/>
                <w:color w:val="000000"/>
                <w:sz w:val="20"/>
                <w:szCs w:val="20"/>
              </w:rPr>
              <w:t>85,310</w:t>
            </w:r>
          </w:p>
        </w:tc>
        <w:tc>
          <w:tcPr>
            <w:tcW w:w="1000" w:type="dxa"/>
            <w:tcBorders>
              <w:top w:val="nil"/>
              <w:left w:val="single" w:color="auto" w:sz="4" w:space="0"/>
              <w:bottom w:val="single" w:color="auto" w:sz="4" w:space="0"/>
              <w:right w:val="single" w:color="auto" w:sz="4" w:space="0"/>
            </w:tcBorders>
            <w:shd w:val="clear" w:color="auto" w:fill="auto"/>
            <w:vAlign w:val="bottom"/>
          </w:tcPr>
          <w:p w:rsidRPr="003F0783" w:rsidR="00153833" w:rsidP="00F43E71" w:rsidRDefault="00DF7DAC" w14:paraId="5208C61A" w14:textId="39F7D774">
            <w:pPr>
              <w:jc w:val="right"/>
              <w:rPr>
                <w:rFonts w:eastAsia="Times New Roman"/>
                <w:color w:val="000000"/>
                <w:sz w:val="20"/>
                <w:szCs w:val="20"/>
              </w:rPr>
            </w:pPr>
            <w:r>
              <w:rPr>
                <w:rFonts w:eastAsia="Times New Roman"/>
                <w:color w:val="000000"/>
                <w:sz w:val="20"/>
                <w:szCs w:val="20"/>
              </w:rPr>
              <w:t>$</w:t>
            </w:r>
            <w:r w:rsidR="00587147">
              <w:rPr>
                <w:rFonts w:eastAsia="Times New Roman"/>
                <w:color w:val="000000"/>
                <w:sz w:val="20"/>
                <w:szCs w:val="20"/>
              </w:rPr>
              <w:t>85,310</w:t>
            </w:r>
          </w:p>
        </w:tc>
      </w:tr>
      <w:tr w:rsidRPr="003F0783" w:rsidR="002D14BB" w:rsidTr="00F25561" w14:paraId="7A4C32CC" w14:textId="77777777">
        <w:trPr>
          <w:trHeight w:val="255"/>
          <w:jc w:val="center"/>
        </w:trPr>
        <w:tc>
          <w:tcPr>
            <w:tcW w:w="4135" w:type="dxa"/>
            <w:gridSpan w:val="2"/>
            <w:tcBorders>
              <w:top w:val="nil"/>
              <w:left w:val="single" w:color="auto" w:sz="4" w:space="0"/>
              <w:bottom w:val="single" w:color="auto" w:sz="4" w:space="0"/>
              <w:right w:val="single" w:color="auto" w:sz="4" w:space="0"/>
            </w:tcBorders>
            <w:shd w:val="clear" w:color="auto" w:fill="auto"/>
          </w:tcPr>
          <w:p w:rsidRPr="003F0783" w:rsidR="002D14BB" w:rsidP="00F43E71" w:rsidRDefault="002D14BB" w14:paraId="6036A8F8" w14:textId="0BE694F3">
            <w:pPr>
              <w:rPr>
                <w:sz w:val="20"/>
                <w:szCs w:val="20"/>
              </w:rPr>
            </w:pPr>
            <w:r w:rsidRPr="003F0783">
              <w:rPr>
                <w:sz w:val="20"/>
                <w:szCs w:val="20"/>
              </w:rPr>
              <w:t>DAHS debugging</w:t>
            </w:r>
          </w:p>
        </w:tc>
        <w:tc>
          <w:tcPr>
            <w:tcW w:w="980" w:type="dxa"/>
            <w:tcBorders>
              <w:top w:val="nil"/>
              <w:left w:val="nil"/>
              <w:bottom w:val="single" w:color="auto" w:sz="4" w:space="0"/>
              <w:right w:val="single" w:color="auto" w:sz="4" w:space="0"/>
            </w:tcBorders>
            <w:shd w:val="clear" w:color="auto" w:fill="auto"/>
            <w:vAlign w:val="bottom"/>
          </w:tcPr>
          <w:p w:rsidRPr="003F0783" w:rsidR="002D14BB" w:rsidP="00F43E71" w:rsidRDefault="002D14BB" w14:paraId="2BFD2256" w14:textId="77777777">
            <w:pPr>
              <w:jc w:val="right"/>
              <w:rPr>
                <w:rFonts w:eastAsia="Times New Roman"/>
                <w:color w:val="000000"/>
                <w:sz w:val="20"/>
                <w:szCs w:val="20"/>
              </w:rPr>
            </w:pPr>
            <w:r w:rsidRPr="003F0783">
              <w:rPr>
                <w:rFonts w:eastAsia="Times New Roman"/>
                <w:color w:val="000000"/>
                <w:sz w:val="20"/>
                <w:szCs w:val="20"/>
              </w:rPr>
              <w:t>1</w:t>
            </w:r>
          </w:p>
        </w:tc>
        <w:tc>
          <w:tcPr>
            <w:tcW w:w="981" w:type="dxa"/>
            <w:tcBorders>
              <w:top w:val="nil"/>
              <w:left w:val="nil"/>
              <w:bottom w:val="single" w:color="auto" w:sz="4" w:space="0"/>
              <w:right w:val="single" w:color="auto" w:sz="4" w:space="0"/>
            </w:tcBorders>
            <w:shd w:val="clear" w:color="auto" w:fill="auto"/>
            <w:vAlign w:val="bottom"/>
          </w:tcPr>
          <w:p w:rsidRPr="003F0783" w:rsidR="002D14BB" w:rsidP="00F43E71" w:rsidRDefault="002D14BB" w14:paraId="291B1AD4" w14:textId="77777777">
            <w:pPr>
              <w:jc w:val="right"/>
              <w:rPr>
                <w:rFonts w:eastAsia="Times New Roman"/>
                <w:color w:val="000000"/>
                <w:sz w:val="20"/>
                <w:szCs w:val="20"/>
              </w:rPr>
            </w:pPr>
            <w:r w:rsidRPr="003F0783">
              <w:rPr>
                <w:rFonts w:eastAsia="Times New Roman"/>
                <w:color w:val="000000"/>
                <w:sz w:val="20"/>
                <w:szCs w:val="20"/>
              </w:rPr>
              <w:t>4</w:t>
            </w:r>
          </w:p>
        </w:tc>
        <w:tc>
          <w:tcPr>
            <w:tcW w:w="980" w:type="dxa"/>
            <w:tcBorders>
              <w:top w:val="nil"/>
              <w:left w:val="nil"/>
              <w:bottom w:val="single" w:color="auto" w:sz="4" w:space="0"/>
              <w:right w:val="single" w:color="auto" w:sz="4" w:space="0"/>
            </w:tcBorders>
            <w:shd w:val="clear" w:color="auto" w:fill="auto"/>
            <w:vAlign w:val="bottom"/>
          </w:tcPr>
          <w:p w:rsidRPr="003F0783" w:rsidR="002D14BB" w:rsidP="00F43E71" w:rsidRDefault="002D14BB" w14:paraId="0FE10BD6" w14:textId="77777777">
            <w:pPr>
              <w:jc w:val="right"/>
              <w:rPr>
                <w:rFonts w:eastAsia="Times New Roman"/>
                <w:color w:val="000000"/>
                <w:sz w:val="20"/>
                <w:szCs w:val="20"/>
              </w:rPr>
            </w:pPr>
            <w:r w:rsidRPr="003F0783">
              <w:rPr>
                <w:rFonts w:eastAsia="Times New Roman"/>
                <w:color w:val="000000"/>
                <w:sz w:val="20"/>
                <w:szCs w:val="20"/>
              </w:rPr>
              <w:t>5</w:t>
            </w:r>
          </w:p>
        </w:tc>
        <w:tc>
          <w:tcPr>
            <w:tcW w:w="981" w:type="dxa"/>
            <w:tcBorders>
              <w:top w:val="nil"/>
              <w:left w:val="nil"/>
              <w:bottom w:val="single" w:color="auto" w:sz="4" w:space="0"/>
              <w:right w:val="single" w:color="auto" w:sz="4" w:space="0"/>
            </w:tcBorders>
            <w:shd w:val="clear" w:color="auto" w:fill="auto"/>
            <w:vAlign w:val="bottom"/>
          </w:tcPr>
          <w:p w:rsidRPr="003F0783" w:rsidR="002D14BB" w:rsidP="00F43E71" w:rsidRDefault="002D14BB" w14:paraId="478FDBE5" w14:textId="77777777">
            <w:pPr>
              <w:jc w:val="right"/>
              <w:rPr>
                <w:rFonts w:eastAsia="Times New Roman"/>
                <w:color w:val="000000"/>
                <w:sz w:val="20"/>
                <w:szCs w:val="20"/>
              </w:rPr>
            </w:pPr>
            <w:r w:rsidRPr="003F0783">
              <w:rPr>
                <w:rFonts w:eastAsia="Times New Roman"/>
                <w:color w:val="000000"/>
                <w:sz w:val="20"/>
                <w:szCs w:val="20"/>
              </w:rPr>
              <w:t>$</w:t>
            </w:r>
            <w:r>
              <w:rPr>
                <w:rFonts w:eastAsia="Times New Roman"/>
                <w:color w:val="000000"/>
                <w:sz w:val="20"/>
                <w:szCs w:val="20"/>
              </w:rPr>
              <w:t>417</w:t>
            </w:r>
          </w:p>
        </w:tc>
        <w:tc>
          <w:tcPr>
            <w:tcW w:w="980" w:type="dxa"/>
            <w:tcBorders>
              <w:top w:val="nil"/>
              <w:left w:val="nil"/>
              <w:bottom w:val="single" w:color="auto" w:sz="4" w:space="0"/>
              <w:right w:val="single" w:color="auto" w:sz="4" w:space="0"/>
            </w:tcBorders>
            <w:shd w:val="clear" w:color="auto" w:fill="auto"/>
            <w:vAlign w:val="bottom"/>
          </w:tcPr>
          <w:p w:rsidRPr="003F0783" w:rsidR="002D14BB" w:rsidP="00F43E71" w:rsidRDefault="002D14BB" w14:paraId="74F3C125" w14:textId="77777777">
            <w:pPr>
              <w:jc w:val="right"/>
              <w:rPr>
                <w:rFonts w:eastAsia="Times New Roman"/>
                <w:color w:val="000000"/>
                <w:sz w:val="20"/>
                <w:szCs w:val="20"/>
              </w:rPr>
            </w:pPr>
          </w:p>
        </w:tc>
        <w:tc>
          <w:tcPr>
            <w:tcW w:w="981" w:type="dxa"/>
            <w:tcBorders>
              <w:top w:val="nil"/>
              <w:left w:val="nil"/>
              <w:bottom w:val="single" w:color="auto" w:sz="4" w:space="0"/>
              <w:right w:val="single" w:color="auto" w:sz="4" w:space="0"/>
            </w:tcBorders>
            <w:shd w:val="clear" w:color="auto" w:fill="auto"/>
            <w:vAlign w:val="bottom"/>
          </w:tcPr>
          <w:p w:rsidRPr="003F0783" w:rsidR="002D14BB" w:rsidP="00F43E71" w:rsidRDefault="002D14BB" w14:paraId="4645AA4B" w14:textId="77777777">
            <w:pPr>
              <w:jc w:val="right"/>
              <w:rPr>
                <w:rFonts w:eastAsia="Times New Roman"/>
                <w:color w:val="000000"/>
                <w:sz w:val="20"/>
                <w:szCs w:val="20"/>
              </w:rPr>
            </w:pPr>
          </w:p>
        </w:tc>
        <w:tc>
          <w:tcPr>
            <w:tcW w:w="867" w:type="dxa"/>
            <w:tcBorders>
              <w:top w:val="nil"/>
              <w:left w:val="nil"/>
              <w:bottom w:val="single" w:color="auto" w:sz="4" w:space="0"/>
              <w:right w:val="single" w:color="auto" w:sz="4" w:space="0"/>
            </w:tcBorders>
            <w:shd w:val="clear" w:color="auto" w:fill="auto"/>
            <w:vAlign w:val="bottom"/>
          </w:tcPr>
          <w:p w:rsidRPr="003F0783" w:rsidR="002D14BB" w:rsidP="00F43E71" w:rsidRDefault="002D14BB" w14:paraId="79A2D0D7" w14:textId="3FD272D8">
            <w:pPr>
              <w:jc w:val="right"/>
              <w:rPr>
                <w:rFonts w:eastAsia="Times New Roman"/>
                <w:color w:val="000000"/>
                <w:sz w:val="20"/>
                <w:szCs w:val="20"/>
              </w:rPr>
            </w:pPr>
            <w:r>
              <w:rPr>
                <w:rFonts w:eastAsia="Times New Roman"/>
                <w:color w:val="000000"/>
                <w:sz w:val="20"/>
                <w:szCs w:val="20"/>
              </w:rPr>
              <w:t>16</w:t>
            </w:r>
          </w:p>
        </w:tc>
        <w:tc>
          <w:tcPr>
            <w:tcW w:w="990" w:type="dxa"/>
            <w:tcBorders>
              <w:top w:val="nil"/>
              <w:left w:val="nil"/>
              <w:bottom w:val="single" w:color="auto" w:sz="4" w:space="0"/>
              <w:right w:val="single" w:color="auto" w:sz="4" w:space="0"/>
            </w:tcBorders>
            <w:shd w:val="clear" w:color="auto" w:fill="auto"/>
            <w:vAlign w:val="bottom"/>
          </w:tcPr>
          <w:p w:rsidRPr="003F0783" w:rsidR="002D14BB" w:rsidP="00F43E71" w:rsidRDefault="002D14BB" w14:paraId="7632C0E3" w14:textId="078CA0BD">
            <w:pPr>
              <w:jc w:val="right"/>
              <w:rPr>
                <w:rFonts w:eastAsia="Times New Roman"/>
                <w:color w:val="000000"/>
                <w:sz w:val="20"/>
                <w:szCs w:val="20"/>
              </w:rPr>
            </w:pPr>
            <w:r>
              <w:rPr>
                <w:rFonts w:eastAsia="Times New Roman"/>
                <w:color w:val="000000"/>
                <w:sz w:val="20"/>
                <w:szCs w:val="20"/>
              </w:rPr>
              <w:t>80</w:t>
            </w:r>
          </w:p>
        </w:tc>
        <w:tc>
          <w:tcPr>
            <w:tcW w:w="1170" w:type="dxa"/>
            <w:tcBorders>
              <w:top w:val="nil"/>
              <w:left w:val="nil"/>
              <w:bottom w:val="single" w:color="auto" w:sz="4" w:space="0"/>
              <w:right w:val="single" w:color="auto" w:sz="4" w:space="0"/>
            </w:tcBorders>
          </w:tcPr>
          <w:p w:rsidRPr="003F0783" w:rsidR="002D14BB" w:rsidP="00F43E71" w:rsidRDefault="002D14BB" w14:paraId="76D5B2A0" w14:textId="77777777">
            <w:pPr>
              <w:jc w:val="right"/>
              <w:rPr>
                <w:rFonts w:eastAsia="Times New Roman"/>
                <w:color w:val="000000"/>
                <w:sz w:val="20"/>
                <w:szCs w:val="20"/>
              </w:rPr>
            </w:pPr>
          </w:p>
        </w:tc>
        <w:tc>
          <w:tcPr>
            <w:tcW w:w="1000" w:type="dxa"/>
            <w:tcBorders>
              <w:top w:val="nil"/>
              <w:left w:val="single" w:color="auto" w:sz="4" w:space="0"/>
              <w:bottom w:val="single" w:color="auto" w:sz="4" w:space="0"/>
              <w:right w:val="single" w:color="auto" w:sz="4" w:space="0"/>
            </w:tcBorders>
            <w:shd w:val="clear" w:color="auto" w:fill="auto"/>
            <w:vAlign w:val="bottom"/>
          </w:tcPr>
          <w:p w:rsidRPr="003F0783" w:rsidR="002D14BB" w:rsidP="00F43E71" w:rsidRDefault="002D14BB" w14:paraId="141EBD2D" w14:textId="06B2077B">
            <w:pPr>
              <w:jc w:val="right"/>
              <w:rPr>
                <w:rFonts w:eastAsia="Times New Roman"/>
                <w:color w:val="000000"/>
                <w:sz w:val="20"/>
                <w:szCs w:val="20"/>
              </w:rPr>
            </w:pPr>
            <w:r w:rsidRPr="003F0783">
              <w:rPr>
                <w:rFonts w:eastAsia="Times New Roman"/>
                <w:color w:val="000000"/>
                <w:sz w:val="20"/>
                <w:szCs w:val="20"/>
              </w:rPr>
              <w:t>$</w:t>
            </w:r>
            <w:r>
              <w:rPr>
                <w:rFonts w:eastAsia="Times New Roman"/>
                <w:color w:val="000000"/>
                <w:sz w:val="20"/>
                <w:szCs w:val="20"/>
              </w:rPr>
              <w:t>6,672</w:t>
            </w:r>
          </w:p>
        </w:tc>
      </w:tr>
      <w:tr w:rsidRPr="003F0783" w:rsidR="004D6A1D" w:rsidTr="00F25561" w14:paraId="4D52526D" w14:textId="77777777">
        <w:trPr>
          <w:trHeight w:val="255"/>
          <w:jc w:val="center"/>
        </w:trPr>
        <w:tc>
          <w:tcPr>
            <w:tcW w:w="4135" w:type="dxa"/>
            <w:gridSpan w:val="2"/>
            <w:tcBorders>
              <w:top w:val="nil"/>
              <w:left w:val="single" w:color="auto" w:sz="4" w:space="0"/>
              <w:bottom w:val="single" w:color="auto" w:sz="4" w:space="0"/>
              <w:right w:val="single" w:color="auto" w:sz="4" w:space="0"/>
            </w:tcBorders>
            <w:shd w:val="clear" w:color="auto" w:fill="auto"/>
          </w:tcPr>
          <w:p w:rsidRPr="003F0783" w:rsidR="004D6A1D" w:rsidP="00F43E71" w:rsidRDefault="004D6A1D" w14:paraId="4C04EF5D" w14:textId="5BBD9C1D">
            <w:pPr>
              <w:rPr>
                <w:sz w:val="20"/>
                <w:szCs w:val="20"/>
              </w:rPr>
            </w:pPr>
            <w:r>
              <w:rPr>
                <w:sz w:val="20"/>
                <w:szCs w:val="20"/>
              </w:rPr>
              <w:t>New Unit Monitoring Plans</w:t>
            </w:r>
            <w:r w:rsidRPr="00367C27" w:rsidR="009A7319">
              <w:rPr>
                <w:sz w:val="20"/>
                <w:szCs w:val="20"/>
                <w:vertAlign w:val="superscript"/>
              </w:rPr>
              <w:t>5</w:t>
            </w:r>
          </w:p>
        </w:tc>
        <w:tc>
          <w:tcPr>
            <w:tcW w:w="980" w:type="dxa"/>
            <w:tcBorders>
              <w:top w:val="nil"/>
              <w:left w:val="nil"/>
              <w:bottom w:val="single" w:color="auto" w:sz="4" w:space="0"/>
              <w:right w:val="single" w:color="auto" w:sz="4" w:space="0"/>
            </w:tcBorders>
            <w:shd w:val="clear" w:color="auto" w:fill="auto"/>
            <w:vAlign w:val="bottom"/>
          </w:tcPr>
          <w:p w:rsidRPr="003F0783" w:rsidR="004D6A1D" w:rsidP="00F43E71" w:rsidRDefault="005C42C1" w14:paraId="745F9C2C" w14:textId="7AE8DA98">
            <w:pPr>
              <w:jc w:val="right"/>
              <w:rPr>
                <w:rFonts w:eastAsia="Times New Roman"/>
                <w:color w:val="000000"/>
                <w:sz w:val="20"/>
                <w:szCs w:val="20"/>
              </w:rPr>
            </w:pPr>
            <w:r>
              <w:rPr>
                <w:rFonts w:eastAsia="Times New Roman"/>
                <w:color w:val="000000"/>
                <w:sz w:val="20"/>
                <w:szCs w:val="20"/>
              </w:rPr>
              <w:t>10</w:t>
            </w:r>
          </w:p>
        </w:tc>
        <w:tc>
          <w:tcPr>
            <w:tcW w:w="981" w:type="dxa"/>
            <w:tcBorders>
              <w:top w:val="nil"/>
              <w:left w:val="nil"/>
              <w:bottom w:val="single" w:color="auto" w:sz="4" w:space="0"/>
              <w:right w:val="single" w:color="auto" w:sz="4" w:space="0"/>
            </w:tcBorders>
            <w:shd w:val="clear" w:color="auto" w:fill="auto"/>
            <w:vAlign w:val="bottom"/>
          </w:tcPr>
          <w:p w:rsidRPr="003F0783" w:rsidR="004D6A1D" w:rsidP="00F43E71" w:rsidRDefault="005C42C1" w14:paraId="12F73893" w14:textId="56C771D7">
            <w:pPr>
              <w:jc w:val="right"/>
              <w:rPr>
                <w:rFonts w:eastAsia="Times New Roman"/>
                <w:color w:val="000000"/>
                <w:sz w:val="20"/>
                <w:szCs w:val="20"/>
              </w:rPr>
            </w:pPr>
            <w:r>
              <w:rPr>
                <w:rFonts w:eastAsia="Times New Roman"/>
                <w:color w:val="000000"/>
                <w:sz w:val="20"/>
                <w:szCs w:val="20"/>
              </w:rPr>
              <w:t>10</w:t>
            </w:r>
          </w:p>
        </w:tc>
        <w:tc>
          <w:tcPr>
            <w:tcW w:w="980" w:type="dxa"/>
            <w:tcBorders>
              <w:top w:val="nil"/>
              <w:left w:val="nil"/>
              <w:bottom w:val="single" w:color="auto" w:sz="4" w:space="0"/>
              <w:right w:val="single" w:color="auto" w:sz="4" w:space="0"/>
            </w:tcBorders>
            <w:shd w:val="clear" w:color="auto" w:fill="auto"/>
            <w:vAlign w:val="bottom"/>
          </w:tcPr>
          <w:p w:rsidRPr="003F0783" w:rsidR="004D6A1D" w:rsidP="00F43E71" w:rsidRDefault="005C42C1" w14:paraId="31422B28" w14:textId="5F50EB16">
            <w:pPr>
              <w:jc w:val="right"/>
              <w:rPr>
                <w:rFonts w:eastAsia="Times New Roman"/>
                <w:color w:val="000000"/>
                <w:sz w:val="20"/>
                <w:szCs w:val="20"/>
              </w:rPr>
            </w:pPr>
            <w:r>
              <w:rPr>
                <w:rFonts w:eastAsia="Times New Roman"/>
                <w:color w:val="000000"/>
                <w:sz w:val="20"/>
                <w:szCs w:val="20"/>
              </w:rPr>
              <w:t>20</w:t>
            </w:r>
          </w:p>
        </w:tc>
        <w:tc>
          <w:tcPr>
            <w:tcW w:w="981" w:type="dxa"/>
            <w:tcBorders>
              <w:top w:val="nil"/>
              <w:left w:val="nil"/>
              <w:bottom w:val="single" w:color="auto" w:sz="4" w:space="0"/>
              <w:right w:val="single" w:color="auto" w:sz="4" w:space="0"/>
            </w:tcBorders>
            <w:shd w:val="clear" w:color="auto" w:fill="auto"/>
            <w:vAlign w:val="bottom"/>
          </w:tcPr>
          <w:p w:rsidRPr="003F0783" w:rsidR="004D6A1D" w:rsidP="00F43E71" w:rsidRDefault="005C42C1" w14:paraId="527E6982" w14:textId="59B6A71E">
            <w:pPr>
              <w:jc w:val="right"/>
              <w:rPr>
                <w:rFonts w:eastAsia="Times New Roman"/>
                <w:color w:val="000000"/>
                <w:sz w:val="20"/>
                <w:szCs w:val="20"/>
              </w:rPr>
            </w:pPr>
            <w:r>
              <w:rPr>
                <w:rFonts w:eastAsia="Times New Roman"/>
                <w:color w:val="000000"/>
                <w:sz w:val="20"/>
                <w:szCs w:val="20"/>
              </w:rPr>
              <w:t>$1,860</w:t>
            </w:r>
          </w:p>
        </w:tc>
        <w:tc>
          <w:tcPr>
            <w:tcW w:w="980" w:type="dxa"/>
            <w:tcBorders>
              <w:top w:val="nil"/>
              <w:left w:val="nil"/>
              <w:bottom w:val="single" w:color="auto" w:sz="4" w:space="0"/>
              <w:right w:val="single" w:color="auto" w:sz="4" w:space="0"/>
            </w:tcBorders>
            <w:shd w:val="clear" w:color="auto" w:fill="auto"/>
            <w:vAlign w:val="bottom"/>
          </w:tcPr>
          <w:p w:rsidRPr="003F0783" w:rsidR="004D6A1D" w:rsidP="00F43E71" w:rsidRDefault="004D6A1D" w14:paraId="56A2811C" w14:textId="77777777">
            <w:pPr>
              <w:jc w:val="right"/>
              <w:rPr>
                <w:rFonts w:eastAsia="Times New Roman"/>
                <w:color w:val="000000"/>
                <w:sz w:val="20"/>
                <w:szCs w:val="20"/>
              </w:rPr>
            </w:pPr>
          </w:p>
        </w:tc>
        <w:tc>
          <w:tcPr>
            <w:tcW w:w="981" w:type="dxa"/>
            <w:tcBorders>
              <w:top w:val="nil"/>
              <w:left w:val="nil"/>
              <w:bottom w:val="single" w:color="auto" w:sz="4" w:space="0"/>
              <w:right w:val="single" w:color="auto" w:sz="4" w:space="0"/>
            </w:tcBorders>
            <w:shd w:val="clear" w:color="auto" w:fill="auto"/>
            <w:vAlign w:val="bottom"/>
          </w:tcPr>
          <w:p w:rsidRPr="003F0783" w:rsidR="004D6A1D" w:rsidP="00F43E71" w:rsidRDefault="004D6A1D" w14:paraId="333FE3B1" w14:textId="77777777">
            <w:pPr>
              <w:jc w:val="right"/>
              <w:rPr>
                <w:rFonts w:eastAsia="Times New Roman"/>
                <w:color w:val="000000"/>
                <w:sz w:val="20"/>
                <w:szCs w:val="20"/>
              </w:rPr>
            </w:pPr>
          </w:p>
        </w:tc>
        <w:tc>
          <w:tcPr>
            <w:tcW w:w="867" w:type="dxa"/>
            <w:tcBorders>
              <w:top w:val="nil"/>
              <w:left w:val="nil"/>
              <w:bottom w:val="single" w:color="auto" w:sz="4" w:space="0"/>
              <w:right w:val="single" w:color="auto" w:sz="4" w:space="0"/>
            </w:tcBorders>
            <w:shd w:val="clear" w:color="auto" w:fill="auto"/>
            <w:vAlign w:val="bottom"/>
          </w:tcPr>
          <w:p w:rsidR="004D6A1D" w:rsidP="00F43E71" w:rsidRDefault="00B71F37" w14:paraId="350ED2F2" w14:textId="3C01FF70">
            <w:pPr>
              <w:jc w:val="right"/>
              <w:rPr>
                <w:rFonts w:eastAsia="Times New Roman"/>
                <w:color w:val="000000"/>
                <w:sz w:val="20"/>
                <w:szCs w:val="20"/>
              </w:rPr>
            </w:pPr>
            <w:r>
              <w:rPr>
                <w:rFonts w:eastAsia="Times New Roman"/>
                <w:color w:val="000000"/>
                <w:sz w:val="20"/>
                <w:szCs w:val="20"/>
              </w:rPr>
              <w:t>6</w:t>
            </w:r>
          </w:p>
        </w:tc>
        <w:tc>
          <w:tcPr>
            <w:tcW w:w="990" w:type="dxa"/>
            <w:tcBorders>
              <w:top w:val="nil"/>
              <w:left w:val="nil"/>
              <w:bottom w:val="single" w:color="auto" w:sz="4" w:space="0"/>
              <w:right w:val="single" w:color="auto" w:sz="4" w:space="0"/>
            </w:tcBorders>
            <w:shd w:val="clear" w:color="auto" w:fill="auto"/>
            <w:vAlign w:val="bottom"/>
          </w:tcPr>
          <w:p w:rsidR="004D6A1D" w:rsidP="00F43E71" w:rsidRDefault="00AE4588" w14:paraId="14BF58FF" w14:textId="5E065C80">
            <w:pPr>
              <w:jc w:val="right"/>
              <w:rPr>
                <w:rFonts w:eastAsia="Times New Roman"/>
                <w:color w:val="000000"/>
                <w:sz w:val="20"/>
                <w:szCs w:val="20"/>
              </w:rPr>
            </w:pPr>
            <w:r>
              <w:rPr>
                <w:rFonts w:eastAsia="Times New Roman"/>
                <w:color w:val="000000"/>
                <w:sz w:val="20"/>
                <w:szCs w:val="20"/>
              </w:rPr>
              <w:t>1</w:t>
            </w:r>
            <w:r w:rsidR="006A401C">
              <w:rPr>
                <w:rFonts w:eastAsia="Times New Roman"/>
                <w:color w:val="000000"/>
                <w:sz w:val="20"/>
                <w:szCs w:val="20"/>
              </w:rPr>
              <w:t>2</w:t>
            </w:r>
            <w:r>
              <w:rPr>
                <w:rFonts w:eastAsia="Times New Roman"/>
                <w:color w:val="000000"/>
                <w:sz w:val="20"/>
                <w:szCs w:val="20"/>
              </w:rPr>
              <w:t>0</w:t>
            </w:r>
          </w:p>
        </w:tc>
        <w:tc>
          <w:tcPr>
            <w:tcW w:w="1170" w:type="dxa"/>
            <w:tcBorders>
              <w:top w:val="nil"/>
              <w:left w:val="nil"/>
              <w:bottom w:val="single" w:color="auto" w:sz="4" w:space="0"/>
              <w:right w:val="single" w:color="auto" w:sz="4" w:space="0"/>
            </w:tcBorders>
          </w:tcPr>
          <w:p w:rsidRPr="003F0783" w:rsidR="004D6A1D" w:rsidP="00F43E71" w:rsidRDefault="004D6A1D" w14:paraId="0BC5E244" w14:textId="77777777">
            <w:pPr>
              <w:jc w:val="right"/>
              <w:rPr>
                <w:rFonts w:eastAsia="Times New Roman"/>
                <w:color w:val="000000"/>
                <w:sz w:val="20"/>
                <w:szCs w:val="20"/>
              </w:rPr>
            </w:pPr>
          </w:p>
        </w:tc>
        <w:tc>
          <w:tcPr>
            <w:tcW w:w="1000" w:type="dxa"/>
            <w:tcBorders>
              <w:top w:val="nil"/>
              <w:left w:val="single" w:color="auto" w:sz="4" w:space="0"/>
              <w:bottom w:val="single" w:color="auto" w:sz="4" w:space="0"/>
              <w:right w:val="single" w:color="auto" w:sz="4" w:space="0"/>
            </w:tcBorders>
            <w:shd w:val="clear" w:color="auto" w:fill="auto"/>
            <w:vAlign w:val="bottom"/>
          </w:tcPr>
          <w:p w:rsidRPr="003F0783" w:rsidR="004D6A1D" w:rsidP="00F43E71" w:rsidRDefault="00FB45BD" w14:paraId="418603F3" w14:textId="26DB88DB">
            <w:pPr>
              <w:jc w:val="right"/>
              <w:rPr>
                <w:rFonts w:eastAsia="Times New Roman"/>
                <w:color w:val="000000"/>
                <w:sz w:val="20"/>
                <w:szCs w:val="20"/>
              </w:rPr>
            </w:pPr>
            <w:r>
              <w:rPr>
                <w:rFonts w:eastAsia="Times New Roman"/>
                <w:color w:val="000000"/>
                <w:sz w:val="20"/>
                <w:szCs w:val="20"/>
              </w:rPr>
              <w:t>$11,160</w:t>
            </w:r>
          </w:p>
        </w:tc>
      </w:tr>
      <w:tr w:rsidRPr="003F0783" w:rsidR="002D14BB" w:rsidTr="002D14BB" w14:paraId="233B79F6" w14:textId="77777777">
        <w:trPr>
          <w:trHeight w:val="255"/>
          <w:jc w:val="center"/>
        </w:trPr>
        <w:tc>
          <w:tcPr>
            <w:tcW w:w="1085" w:type="dxa"/>
            <w:tcBorders>
              <w:top w:val="single" w:color="auto" w:sz="4" w:space="0"/>
              <w:left w:val="single" w:color="auto" w:sz="4" w:space="0"/>
              <w:bottom w:val="single" w:color="auto" w:sz="4" w:space="0"/>
              <w:right w:val="single" w:color="auto" w:sz="4" w:space="0"/>
            </w:tcBorders>
          </w:tcPr>
          <w:p w:rsidRPr="003F0783" w:rsidR="002D14BB" w:rsidP="00013446" w:rsidRDefault="002D14BB" w14:paraId="0138DFDF" w14:textId="77777777">
            <w:pPr>
              <w:rPr>
                <w:bCs/>
                <w:sz w:val="20"/>
                <w:szCs w:val="20"/>
              </w:rPr>
            </w:pPr>
          </w:p>
        </w:tc>
        <w:tc>
          <w:tcPr>
            <w:tcW w:w="12960" w:type="dxa"/>
            <w:gridSpan w:val="11"/>
            <w:tcBorders>
              <w:top w:val="single" w:color="auto" w:sz="4" w:space="0"/>
              <w:left w:val="single" w:color="auto" w:sz="4" w:space="0"/>
              <w:bottom w:val="single" w:color="auto" w:sz="4" w:space="0"/>
              <w:right w:val="single" w:color="auto" w:sz="4" w:space="0"/>
            </w:tcBorders>
            <w:shd w:val="clear" w:color="auto" w:fill="auto"/>
          </w:tcPr>
          <w:p w:rsidRPr="003F0783" w:rsidR="002D14BB" w:rsidP="00013446" w:rsidRDefault="002D14BB" w14:paraId="2F1712DD" w14:textId="2D326426">
            <w:pPr>
              <w:rPr>
                <w:rFonts w:eastAsia="Times New Roman"/>
                <w:color w:val="000000"/>
                <w:sz w:val="20"/>
                <w:szCs w:val="20"/>
              </w:rPr>
            </w:pPr>
            <w:r w:rsidRPr="003F0783">
              <w:rPr>
                <w:bCs/>
                <w:sz w:val="20"/>
                <w:szCs w:val="20"/>
              </w:rPr>
              <w:t>Start-up/capital items and performance of QA testing and maintenance, by monitoring approach:</w:t>
            </w:r>
          </w:p>
        </w:tc>
      </w:tr>
      <w:tr w:rsidRPr="003F0783" w:rsidR="002D14BB" w:rsidTr="00DB05C3" w14:paraId="62C599CC" w14:textId="77777777">
        <w:trPr>
          <w:trHeight w:val="255"/>
          <w:jc w:val="center"/>
        </w:trPr>
        <w:tc>
          <w:tcPr>
            <w:tcW w:w="4135" w:type="dxa"/>
            <w:gridSpan w:val="2"/>
            <w:tcBorders>
              <w:top w:val="single" w:color="auto" w:sz="4" w:space="0"/>
              <w:left w:val="single" w:color="auto" w:sz="4" w:space="0"/>
              <w:bottom w:val="single" w:color="auto" w:sz="4" w:space="0"/>
              <w:right w:val="single" w:color="auto" w:sz="4" w:space="0"/>
            </w:tcBorders>
            <w:shd w:val="clear" w:color="auto" w:fill="auto"/>
          </w:tcPr>
          <w:p w:rsidRPr="003F0783" w:rsidR="002D14BB" w:rsidP="00586D11" w:rsidRDefault="002D14BB" w14:paraId="5A1972C9" w14:textId="19E6C907">
            <w:pPr>
              <w:ind w:left="720"/>
              <w:rPr>
                <w:sz w:val="20"/>
                <w:szCs w:val="20"/>
              </w:rPr>
            </w:pPr>
            <w:r w:rsidRPr="003F0783">
              <w:rPr>
                <w:sz w:val="20"/>
                <w:szCs w:val="20"/>
              </w:rPr>
              <w:t>Solid fuel units: SO</w:t>
            </w:r>
            <w:r w:rsidRPr="003F0783">
              <w:rPr>
                <w:sz w:val="20"/>
                <w:szCs w:val="20"/>
                <w:vertAlign w:val="subscript"/>
              </w:rPr>
              <w:t>2</w:t>
            </w:r>
            <w:r w:rsidRPr="003F0783">
              <w:rPr>
                <w:sz w:val="20"/>
                <w:szCs w:val="20"/>
              </w:rPr>
              <w:t xml:space="preserve"> CEMS (where needed), NO</w:t>
            </w:r>
            <w:r w:rsidRPr="003F0783">
              <w:rPr>
                <w:sz w:val="20"/>
                <w:szCs w:val="20"/>
                <w:vertAlign w:val="subscript"/>
              </w:rPr>
              <w:t>X</w:t>
            </w:r>
            <w:r w:rsidRPr="003F0783">
              <w:rPr>
                <w:sz w:val="20"/>
                <w:szCs w:val="20"/>
              </w:rPr>
              <w:t xml:space="preserve"> CEMS, and stack flow CEMS</w:t>
            </w:r>
          </w:p>
        </w:tc>
        <w:tc>
          <w:tcPr>
            <w:tcW w:w="980" w:type="dxa"/>
            <w:tcBorders>
              <w:top w:val="single" w:color="auto" w:sz="4" w:space="0"/>
              <w:left w:val="nil"/>
              <w:bottom w:val="single" w:color="auto" w:sz="4" w:space="0"/>
              <w:right w:val="single" w:color="auto" w:sz="4" w:space="0"/>
            </w:tcBorders>
            <w:shd w:val="clear" w:color="auto" w:fill="auto"/>
            <w:vAlign w:val="bottom"/>
          </w:tcPr>
          <w:p w:rsidRPr="003F0783" w:rsidR="002D14BB" w:rsidP="00F43E71" w:rsidRDefault="002D14BB" w14:paraId="1D5577C4" w14:textId="45BAE311">
            <w:pPr>
              <w:jc w:val="right"/>
              <w:rPr>
                <w:rFonts w:eastAsia="Times New Roman"/>
                <w:color w:val="000000"/>
                <w:sz w:val="20"/>
                <w:szCs w:val="20"/>
              </w:rPr>
            </w:pPr>
            <w:r w:rsidRPr="003F0783">
              <w:rPr>
                <w:rFonts w:eastAsia="Times New Roman"/>
                <w:color w:val="000000"/>
                <w:sz w:val="20"/>
                <w:szCs w:val="20"/>
              </w:rPr>
              <w:t>50</w:t>
            </w:r>
          </w:p>
        </w:tc>
        <w:tc>
          <w:tcPr>
            <w:tcW w:w="981" w:type="dxa"/>
            <w:tcBorders>
              <w:top w:val="single" w:color="auto" w:sz="4" w:space="0"/>
              <w:left w:val="nil"/>
              <w:bottom w:val="single" w:color="auto" w:sz="4" w:space="0"/>
              <w:right w:val="single" w:color="auto" w:sz="4" w:space="0"/>
            </w:tcBorders>
            <w:shd w:val="clear" w:color="auto" w:fill="auto"/>
            <w:vAlign w:val="bottom"/>
          </w:tcPr>
          <w:p w:rsidRPr="003F0783" w:rsidR="002D14BB" w:rsidP="00F43E71" w:rsidRDefault="002D14BB" w14:paraId="72E05F82" w14:textId="2DA5CEA1">
            <w:pPr>
              <w:jc w:val="right"/>
              <w:rPr>
                <w:rFonts w:eastAsia="Times New Roman"/>
                <w:color w:val="000000"/>
                <w:sz w:val="20"/>
                <w:szCs w:val="20"/>
              </w:rPr>
            </w:pPr>
            <w:r>
              <w:rPr>
                <w:rFonts w:eastAsia="Times New Roman"/>
                <w:color w:val="000000"/>
                <w:sz w:val="20"/>
                <w:szCs w:val="20"/>
              </w:rPr>
              <w:t>480</w:t>
            </w:r>
          </w:p>
        </w:tc>
        <w:tc>
          <w:tcPr>
            <w:tcW w:w="980" w:type="dxa"/>
            <w:tcBorders>
              <w:top w:val="single" w:color="auto" w:sz="4" w:space="0"/>
              <w:left w:val="nil"/>
              <w:bottom w:val="single" w:color="auto" w:sz="4" w:space="0"/>
              <w:right w:val="single" w:color="auto" w:sz="4" w:space="0"/>
            </w:tcBorders>
            <w:shd w:val="clear" w:color="auto" w:fill="auto"/>
            <w:vAlign w:val="bottom"/>
          </w:tcPr>
          <w:p w:rsidRPr="003F0783" w:rsidR="002D14BB" w:rsidP="00F43E71" w:rsidRDefault="002D14BB" w14:paraId="24BCFF1B" w14:textId="4CF4CCF4">
            <w:pPr>
              <w:jc w:val="right"/>
              <w:rPr>
                <w:rFonts w:eastAsia="Times New Roman"/>
                <w:color w:val="000000"/>
                <w:sz w:val="20"/>
                <w:szCs w:val="20"/>
              </w:rPr>
            </w:pPr>
            <w:r>
              <w:rPr>
                <w:rFonts w:eastAsia="Times New Roman"/>
                <w:color w:val="000000"/>
                <w:sz w:val="20"/>
                <w:szCs w:val="20"/>
              </w:rPr>
              <w:t>530</w:t>
            </w:r>
          </w:p>
        </w:tc>
        <w:tc>
          <w:tcPr>
            <w:tcW w:w="981" w:type="dxa"/>
            <w:tcBorders>
              <w:top w:val="single" w:color="auto" w:sz="4" w:space="0"/>
              <w:left w:val="nil"/>
              <w:bottom w:val="single" w:color="auto" w:sz="4" w:space="0"/>
              <w:right w:val="single" w:color="auto" w:sz="4" w:space="0"/>
            </w:tcBorders>
            <w:shd w:val="clear" w:color="auto" w:fill="auto"/>
            <w:vAlign w:val="bottom"/>
          </w:tcPr>
          <w:p w:rsidRPr="003F0783" w:rsidR="002D14BB" w:rsidP="00F43E71" w:rsidRDefault="002D14BB" w14:paraId="01937279" w14:textId="66679E01">
            <w:pPr>
              <w:jc w:val="right"/>
              <w:rPr>
                <w:rFonts w:eastAsia="Times New Roman"/>
                <w:color w:val="000000"/>
                <w:sz w:val="20"/>
                <w:szCs w:val="20"/>
              </w:rPr>
            </w:pPr>
            <w:r w:rsidRPr="003F0783">
              <w:rPr>
                <w:rFonts w:eastAsia="Times New Roman"/>
                <w:color w:val="000000"/>
                <w:sz w:val="20"/>
                <w:szCs w:val="20"/>
              </w:rPr>
              <w:t>$</w:t>
            </w:r>
            <w:r>
              <w:rPr>
                <w:rFonts w:eastAsia="Times New Roman"/>
                <w:color w:val="000000"/>
                <w:sz w:val="20"/>
                <w:szCs w:val="20"/>
              </w:rPr>
              <w:t>42,477</w:t>
            </w:r>
          </w:p>
        </w:tc>
        <w:tc>
          <w:tcPr>
            <w:tcW w:w="980" w:type="dxa"/>
            <w:tcBorders>
              <w:top w:val="single" w:color="auto" w:sz="4" w:space="0"/>
              <w:left w:val="nil"/>
              <w:bottom w:val="single" w:color="auto" w:sz="4" w:space="0"/>
              <w:right w:val="single" w:color="auto" w:sz="4" w:space="0"/>
            </w:tcBorders>
            <w:shd w:val="clear" w:color="auto" w:fill="auto"/>
            <w:vAlign w:val="bottom"/>
          </w:tcPr>
          <w:p w:rsidRPr="003F0783" w:rsidR="002D14BB" w:rsidP="00F43E71" w:rsidRDefault="002D14BB" w14:paraId="109B4043" w14:textId="302585C0">
            <w:pPr>
              <w:jc w:val="right"/>
              <w:rPr>
                <w:rFonts w:eastAsia="Times New Roman"/>
                <w:color w:val="000000"/>
                <w:sz w:val="20"/>
                <w:szCs w:val="20"/>
              </w:rPr>
            </w:pPr>
            <w:r w:rsidRPr="003F0783">
              <w:rPr>
                <w:rFonts w:eastAsia="Times New Roman"/>
                <w:color w:val="000000"/>
                <w:sz w:val="20"/>
                <w:szCs w:val="20"/>
              </w:rPr>
              <w:t xml:space="preserve">$31,949 </w:t>
            </w:r>
          </w:p>
        </w:tc>
        <w:tc>
          <w:tcPr>
            <w:tcW w:w="981" w:type="dxa"/>
            <w:tcBorders>
              <w:top w:val="single" w:color="auto" w:sz="4" w:space="0"/>
              <w:left w:val="nil"/>
              <w:bottom w:val="single" w:color="auto" w:sz="4" w:space="0"/>
              <w:right w:val="single" w:color="auto" w:sz="4" w:space="0"/>
            </w:tcBorders>
            <w:shd w:val="clear" w:color="auto" w:fill="auto"/>
            <w:vAlign w:val="bottom"/>
          </w:tcPr>
          <w:p w:rsidRPr="003F0783" w:rsidR="002D14BB" w:rsidP="00F43E71" w:rsidRDefault="002D14BB" w14:paraId="2EFCF593" w14:textId="2A88D41E">
            <w:pPr>
              <w:jc w:val="right"/>
              <w:rPr>
                <w:rFonts w:eastAsia="Times New Roman"/>
                <w:color w:val="000000"/>
                <w:sz w:val="20"/>
                <w:szCs w:val="20"/>
              </w:rPr>
            </w:pPr>
            <w:r w:rsidRPr="003F0783">
              <w:rPr>
                <w:rFonts w:eastAsia="Times New Roman"/>
                <w:color w:val="000000"/>
                <w:sz w:val="20"/>
                <w:szCs w:val="20"/>
              </w:rPr>
              <w:t>$</w:t>
            </w:r>
            <w:r>
              <w:rPr>
                <w:rFonts w:eastAsia="Times New Roman"/>
                <w:color w:val="000000"/>
                <w:sz w:val="20"/>
                <w:szCs w:val="20"/>
              </w:rPr>
              <w:t>30,282</w:t>
            </w:r>
          </w:p>
        </w:tc>
        <w:tc>
          <w:tcPr>
            <w:tcW w:w="867" w:type="dxa"/>
            <w:tcBorders>
              <w:top w:val="single" w:color="auto" w:sz="4" w:space="0"/>
              <w:left w:val="nil"/>
              <w:bottom w:val="single" w:color="auto" w:sz="4" w:space="0"/>
              <w:right w:val="single" w:color="auto" w:sz="4" w:space="0"/>
            </w:tcBorders>
            <w:shd w:val="clear" w:color="auto" w:fill="auto"/>
            <w:vAlign w:val="bottom"/>
          </w:tcPr>
          <w:p w:rsidR="002D14BB" w:rsidP="00F43E71" w:rsidRDefault="002D14BB" w14:paraId="3965E653" w14:textId="5E3E53AB">
            <w:pPr>
              <w:jc w:val="right"/>
              <w:rPr>
                <w:rFonts w:eastAsia="Times New Roman"/>
                <w:color w:val="000000"/>
                <w:sz w:val="20"/>
                <w:szCs w:val="20"/>
              </w:rPr>
            </w:pPr>
            <w:r>
              <w:rPr>
                <w:rFonts w:eastAsia="Times New Roman"/>
                <w:color w:val="000000"/>
                <w:sz w:val="20"/>
                <w:szCs w:val="20"/>
              </w:rPr>
              <w:t>1</w:t>
            </w:r>
          </w:p>
        </w:tc>
        <w:tc>
          <w:tcPr>
            <w:tcW w:w="990" w:type="dxa"/>
            <w:tcBorders>
              <w:top w:val="single" w:color="auto" w:sz="4" w:space="0"/>
              <w:left w:val="nil"/>
              <w:bottom w:val="single" w:color="auto" w:sz="4" w:space="0"/>
              <w:right w:val="single" w:color="auto" w:sz="4" w:space="0"/>
            </w:tcBorders>
            <w:shd w:val="clear" w:color="auto" w:fill="auto"/>
            <w:vAlign w:val="bottom"/>
          </w:tcPr>
          <w:p w:rsidR="002D14BB" w:rsidP="00F43E71" w:rsidRDefault="002D14BB" w14:paraId="1541DF26" w14:textId="181CBFFC">
            <w:pPr>
              <w:jc w:val="right"/>
              <w:rPr>
                <w:rFonts w:eastAsia="Times New Roman"/>
                <w:color w:val="000000"/>
                <w:sz w:val="20"/>
                <w:szCs w:val="20"/>
              </w:rPr>
            </w:pPr>
            <w:r>
              <w:rPr>
                <w:rFonts w:eastAsia="Times New Roman"/>
                <w:color w:val="000000"/>
                <w:sz w:val="20"/>
                <w:szCs w:val="20"/>
              </w:rPr>
              <w:t>530</w:t>
            </w:r>
          </w:p>
        </w:tc>
        <w:tc>
          <w:tcPr>
            <w:tcW w:w="1170" w:type="dxa"/>
            <w:tcBorders>
              <w:top w:val="single" w:color="auto" w:sz="4" w:space="0"/>
              <w:left w:val="nil"/>
              <w:bottom w:val="single" w:color="auto" w:sz="4" w:space="0"/>
              <w:right w:val="single" w:color="auto" w:sz="4" w:space="0"/>
            </w:tcBorders>
            <w:vAlign w:val="bottom"/>
          </w:tcPr>
          <w:p w:rsidRPr="003F0783" w:rsidR="002D14BB" w:rsidP="00F43E71" w:rsidRDefault="00177F6C" w14:paraId="567B7998" w14:textId="5668072F">
            <w:pPr>
              <w:jc w:val="right"/>
              <w:rPr>
                <w:rFonts w:eastAsia="Times New Roman"/>
                <w:color w:val="000000"/>
                <w:sz w:val="20"/>
                <w:szCs w:val="20"/>
              </w:rPr>
            </w:pPr>
            <w:r>
              <w:rPr>
                <w:rFonts w:eastAsia="Times New Roman"/>
                <w:color w:val="000000"/>
                <w:sz w:val="20"/>
                <w:szCs w:val="20"/>
              </w:rPr>
              <w:t>$62,231</w:t>
            </w:r>
          </w:p>
        </w:tc>
        <w:tc>
          <w:tcPr>
            <w:tcW w:w="1000" w:type="dxa"/>
            <w:tcBorders>
              <w:top w:val="single" w:color="auto" w:sz="4" w:space="0"/>
              <w:left w:val="single" w:color="auto" w:sz="4" w:space="0"/>
              <w:bottom w:val="single" w:color="auto" w:sz="4" w:space="0"/>
              <w:right w:val="single" w:color="auto" w:sz="4" w:space="0"/>
            </w:tcBorders>
            <w:shd w:val="clear" w:color="auto" w:fill="auto"/>
            <w:vAlign w:val="bottom"/>
          </w:tcPr>
          <w:p w:rsidRPr="003F0783" w:rsidR="002D14BB" w:rsidP="00F43E71" w:rsidRDefault="002D14BB" w14:paraId="1B1A80A2" w14:textId="65E67DF8">
            <w:pPr>
              <w:jc w:val="right"/>
              <w:rPr>
                <w:rFonts w:eastAsia="Times New Roman"/>
                <w:color w:val="000000"/>
                <w:sz w:val="20"/>
                <w:szCs w:val="20"/>
              </w:rPr>
            </w:pPr>
            <w:r w:rsidRPr="003F0783">
              <w:rPr>
                <w:rFonts w:eastAsia="Times New Roman"/>
                <w:color w:val="000000"/>
                <w:sz w:val="20"/>
                <w:szCs w:val="20"/>
              </w:rPr>
              <w:t>$</w:t>
            </w:r>
            <w:r>
              <w:rPr>
                <w:rFonts w:eastAsia="Times New Roman"/>
                <w:color w:val="000000"/>
                <w:sz w:val="20"/>
                <w:szCs w:val="20"/>
              </w:rPr>
              <w:t>104,708</w:t>
            </w:r>
          </w:p>
        </w:tc>
      </w:tr>
      <w:tr w:rsidRPr="003F0783" w:rsidR="002D14BB" w:rsidTr="00DB05C3" w14:paraId="231E3599" w14:textId="77777777">
        <w:trPr>
          <w:trHeight w:val="255"/>
          <w:jc w:val="center"/>
        </w:trPr>
        <w:tc>
          <w:tcPr>
            <w:tcW w:w="4135" w:type="dxa"/>
            <w:gridSpan w:val="2"/>
            <w:tcBorders>
              <w:top w:val="single" w:color="auto" w:sz="4" w:space="0"/>
              <w:left w:val="single" w:color="auto" w:sz="4" w:space="0"/>
              <w:bottom w:val="single" w:color="auto" w:sz="4" w:space="0"/>
              <w:right w:val="single" w:color="auto" w:sz="4" w:space="0"/>
            </w:tcBorders>
            <w:shd w:val="clear" w:color="auto" w:fill="auto"/>
          </w:tcPr>
          <w:p w:rsidRPr="003F0783" w:rsidR="002D14BB" w:rsidP="00586D11" w:rsidRDefault="002D14BB" w14:paraId="365988A6" w14:textId="228DCAC2">
            <w:pPr>
              <w:ind w:left="720"/>
              <w:rPr>
                <w:sz w:val="20"/>
                <w:szCs w:val="20"/>
              </w:rPr>
            </w:pPr>
            <w:r w:rsidRPr="003F0783">
              <w:rPr>
                <w:sz w:val="20"/>
                <w:szCs w:val="20"/>
              </w:rPr>
              <w:t>Gas/oil peaking units: Appendix D fuel monitoring, Appendix E, or LME methods</w:t>
            </w:r>
          </w:p>
        </w:tc>
        <w:tc>
          <w:tcPr>
            <w:tcW w:w="980" w:type="dxa"/>
            <w:tcBorders>
              <w:top w:val="single" w:color="auto" w:sz="4" w:space="0"/>
              <w:left w:val="nil"/>
              <w:bottom w:val="single" w:color="auto" w:sz="4" w:space="0"/>
              <w:right w:val="single" w:color="auto" w:sz="4" w:space="0"/>
            </w:tcBorders>
            <w:shd w:val="clear" w:color="auto" w:fill="auto"/>
            <w:vAlign w:val="bottom"/>
          </w:tcPr>
          <w:p w:rsidRPr="003F0783" w:rsidR="002D14BB" w:rsidP="00F43E71" w:rsidRDefault="002D14BB" w14:paraId="23DC2BBD" w14:textId="34A8445A">
            <w:pPr>
              <w:jc w:val="right"/>
              <w:rPr>
                <w:rFonts w:eastAsia="Times New Roman"/>
                <w:color w:val="000000"/>
                <w:sz w:val="20"/>
                <w:szCs w:val="20"/>
              </w:rPr>
            </w:pPr>
            <w:r w:rsidRPr="003F0783">
              <w:rPr>
                <w:rFonts w:eastAsia="Times New Roman"/>
                <w:color w:val="000000"/>
                <w:sz w:val="20"/>
                <w:szCs w:val="20"/>
              </w:rPr>
              <w:t>5</w:t>
            </w:r>
          </w:p>
        </w:tc>
        <w:tc>
          <w:tcPr>
            <w:tcW w:w="981" w:type="dxa"/>
            <w:tcBorders>
              <w:top w:val="single" w:color="auto" w:sz="4" w:space="0"/>
              <w:left w:val="nil"/>
              <w:bottom w:val="single" w:color="auto" w:sz="4" w:space="0"/>
              <w:right w:val="single" w:color="auto" w:sz="4" w:space="0"/>
            </w:tcBorders>
            <w:shd w:val="clear" w:color="auto" w:fill="auto"/>
            <w:vAlign w:val="bottom"/>
          </w:tcPr>
          <w:p w:rsidRPr="003F0783" w:rsidR="002D14BB" w:rsidP="00F43E71" w:rsidRDefault="002D14BB" w14:paraId="5086A68F" w14:textId="3652FC4D">
            <w:pPr>
              <w:jc w:val="right"/>
              <w:rPr>
                <w:rFonts w:eastAsia="Times New Roman"/>
                <w:color w:val="000000"/>
                <w:sz w:val="20"/>
                <w:szCs w:val="20"/>
              </w:rPr>
            </w:pPr>
            <w:r w:rsidRPr="003F0783">
              <w:rPr>
                <w:rFonts w:eastAsia="Times New Roman"/>
                <w:color w:val="000000"/>
                <w:sz w:val="20"/>
                <w:szCs w:val="20"/>
              </w:rPr>
              <w:t>30</w:t>
            </w:r>
          </w:p>
        </w:tc>
        <w:tc>
          <w:tcPr>
            <w:tcW w:w="980" w:type="dxa"/>
            <w:tcBorders>
              <w:top w:val="single" w:color="auto" w:sz="4" w:space="0"/>
              <w:left w:val="nil"/>
              <w:bottom w:val="single" w:color="auto" w:sz="4" w:space="0"/>
              <w:right w:val="single" w:color="auto" w:sz="4" w:space="0"/>
            </w:tcBorders>
            <w:shd w:val="clear" w:color="auto" w:fill="auto"/>
            <w:vAlign w:val="bottom"/>
          </w:tcPr>
          <w:p w:rsidRPr="003F0783" w:rsidR="002D14BB" w:rsidP="00F43E71" w:rsidRDefault="002D14BB" w14:paraId="58B09EEE" w14:textId="28A5D404">
            <w:pPr>
              <w:jc w:val="right"/>
              <w:rPr>
                <w:rFonts w:eastAsia="Times New Roman"/>
                <w:color w:val="000000"/>
                <w:sz w:val="20"/>
                <w:szCs w:val="20"/>
              </w:rPr>
            </w:pPr>
            <w:r w:rsidRPr="003F0783">
              <w:rPr>
                <w:rFonts w:eastAsia="Times New Roman"/>
                <w:color w:val="000000"/>
                <w:sz w:val="20"/>
                <w:szCs w:val="20"/>
              </w:rPr>
              <w:t>35</w:t>
            </w:r>
          </w:p>
        </w:tc>
        <w:tc>
          <w:tcPr>
            <w:tcW w:w="981" w:type="dxa"/>
            <w:tcBorders>
              <w:top w:val="single" w:color="auto" w:sz="4" w:space="0"/>
              <w:left w:val="nil"/>
              <w:bottom w:val="single" w:color="auto" w:sz="4" w:space="0"/>
              <w:right w:val="single" w:color="auto" w:sz="4" w:space="0"/>
            </w:tcBorders>
            <w:shd w:val="clear" w:color="auto" w:fill="auto"/>
            <w:vAlign w:val="bottom"/>
          </w:tcPr>
          <w:p w:rsidRPr="003F0783" w:rsidR="002D14BB" w:rsidP="00F43E71" w:rsidRDefault="002D14BB" w14:paraId="0ACDE848" w14:textId="7CC36036">
            <w:pPr>
              <w:jc w:val="right"/>
              <w:rPr>
                <w:rFonts w:eastAsia="Times New Roman"/>
                <w:color w:val="000000"/>
                <w:sz w:val="20"/>
                <w:szCs w:val="20"/>
              </w:rPr>
            </w:pPr>
            <w:r w:rsidRPr="003F0783">
              <w:rPr>
                <w:rFonts w:eastAsia="Times New Roman"/>
                <w:color w:val="000000"/>
                <w:sz w:val="20"/>
                <w:szCs w:val="20"/>
              </w:rPr>
              <w:t>$</w:t>
            </w:r>
            <w:r>
              <w:rPr>
                <w:rFonts w:eastAsia="Times New Roman"/>
                <w:color w:val="000000"/>
                <w:sz w:val="20"/>
                <w:szCs w:val="20"/>
              </w:rPr>
              <w:t>2,859</w:t>
            </w:r>
          </w:p>
        </w:tc>
        <w:tc>
          <w:tcPr>
            <w:tcW w:w="980" w:type="dxa"/>
            <w:tcBorders>
              <w:top w:val="single" w:color="auto" w:sz="4" w:space="0"/>
              <w:left w:val="nil"/>
              <w:bottom w:val="single" w:color="auto" w:sz="4" w:space="0"/>
              <w:right w:val="single" w:color="auto" w:sz="4" w:space="0"/>
            </w:tcBorders>
            <w:shd w:val="clear" w:color="auto" w:fill="auto"/>
            <w:vAlign w:val="bottom"/>
          </w:tcPr>
          <w:p w:rsidRPr="003F0783" w:rsidR="002D14BB" w:rsidP="00F43E71" w:rsidRDefault="002D14BB" w14:paraId="1854C124" w14:textId="6E4EF1BF">
            <w:pPr>
              <w:jc w:val="right"/>
              <w:rPr>
                <w:rFonts w:eastAsia="Times New Roman"/>
                <w:color w:val="000000"/>
                <w:sz w:val="20"/>
                <w:szCs w:val="20"/>
              </w:rPr>
            </w:pPr>
            <w:r w:rsidRPr="003F0783">
              <w:rPr>
                <w:rFonts w:eastAsia="Times New Roman"/>
                <w:color w:val="000000"/>
                <w:sz w:val="20"/>
                <w:szCs w:val="20"/>
              </w:rPr>
              <w:t xml:space="preserve">$1,843 </w:t>
            </w:r>
          </w:p>
        </w:tc>
        <w:tc>
          <w:tcPr>
            <w:tcW w:w="981" w:type="dxa"/>
            <w:tcBorders>
              <w:top w:val="single" w:color="auto" w:sz="4" w:space="0"/>
              <w:left w:val="nil"/>
              <w:bottom w:val="single" w:color="auto" w:sz="4" w:space="0"/>
              <w:right w:val="single" w:color="auto" w:sz="4" w:space="0"/>
            </w:tcBorders>
            <w:shd w:val="clear" w:color="auto" w:fill="auto"/>
            <w:vAlign w:val="bottom"/>
          </w:tcPr>
          <w:p w:rsidRPr="003F0783" w:rsidR="002D14BB" w:rsidP="00F43E71" w:rsidRDefault="002D14BB" w14:paraId="06823149" w14:textId="659D2F96">
            <w:pPr>
              <w:jc w:val="right"/>
              <w:rPr>
                <w:rFonts w:eastAsia="Times New Roman"/>
                <w:color w:val="000000"/>
                <w:sz w:val="20"/>
                <w:szCs w:val="20"/>
              </w:rPr>
            </w:pPr>
            <w:r w:rsidRPr="003F0783">
              <w:rPr>
                <w:rFonts w:eastAsia="Times New Roman"/>
                <w:color w:val="000000"/>
                <w:sz w:val="20"/>
                <w:szCs w:val="20"/>
              </w:rPr>
              <w:t>$2,3</w:t>
            </w:r>
            <w:r>
              <w:rPr>
                <w:rFonts w:eastAsia="Times New Roman"/>
                <w:color w:val="000000"/>
                <w:sz w:val="20"/>
                <w:szCs w:val="20"/>
              </w:rPr>
              <w:t>59</w:t>
            </w:r>
          </w:p>
        </w:tc>
        <w:tc>
          <w:tcPr>
            <w:tcW w:w="867" w:type="dxa"/>
            <w:tcBorders>
              <w:top w:val="single" w:color="auto" w:sz="4" w:space="0"/>
              <w:left w:val="nil"/>
              <w:bottom w:val="single" w:color="auto" w:sz="4" w:space="0"/>
              <w:right w:val="single" w:color="auto" w:sz="4" w:space="0"/>
            </w:tcBorders>
            <w:shd w:val="clear" w:color="auto" w:fill="auto"/>
            <w:vAlign w:val="bottom"/>
          </w:tcPr>
          <w:p w:rsidR="002D14BB" w:rsidP="00F43E71" w:rsidRDefault="002D14BB" w14:paraId="4BA981A1" w14:textId="5A37696E">
            <w:pPr>
              <w:jc w:val="right"/>
              <w:rPr>
                <w:rFonts w:eastAsia="Times New Roman"/>
                <w:color w:val="000000"/>
                <w:sz w:val="20"/>
                <w:szCs w:val="20"/>
              </w:rPr>
            </w:pPr>
            <w:r>
              <w:rPr>
                <w:rFonts w:eastAsia="Times New Roman"/>
                <w:color w:val="000000"/>
                <w:sz w:val="20"/>
                <w:szCs w:val="20"/>
              </w:rPr>
              <w:t>15</w:t>
            </w:r>
          </w:p>
        </w:tc>
        <w:tc>
          <w:tcPr>
            <w:tcW w:w="990" w:type="dxa"/>
            <w:tcBorders>
              <w:top w:val="single" w:color="auto" w:sz="4" w:space="0"/>
              <w:left w:val="nil"/>
              <w:bottom w:val="single" w:color="auto" w:sz="4" w:space="0"/>
              <w:right w:val="single" w:color="auto" w:sz="4" w:space="0"/>
            </w:tcBorders>
            <w:shd w:val="clear" w:color="auto" w:fill="auto"/>
            <w:vAlign w:val="bottom"/>
          </w:tcPr>
          <w:p w:rsidR="002D14BB" w:rsidP="00F43E71" w:rsidRDefault="002D14BB" w14:paraId="40DEDB99" w14:textId="1AD475EF">
            <w:pPr>
              <w:jc w:val="right"/>
              <w:rPr>
                <w:rFonts w:eastAsia="Times New Roman"/>
                <w:color w:val="000000"/>
                <w:sz w:val="20"/>
                <w:szCs w:val="20"/>
              </w:rPr>
            </w:pPr>
            <w:r>
              <w:rPr>
                <w:rFonts w:eastAsia="Times New Roman"/>
                <w:color w:val="000000"/>
                <w:sz w:val="20"/>
                <w:szCs w:val="20"/>
              </w:rPr>
              <w:t>525</w:t>
            </w:r>
          </w:p>
        </w:tc>
        <w:tc>
          <w:tcPr>
            <w:tcW w:w="1170" w:type="dxa"/>
            <w:tcBorders>
              <w:top w:val="single" w:color="auto" w:sz="4" w:space="0"/>
              <w:left w:val="nil"/>
              <w:bottom w:val="single" w:color="auto" w:sz="4" w:space="0"/>
              <w:right w:val="single" w:color="auto" w:sz="4" w:space="0"/>
            </w:tcBorders>
            <w:vAlign w:val="bottom"/>
          </w:tcPr>
          <w:p w:rsidRPr="003F0783" w:rsidR="002D14BB" w:rsidP="00F43E71" w:rsidRDefault="00AA7861" w14:paraId="417A942E" w14:textId="0E50AA1B">
            <w:pPr>
              <w:jc w:val="right"/>
              <w:rPr>
                <w:rFonts w:eastAsia="Times New Roman"/>
                <w:color w:val="000000"/>
                <w:sz w:val="20"/>
                <w:szCs w:val="20"/>
              </w:rPr>
            </w:pPr>
            <w:r>
              <w:rPr>
                <w:rFonts w:eastAsia="Times New Roman"/>
                <w:color w:val="000000"/>
                <w:sz w:val="20"/>
                <w:szCs w:val="20"/>
              </w:rPr>
              <w:t>$63,030</w:t>
            </w:r>
          </w:p>
        </w:tc>
        <w:tc>
          <w:tcPr>
            <w:tcW w:w="1000" w:type="dxa"/>
            <w:tcBorders>
              <w:top w:val="single" w:color="auto" w:sz="4" w:space="0"/>
              <w:left w:val="single" w:color="auto" w:sz="4" w:space="0"/>
              <w:bottom w:val="single" w:color="auto" w:sz="4" w:space="0"/>
              <w:right w:val="single" w:color="auto" w:sz="4" w:space="0"/>
            </w:tcBorders>
            <w:shd w:val="clear" w:color="auto" w:fill="auto"/>
            <w:vAlign w:val="bottom"/>
          </w:tcPr>
          <w:p w:rsidRPr="003F0783" w:rsidR="002D14BB" w:rsidP="00F43E71" w:rsidRDefault="002D14BB" w14:paraId="409B5BD1" w14:textId="1E0F068A">
            <w:pPr>
              <w:jc w:val="right"/>
              <w:rPr>
                <w:rFonts w:eastAsia="Times New Roman"/>
                <w:color w:val="000000"/>
                <w:sz w:val="20"/>
                <w:szCs w:val="20"/>
              </w:rPr>
            </w:pPr>
            <w:r w:rsidRPr="003F0783">
              <w:rPr>
                <w:rFonts w:eastAsia="Times New Roman"/>
                <w:color w:val="000000"/>
                <w:sz w:val="20"/>
                <w:szCs w:val="20"/>
              </w:rPr>
              <w:t>$</w:t>
            </w:r>
            <w:r>
              <w:rPr>
                <w:rFonts w:eastAsia="Times New Roman"/>
                <w:color w:val="000000"/>
                <w:sz w:val="20"/>
                <w:szCs w:val="20"/>
              </w:rPr>
              <w:t>105,915</w:t>
            </w:r>
          </w:p>
        </w:tc>
      </w:tr>
      <w:tr w:rsidRPr="003F0783" w:rsidR="002D14BB" w:rsidTr="002D14BB" w14:paraId="1DBC0FA6" w14:textId="77777777">
        <w:trPr>
          <w:trHeight w:val="255"/>
          <w:jc w:val="center"/>
        </w:trPr>
        <w:tc>
          <w:tcPr>
            <w:tcW w:w="1085" w:type="dxa"/>
            <w:tcBorders>
              <w:top w:val="nil"/>
              <w:left w:val="single" w:color="auto" w:sz="4" w:space="0"/>
              <w:bottom w:val="single" w:color="auto" w:sz="4" w:space="0"/>
              <w:right w:val="single" w:color="auto" w:sz="4" w:space="0"/>
            </w:tcBorders>
          </w:tcPr>
          <w:p w:rsidRPr="003F0783" w:rsidR="002D14BB" w:rsidP="00586D11" w:rsidRDefault="002D14BB" w14:paraId="5AFEA291" w14:textId="77777777">
            <w:pPr>
              <w:rPr>
                <w:bCs/>
                <w:sz w:val="20"/>
                <w:szCs w:val="20"/>
              </w:rPr>
            </w:pPr>
          </w:p>
        </w:tc>
        <w:tc>
          <w:tcPr>
            <w:tcW w:w="12960" w:type="dxa"/>
            <w:gridSpan w:val="11"/>
            <w:tcBorders>
              <w:top w:val="nil"/>
              <w:left w:val="single" w:color="auto" w:sz="4" w:space="0"/>
              <w:bottom w:val="single" w:color="auto" w:sz="4" w:space="0"/>
              <w:right w:val="single" w:color="auto" w:sz="4" w:space="0"/>
            </w:tcBorders>
            <w:shd w:val="clear" w:color="auto" w:fill="auto"/>
          </w:tcPr>
          <w:p w:rsidRPr="003F0783" w:rsidR="002D14BB" w:rsidP="00586D11" w:rsidRDefault="002D14BB" w14:paraId="5D3D8FA2" w14:textId="5DE61C86">
            <w:pPr>
              <w:rPr>
                <w:rFonts w:eastAsia="Times New Roman"/>
                <w:color w:val="000000"/>
                <w:sz w:val="20"/>
                <w:szCs w:val="20"/>
              </w:rPr>
            </w:pPr>
            <w:r w:rsidRPr="003F0783">
              <w:rPr>
                <w:bCs/>
                <w:sz w:val="20"/>
                <w:szCs w:val="20"/>
              </w:rPr>
              <w:t>Data quality assurance and preparation and submittal of quarterly reports, by reporting frequency:</w:t>
            </w:r>
            <w:r w:rsidR="009A7319">
              <w:rPr>
                <w:bCs/>
                <w:sz w:val="20"/>
                <w:szCs w:val="20"/>
                <w:vertAlign w:val="superscript"/>
              </w:rPr>
              <w:t>6</w:t>
            </w:r>
          </w:p>
        </w:tc>
      </w:tr>
      <w:tr w:rsidRPr="003F0783" w:rsidR="002D14BB" w:rsidTr="00F25561" w14:paraId="35B113FB" w14:textId="77777777">
        <w:trPr>
          <w:trHeight w:val="255"/>
          <w:jc w:val="center"/>
        </w:trPr>
        <w:tc>
          <w:tcPr>
            <w:tcW w:w="4135" w:type="dxa"/>
            <w:gridSpan w:val="2"/>
            <w:tcBorders>
              <w:top w:val="nil"/>
              <w:left w:val="single" w:color="auto" w:sz="4" w:space="0"/>
              <w:bottom w:val="single" w:color="auto" w:sz="4" w:space="0"/>
              <w:right w:val="single" w:color="auto" w:sz="4" w:space="0"/>
            </w:tcBorders>
            <w:shd w:val="clear" w:color="auto" w:fill="auto"/>
          </w:tcPr>
          <w:p w:rsidRPr="003F0783" w:rsidR="002D14BB" w:rsidP="00DD46B8" w:rsidRDefault="002D14BB" w14:paraId="47D43517" w14:textId="58DA6C6C">
            <w:pPr>
              <w:ind w:left="720"/>
              <w:rPr>
                <w:sz w:val="20"/>
                <w:szCs w:val="20"/>
              </w:rPr>
            </w:pPr>
            <w:r w:rsidRPr="003F0783">
              <w:rPr>
                <w:sz w:val="20"/>
                <w:szCs w:val="20"/>
              </w:rPr>
              <w:t>Ozone season-only reporters (two quarterly reports/year)</w:t>
            </w:r>
          </w:p>
        </w:tc>
        <w:tc>
          <w:tcPr>
            <w:tcW w:w="980" w:type="dxa"/>
            <w:tcBorders>
              <w:top w:val="nil"/>
              <w:left w:val="nil"/>
              <w:bottom w:val="single" w:color="auto" w:sz="4" w:space="0"/>
              <w:right w:val="single" w:color="auto" w:sz="4" w:space="0"/>
            </w:tcBorders>
            <w:shd w:val="clear" w:color="auto" w:fill="auto"/>
            <w:vAlign w:val="bottom"/>
          </w:tcPr>
          <w:p w:rsidRPr="003F0783" w:rsidR="002D14BB" w:rsidP="00F43E71" w:rsidRDefault="002D14BB" w14:paraId="330598CF" w14:textId="4E7E5C13">
            <w:pPr>
              <w:jc w:val="right"/>
              <w:rPr>
                <w:rFonts w:eastAsia="Times New Roman"/>
                <w:color w:val="000000"/>
                <w:sz w:val="20"/>
                <w:szCs w:val="20"/>
              </w:rPr>
            </w:pPr>
            <w:r>
              <w:rPr>
                <w:rFonts w:eastAsia="Times New Roman"/>
                <w:color w:val="000000"/>
                <w:sz w:val="20"/>
                <w:szCs w:val="20"/>
              </w:rPr>
              <w:t>8</w:t>
            </w:r>
          </w:p>
        </w:tc>
        <w:tc>
          <w:tcPr>
            <w:tcW w:w="981" w:type="dxa"/>
            <w:tcBorders>
              <w:top w:val="nil"/>
              <w:left w:val="nil"/>
              <w:bottom w:val="single" w:color="auto" w:sz="4" w:space="0"/>
              <w:right w:val="single" w:color="auto" w:sz="4" w:space="0"/>
            </w:tcBorders>
            <w:shd w:val="clear" w:color="auto" w:fill="auto"/>
            <w:vAlign w:val="bottom"/>
          </w:tcPr>
          <w:p w:rsidRPr="003F0783" w:rsidR="002D14BB" w:rsidP="00F43E71" w:rsidRDefault="002D14BB" w14:paraId="78C414CA" w14:textId="609F33DF">
            <w:pPr>
              <w:jc w:val="right"/>
              <w:rPr>
                <w:rFonts w:eastAsia="Times New Roman"/>
                <w:color w:val="000000"/>
                <w:sz w:val="20"/>
                <w:szCs w:val="20"/>
              </w:rPr>
            </w:pPr>
            <w:r>
              <w:rPr>
                <w:rFonts w:eastAsia="Times New Roman"/>
                <w:color w:val="000000"/>
                <w:sz w:val="20"/>
                <w:szCs w:val="20"/>
              </w:rPr>
              <w:t>21</w:t>
            </w:r>
          </w:p>
        </w:tc>
        <w:tc>
          <w:tcPr>
            <w:tcW w:w="980" w:type="dxa"/>
            <w:tcBorders>
              <w:top w:val="nil"/>
              <w:left w:val="nil"/>
              <w:bottom w:val="single" w:color="auto" w:sz="4" w:space="0"/>
              <w:right w:val="single" w:color="auto" w:sz="4" w:space="0"/>
            </w:tcBorders>
            <w:shd w:val="clear" w:color="auto" w:fill="auto"/>
            <w:vAlign w:val="bottom"/>
          </w:tcPr>
          <w:p w:rsidRPr="003F0783" w:rsidR="002D14BB" w:rsidP="00F43E71" w:rsidRDefault="002D14BB" w14:paraId="155E7030" w14:textId="5695CC39">
            <w:pPr>
              <w:jc w:val="right"/>
              <w:rPr>
                <w:rFonts w:eastAsia="Times New Roman"/>
                <w:color w:val="000000"/>
                <w:sz w:val="20"/>
                <w:szCs w:val="20"/>
              </w:rPr>
            </w:pPr>
            <w:r>
              <w:rPr>
                <w:rFonts w:eastAsia="Times New Roman"/>
                <w:color w:val="000000"/>
                <w:sz w:val="20"/>
                <w:szCs w:val="20"/>
              </w:rPr>
              <w:t>29</w:t>
            </w:r>
          </w:p>
        </w:tc>
        <w:tc>
          <w:tcPr>
            <w:tcW w:w="981" w:type="dxa"/>
            <w:tcBorders>
              <w:top w:val="nil"/>
              <w:left w:val="nil"/>
              <w:bottom w:val="single" w:color="auto" w:sz="4" w:space="0"/>
              <w:right w:val="single" w:color="auto" w:sz="4" w:space="0"/>
            </w:tcBorders>
            <w:shd w:val="clear" w:color="auto" w:fill="auto"/>
            <w:vAlign w:val="bottom"/>
          </w:tcPr>
          <w:p w:rsidRPr="003F0783" w:rsidR="002D14BB" w:rsidP="00F43E71" w:rsidRDefault="002D14BB" w14:paraId="63029D01" w14:textId="4BC89B38">
            <w:pPr>
              <w:jc w:val="right"/>
              <w:rPr>
                <w:rFonts w:eastAsia="Times New Roman"/>
                <w:color w:val="000000"/>
                <w:sz w:val="20"/>
                <w:szCs w:val="20"/>
              </w:rPr>
            </w:pPr>
            <w:r w:rsidRPr="003F0783">
              <w:rPr>
                <w:rFonts w:eastAsia="Times New Roman"/>
                <w:color w:val="000000"/>
                <w:sz w:val="20"/>
                <w:szCs w:val="20"/>
              </w:rPr>
              <w:t>$</w:t>
            </w:r>
            <w:r>
              <w:rPr>
                <w:rFonts w:eastAsia="Times New Roman"/>
                <w:color w:val="000000"/>
                <w:sz w:val="20"/>
                <w:szCs w:val="20"/>
              </w:rPr>
              <w:t>2,491</w:t>
            </w:r>
          </w:p>
        </w:tc>
        <w:tc>
          <w:tcPr>
            <w:tcW w:w="980" w:type="dxa"/>
            <w:tcBorders>
              <w:top w:val="nil"/>
              <w:left w:val="nil"/>
              <w:bottom w:val="single" w:color="auto" w:sz="4" w:space="0"/>
              <w:right w:val="single" w:color="auto" w:sz="4" w:space="0"/>
            </w:tcBorders>
            <w:shd w:val="clear" w:color="auto" w:fill="auto"/>
            <w:vAlign w:val="bottom"/>
          </w:tcPr>
          <w:p w:rsidRPr="003F0783" w:rsidR="002D14BB" w:rsidP="00F43E71" w:rsidRDefault="002D14BB" w14:paraId="764E18B6" w14:textId="77777777">
            <w:pPr>
              <w:jc w:val="right"/>
              <w:rPr>
                <w:rFonts w:eastAsia="Times New Roman"/>
                <w:color w:val="000000"/>
                <w:sz w:val="20"/>
                <w:szCs w:val="20"/>
              </w:rPr>
            </w:pPr>
          </w:p>
        </w:tc>
        <w:tc>
          <w:tcPr>
            <w:tcW w:w="981" w:type="dxa"/>
            <w:tcBorders>
              <w:top w:val="nil"/>
              <w:left w:val="nil"/>
              <w:bottom w:val="single" w:color="auto" w:sz="4" w:space="0"/>
              <w:right w:val="single" w:color="auto" w:sz="4" w:space="0"/>
            </w:tcBorders>
            <w:shd w:val="clear" w:color="auto" w:fill="auto"/>
            <w:vAlign w:val="bottom"/>
          </w:tcPr>
          <w:p w:rsidRPr="003F0783" w:rsidR="002D14BB" w:rsidP="00F43E71" w:rsidRDefault="002D14BB" w14:paraId="2D16E6CB" w14:textId="77777777">
            <w:pPr>
              <w:jc w:val="right"/>
              <w:rPr>
                <w:rFonts w:eastAsia="Times New Roman"/>
                <w:color w:val="000000"/>
                <w:sz w:val="20"/>
                <w:szCs w:val="20"/>
              </w:rPr>
            </w:pPr>
          </w:p>
        </w:tc>
        <w:tc>
          <w:tcPr>
            <w:tcW w:w="867" w:type="dxa"/>
            <w:tcBorders>
              <w:top w:val="nil"/>
              <w:left w:val="nil"/>
              <w:bottom w:val="single" w:color="auto" w:sz="4" w:space="0"/>
              <w:right w:val="single" w:color="auto" w:sz="4" w:space="0"/>
            </w:tcBorders>
            <w:shd w:val="clear" w:color="auto" w:fill="auto"/>
            <w:vAlign w:val="bottom"/>
          </w:tcPr>
          <w:p w:rsidR="002D14BB" w:rsidP="00F43E71" w:rsidRDefault="002D14BB" w14:paraId="62A0CA24" w14:textId="69F79E7D">
            <w:pPr>
              <w:jc w:val="right"/>
              <w:rPr>
                <w:rFonts w:eastAsia="Times New Roman"/>
                <w:color w:val="000000"/>
                <w:sz w:val="20"/>
                <w:szCs w:val="20"/>
              </w:rPr>
            </w:pPr>
            <w:r>
              <w:rPr>
                <w:rFonts w:eastAsia="Times New Roman"/>
                <w:color w:val="000000"/>
                <w:sz w:val="20"/>
                <w:szCs w:val="20"/>
              </w:rPr>
              <w:t>16</w:t>
            </w:r>
          </w:p>
        </w:tc>
        <w:tc>
          <w:tcPr>
            <w:tcW w:w="990" w:type="dxa"/>
            <w:tcBorders>
              <w:top w:val="nil"/>
              <w:left w:val="nil"/>
              <w:bottom w:val="single" w:color="auto" w:sz="4" w:space="0"/>
              <w:right w:val="single" w:color="auto" w:sz="4" w:space="0"/>
            </w:tcBorders>
            <w:shd w:val="clear" w:color="auto" w:fill="auto"/>
            <w:vAlign w:val="bottom"/>
          </w:tcPr>
          <w:p w:rsidR="002D14BB" w:rsidP="00F43E71" w:rsidRDefault="002D14BB" w14:paraId="4D77C375" w14:textId="5B8817DF">
            <w:pPr>
              <w:jc w:val="right"/>
              <w:rPr>
                <w:rFonts w:eastAsia="Times New Roman"/>
                <w:color w:val="000000"/>
                <w:sz w:val="20"/>
                <w:szCs w:val="20"/>
              </w:rPr>
            </w:pPr>
            <w:r>
              <w:rPr>
                <w:rFonts w:eastAsia="Times New Roman"/>
                <w:color w:val="000000"/>
                <w:sz w:val="20"/>
                <w:szCs w:val="20"/>
              </w:rPr>
              <w:t>464</w:t>
            </w:r>
          </w:p>
        </w:tc>
        <w:tc>
          <w:tcPr>
            <w:tcW w:w="1170" w:type="dxa"/>
            <w:tcBorders>
              <w:top w:val="nil"/>
              <w:left w:val="nil"/>
              <w:bottom w:val="single" w:color="auto" w:sz="4" w:space="0"/>
              <w:right w:val="single" w:color="auto" w:sz="4" w:space="0"/>
            </w:tcBorders>
          </w:tcPr>
          <w:p w:rsidRPr="003F0783" w:rsidR="002D14BB" w:rsidP="00F43E71" w:rsidRDefault="002D14BB" w14:paraId="24AF36F2" w14:textId="77777777">
            <w:pPr>
              <w:jc w:val="right"/>
              <w:rPr>
                <w:rFonts w:eastAsia="Times New Roman"/>
                <w:color w:val="000000"/>
                <w:sz w:val="20"/>
                <w:szCs w:val="20"/>
              </w:rPr>
            </w:pPr>
          </w:p>
        </w:tc>
        <w:tc>
          <w:tcPr>
            <w:tcW w:w="1000" w:type="dxa"/>
            <w:tcBorders>
              <w:top w:val="nil"/>
              <w:left w:val="single" w:color="auto" w:sz="4" w:space="0"/>
              <w:bottom w:val="single" w:color="auto" w:sz="4" w:space="0"/>
              <w:right w:val="single" w:color="auto" w:sz="4" w:space="0"/>
            </w:tcBorders>
            <w:shd w:val="clear" w:color="auto" w:fill="auto"/>
            <w:vAlign w:val="bottom"/>
          </w:tcPr>
          <w:p w:rsidRPr="003F0783" w:rsidR="002D14BB" w:rsidP="00F43E71" w:rsidRDefault="002D14BB" w14:paraId="06924D6D" w14:textId="380B4DAA">
            <w:pPr>
              <w:jc w:val="right"/>
              <w:rPr>
                <w:rFonts w:eastAsia="Times New Roman"/>
                <w:color w:val="000000"/>
                <w:sz w:val="20"/>
                <w:szCs w:val="20"/>
              </w:rPr>
            </w:pPr>
            <w:r w:rsidRPr="003F0783">
              <w:rPr>
                <w:rFonts w:eastAsia="Times New Roman"/>
                <w:color w:val="000000"/>
                <w:sz w:val="20"/>
                <w:szCs w:val="20"/>
              </w:rPr>
              <w:t>$</w:t>
            </w:r>
            <w:r>
              <w:rPr>
                <w:rFonts w:eastAsia="Times New Roman"/>
                <w:color w:val="000000"/>
                <w:sz w:val="20"/>
                <w:szCs w:val="20"/>
              </w:rPr>
              <w:t>39,856</w:t>
            </w:r>
          </w:p>
        </w:tc>
      </w:tr>
      <w:tr w:rsidRPr="003F0783" w:rsidR="002D14BB" w:rsidTr="00367C27" w14:paraId="22DDF12B" w14:textId="77777777">
        <w:trPr>
          <w:trHeight w:val="351"/>
          <w:jc w:val="center"/>
        </w:trPr>
        <w:tc>
          <w:tcPr>
            <w:tcW w:w="4135" w:type="dxa"/>
            <w:gridSpan w:val="2"/>
            <w:tcBorders>
              <w:top w:val="nil"/>
              <w:left w:val="single" w:color="auto" w:sz="4" w:space="0"/>
              <w:bottom w:val="single" w:color="auto" w:sz="4" w:space="0"/>
              <w:right w:val="single" w:color="auto" w:sz="4" w:space="0"/>
            </w:tcBorders>
            <w:shd w:val="clear" w:color="auto" w:fill="E7E6E6" w:themeFill="background2"/>
          </w:tcPr>
          <w:p w:rsidRPr="003F0783" w:rsidR="002D14BB" w:rsidP="00013446" w:rsidRDefault="002D14BB" w14:paraId="10350119" w14:textId="3779B937">
            <w:pPr>
              <w:rPr>
                <w:sz w:val="20"/>
                <w:szCs w:val="20"/>
              </w:rPr>
            </w:pPr>
            <w:r w:rsidRPr="00E85701">
              <w:rPr>
                <w:b/>
                <w:bCs/>
                <w:sz w:val="22"/>
              </w:rPr>
              <w:t>Totals</w:t>
            </w:r>
          </w:p>
        </w:tc>
        <w:tc>
          <w:tcPr>
            <w:tcW w:w="980" w:type="dxa"/>
            <w:tcBorders>
              <w:top w:val="nil"/>
              <w:left w:val="nil"/>
              <w:bottom w:val="single" w:color="auto" w:sz="4" w:space="0"/>
              <w:right w:val="single" w:color="auto" w:sz="4" w:space="0"/>
            </w:tcBorders>
            <w:shd w:val="clear" w:color="auto" w:fill="E7E6E6" w:themeFill="background2"/>
            <w:vAlign w:val="bottom"/>
          </w:tcPr>
          <w:p w:rsidR="002D14BB" w:rsidP="00013446" w:rsidRDefault="00000D46" w14:paraId="5C77DF84" w14:textId="4EE48BC1">
            <w:pPr>
              <w:jc w:val="right"/>
              <w:rPr>
                <w:rFonts w:eastAsia="Times New Roman"/>
                <w:color w:val="000000"/>
                <w:sz w:val="20"/>
                <w:szCs w:val="20"/>
              </w:rPr>
            </w:pPr>
            <w:r>
              <w:rPr>
                <w:rFonts w:eastAsia="Times New Roman"/>
                <w:b/>
                <w:bCs/>
                <w:color w:val="000000"/>
                <w:sz w:val="20"/>
                <w:szCs w:val="20"/>
              </w:rPr>
              <w:t>88</w:t>
            </w:r>
          </w:p>
        </w:tc>
        <w:tc>
          <w:tcPr>
            <w:tcW w:w="981" w:type="dxa"/>
            <w:tcBorders>
              <w:top w:val="nil"/>
              <w:left w:val="nil"/>
              <w:bottom w:val="single" w:color="auto" w:sz="4" w:space="0"/>
              <w:right w:val="single" w:color="auto" w:sz="4" w:space="0"/>
            </w:tcBorders>
            <w:shd w:val="clear" w:color="auto" w:fill="E7E6E6" w:themeFill="background2"/>
            <w:vAlign w:val="bottom"/>
          </w:tcPr>
          <w:p w:rsidR="002D14BB" w:rsidP="00013446" w:rsidRDefault="00000D46" w14:paraId="7DC6B712" w14:textId="30D240AF">
            <w:pPr>
              <w:jc w:val="right"/>
              <w:rPr>
                <w:rFonts w:eastAsia="Times New Roman"/>
                <w:color w:val="000000"/>
                <w:sz w:val="20"/>
                <w:szCs w:val="20"/>
              </w:rPr>
            </w:pPr>
            <w:r>
              <w:rPr>
                <w:rFonts w:eastAsia="Times New Roman"/>
                <w:b/>
                <w:bCs/>
                <w:color w:val="000000"/>
                <w:sz w:val="20"/>
                <w:szCs w:val="20"/>
              </w:rPr>
              <w:t>573</w:t>
            </w:r>
          </w:p>
        </w:tc>
        <w:tc>
          <w:tcPr>
            <w:tcW w:w="980" w:type="dxa"/>
            <w:tcBorders>
              <w:top w:val="nil"/>
              <w:left w:val="nil"/>
              <w:bottom w:val="single" w:color="auto" w:sz="4" w:space="0"/>
              <w:right w:val="single" w:color="auto" w:sz="4" w:space="0"/>
            </w:tcBorders>
            <w:shd w:val="clear" w:color="auto" w:fill="E7E6E6" w:themeFill="background2"/>
            <w:vAlign w:val="bottom"/>
          </w:tcPr>
          <w:p w:rsidR="002D14BB" w:rsidP="00013446" w:rsidRDefault="00000D46" w14:paraId="4B6A31DD" w14:textId="0D083DB0">
            <w:pPr>
              <w:jc w:val="right"/>
              <w:rPr>
                <w:rFonts w:eastAsia="Times New Roman"/>
                <w:color w:val="000000"/>
                <w:sz w:val="20"/>
                <w:szCs w:val="20"/>
              </w:rPr>
            </w:pPr>
            <w:r>
              <w:rPr>
                <w:rFonts w:eastAsia="Times New Roman"/>
                <w:b/>
                <w:bCs/>
                <w:color w:val="000000"/>
                <w:sz w:val="20"/>
                <w:szCs w:val="20"/>
              </w:rPr>
              <w:t>661</w:t>
            </w:r>
          </w:p>
        </w:tc>
        <w:tc>
          <w:tcPr>
            <w:tcW w:w="981" w:type="dxa"/>
            <w:tcBorders>
              <w:top w:val="nil"/>
              <w:left w:val="nil"/>
              <w:bottom w:val="single" w:color="auto" w:sz="4" w:space="0"/>
              <w:right w:val="single" w:color="auto" w:sz="4" w:space="0"/>
            </w:tcBorders>
            <w:shd w:val="clear" w:color="auto" w:fill="E7E6E6" w:themeFill="background2"/>
            <w:vAlign w:val="bottom"/>
          </w:tcPr>
          <w:p w:rsidRPr="003F0783" w:rsidR="002D14BB" w:rsidP="00013446" w:rsidRDefault="002D14BB" w14:paraId="4407BCBB" w14:textId="103340B0">
            <w:pPr>
              <w:jc w:val="right"/>
              <w:rPr>
                <w:rFonts w:eastAsia="Times New Roman"/>
                <w:color w:val="000000"/>
                <w:sz w:val="20"/>
                <w:szCs w:val="20"/>
              </w:rPr>
            </w:pPr>
            <w:r w:rsidRPr="00E85701">
              <w:rPr>
                <w:rFonts w:eastAsia="Times New Roman"/>
                <w:b/>
                <w:bCs/>
                <w:color w:val="000000"/>
                <w:sz w:val="20"/>
                <w:szCs w:val="20"/>
              </w:rPr>
              <w:t>$</w:t>
            </w:r>
            <w:r w:rsidR="00000D46">
              <w:rPr>
                <w:rFonts w:eastAsia="Times New Roman"/>
                <w:b/>
                <w:bCs/>
                <w:color w:val="000000"/>
                <w:sz w:val="20"/>
                <w:szCs w:val="20"/>
              </w:rPr>
              <w:t>53,804</w:t>
            </w:r>
          </w:p>
        </w:tc>
        <w:tc>
          <w:tcPr>
            <w:tcW w:w="980" w:type="dxa"/>
            <w:tcBorders>
              <w:top w:val="nil"/>
              <w:left w:val="nil"/>
              <w:bottom w:val="single" w:color="auto" w:sz="4" w:space="0"/>
              <w:right w:val="single" w:color="auto" w:sz="4" w:space="0"/>
            </w:tcBorders>
            <w:shd w:val="clear" w:color="auto" w:fill="E7E6E6" w:themeFill="background2"/>
            <w:vAlign w:val="bottom"/>
          </w:tcPr>
          <w:p w:rsidRPr="003F0783" w:rsidR="002D14BB" w:rsidP="00013446" w:rsidRDefault="002D14BB" w14:paraId="77E03CC7" w14:textId="5BC10642">
            <w:pPr>
              <w:jc w:val="right"/>
              <w:rPr>
                <w:rFonts w:eastAsia="Times New Roman"/>
                <w:color w:val="000000"/>
                <w:sz w:val="20"/>
                <w:szCs w:val="20"/>
              </w:rPr>
            </w:pPr>
            <w:r w:rsidRPr="00E85701">
              <w:rPr>
                <w:rFonts w:eastAsia="Times New Roman"/>
                <w:b/>
                <w:bCs/>
                <w:color w:val="000000"/>
                <w:sz w:val="20"/>
                <w:szCs w:val="20"/>
              </w:rPr>
              <w:t>$</w:t>
            </w:r>
            <w:r>
              <w:rPr>
                <w:rFonts w:eastAsia="Times New Roman"/>
                <w:b/>
                <w:bCs/>
                <w:color w:val="000000"/>
                <w:sz w:val="20"/>
                <w:szCs w:val="20"/>
              </w:rPr>
              <w:t>33,792</w:t>
            </w:r>
          </w:p>
        </w:tc>
        <w:tc>
          <w:tcPr>
            <w:tcW w:w="981" w:type="dxa"/>
            <w:tcBorders>
              <w:top w:val="nil"/>
              <w:left w:val="nil"/>
              <w:bottom w:val="single" w:color="auto" w:sz="4" w:space="0"/>
              <w:right w:val="single" w:color="auto" w:sz="4" w:space="0"/>
            </w:tcBorders>
            <w:shd w:val="clear" w:color="auto" w:fill="E7E6E6" w:themeFill="background2"/>
            <w:vAlign w:val="bottom"/>
          </w:tcPr>
          <w:p w:rsidRPr="003F0783" w:rsidR="002D14BB" w:rsidP="00013446" w:rsidRDefault="002D14BB" w14:paraId="70889F3E" w14:textId="194558D0">
            <w:pPr>
              <w:jc w:val="right"/>
              <w:rPr>
                <w:rFonts w:eastAsia="Times New Roman"/>
                <w:color w:val="000000"/>
                <w:sz w:val="20"/>
                <w:szCs w:val="20"/>
              </w:rPr>
            </w:pPr>
            <w:r w:rsidRPr="00E85701">
              <w:rPr>
                <w:rFonts w:eastAsia="Times New Roman"/>
                <w:b/>
                <w:bCs/>
                <w:color w:val="000000"/>
                <w:sz w:val="20"/>
                <w:szCs w:val="20"/>
              </w:rPr>
              <w:t>$</w:t>
            </w:r>
            <w:r>
              <w:rPr>
                <w:rFonts w:eastAsia="Times New Roman"/>
                <w:b/>
                <w:bCs/>
                <w:color w:val="000000"/>
                <w:sz w:val="20"/>
                <w:szCs w:val="20"/>
              </w:rPr>
              <w:t>32,</w:t>
            </w:r>
            <w:r w:rsidR="00836F36">
              <w:rPr>
                <w:rFonts w:eastAsia="Times New Roman"/>
                <w:b/>
                <w:bCs/>
                <w:color w:val="000000"/>
                <w:sz w:val="20"/>
                <w:szCs w:val="20"/>
              </w:rPr>
              <w:t>831</w:t>
            </w:r>
          </w:p>
        </w:tc>
        <w:tc>
          <w:tcPr>
            <w:tcW w:w="867" w:type="dxa"/>
            <w:tcBorders>
              <w:top w:val="nil"/>
              <w:left w:val="nil"/>
              <w:bottom w:val="single" w:color="auto" w:sz="4" w:space="0"/>
              <w:right w:val="single" w:color="auto" w:sz="4" w:space="0"/>
            </w:tcBorders>
            <w:shd w:val="clear" w:color="auto" w:fill="E7E6E6" w:themeFill="background2"/>
            <w:vAlign w:val="bottom"/>
          </w:tcPr>
          <w:p w:rsidR="002D14BB" w:rsidP="00013446" w:rsidRDefault="00B03232" w14:paraId="4451FE97" w14:textId="2834215A">
            <w:pPr>
              <w:jc w:val="right"/>
              <w:rPr>
                <w:rFonts w:eastAsia="Times New Roman"/>
                <w:color w:val="000000"/>
                <w:sz w:val="20"/>
                <w:szCs w:val="20"/>
              </w:rPr>
            </w:pPr>
            <w:r>
              <w:rPr>
                <w:rFonts w:eastAsia="Times New Roman"/>
                <w:b/>
                <w:bCs/>
                <w:color w:val="000000"/>
                <w:sz w:val="20"/>
                <w:szCs w:val="20"/>
              </w:rPr>
              <w:t>546</w:t>
            </w:r>
          </w:p>
        </w:tc>
        <w:tc>
          <w:tcPr>
            <w:tcW w:w="990" w:type="dxa"/>
            <w:tcBorders>
              <w:top w:val="nil"/>
              <w:left w:val="nil"/>
              <w:bottom w:val="single" w:color="auto" w:sz="4" w:space="0"/>
              <w:right w:val="single" w:color="auto" w:sz="4" w:space="0"/>
            </w:tcBorders>
            <w:shd w:val="clear" w:color="auto" w:fill="E7E6E6" w:themeFill="background2"/>
            <w:vAlign w:val="bottom"/>
          </w:tcPr>
          <w:p w:rsidR="002D14BB" w:rsidP="00013446" w:rsidRDefault="006A401C" w14:paraId="18A0C472" w14:textId="2DBC153B">
            <w:pPr>
              <w:jc w:val="right"/>
              <w:rPr>
                <w:rFonts w:eastAsia="Times New Roman"/>
                <w:color w:val="000000"/>
                <w:sz w:val="20"/>
                <w:szCs w:val="20"/>
              </w:rPr>
            </w:pPr>
            <w:r>
              <w:rPr>
                <w:rFonts w:eastAsia="Times New Roman"/>
                <w:b/>
                <w:bCs/>
                <w:color w:val="000000"/>
                <w:sz w:val="20"/>
                <w:szCs w:val="20"/>
              </w:rPr>
              <w:t>1834</w:t>
            </w:r>
          </w:p>
        </w:tc>
        <w:tc>
          <w:tcPr>
            <w:tcW w:w="1170" w:type="dxa"/>
            <w:tcBorders>
              <w:top w:val="nil"/>
              <w:left w:val="nil"/>
              <w:bottom w:val="single" w:color="auto" w:sz="4" w:space="0"/>
              <w:right w:val="single" w:color="auto" w:sz="4" w:space="0"/>
            </w:tcBorders>
            <w:shd w:val="clear" w:color="auto" w:fill="E7E6E6" w:themeFill="background2"/>
            <w:vAlign w:val="bottom"/>
          </w:tcPr>
          <w:p w:rsidRPr="00E85701" w:rsidR="002D14BB" w:rsidP="00013446" w:rsidRDefault="00631089" w14:paraId="575044F8" w14:textId="11F8FB12">
            <w:pPr>
              <w:jc w:val="right"/>
              <w:rPr>
                <w:rFonts w:eastAsia="Times New Roman"/>
                <w:b/>
                <w:bCs/>
                <w:color w:val="000000"/>
                <w:sz w:val="20"/>
                <w:szCs w:val="20"/>
              </w:rPr>
            </w:pPr>
            <w:r>
              <w:rPr>
                <w:rFonts w:eastAsia="Times New Roman"/>
                <w:b/>
                <w:bCs/>
                <w:color w:val="000000"/>
                <w:sz w:val="20"/>
                <w:szCs w:val="20"/>
              </w:rPr>
              <w:t>$</w:t>
            </w:r>
            <w:r w:rsidR="00C146BB">
              <w:rPr>
                <w:rFonts w:eastAsia="Times New Roman"/>
                <w:b/>
                <w:bCs/>
                <w:color w:val="000000"/>
                <w:sz w:val="20"/>
                <w:szCs w:val="20"/>
              </w:rPr>
              <w:t>210,571</w:t>
            </w:r>
          </w:p>
        </w:tc>
        <w:tc>
          <w:tcPr>
            <w:tcW w:w="1000" w:type="dxa"/>
            <w:tcBorders>
              <w:top w:val="nil"/>
              <w:left w:val="single" w:color="auto" w:sz="4" w:space="0"/>
              <w:bottom w:val="single" w:color="auto" w:sz="4" w:space="0"/>
              <w:right w:val="single" w:color="auto" w:sz="4" w:space="0"/>
            </w:tcBorders>
            <w:shd w:val="clear" w:color="auto" w:fill="E7E6E6" w:themeFill="background2"/>
            <w:vAlign w:val="bottom"/>
          </w:tcPr>
          <w:p w:rsidRPr="003F0783" w:rsidR="007F550F" w:rsidP="00AD6533" w:rsidRDefault="002D14BB" w14:paraId="6A9CF7DE" w14:textId="2154A43F">
            <w:pPr>
              <w:jc w:val="right"/>
              <w:rPr>
                <w:rFonts w:eastAsia="Times New Roman"/>
                <w:color w:val="000000"/>
                <w:sz w:val="20"/>
                <w:szCs w:val="20"/>
              </w:rPr>
            </w:pPr>
            <w:r w:rsidRPr="00E85701">
              <w:rPr>
                <w:rFonts w:eastAsia="Times New Roman"/>
                <w:b/>
                <w:bCs/>
                <w:color w:val="000000"/>
                <w:sz w:val="20"/>
                <w:szCs w:val="20"/>
              </w:rPr>
              <w:t>$</w:t>
            </w:r>
            <w:r w:rsidR="007F550F">
              <w:rPr>
                <w:rFonts w:eastAsia="Times New Roman"/>
                <w:b/>
                <w:bCs/>
                <w:color w:val="000000"/>
                <w:sz w:val="20"/>
                <w:szCs w:val="20"/>
              </w:rPr>
              <w:t>3</w:t>
            </w:r>
            <w:r w:rsidR="0083162E">
              <w:rPr>
                <w:rFonts w:eastAsia="Times New Roman"/>
                <w:b/>
                <w:bCs/>
                <w:color w:val="000000"/>
                <w:sz w:val="20"/>
                <w:szCs w:val="20"/>
              </w:rPr>
              <w:t>96</w:t>
            </w:r>
            <w:r w:rsidR="000C1A32">
              <w:rPr>
                <w:rFonts w:eastAsia="Times New Roman"/>
                <w:b/>
                <w:bCs/>
                <w:color w:val="000000"/>
                <w:sz w:val="20"/>
                <w:szCs w:val="20"/>
              </w:rPr>
              <w:t>,</w:t>
            </w:r>
            <w:r w:rsidR="0083162E">
              <w:rPr>
                <w:rFonts w:eastAsia="Times New Roman"/>
                <w:b/>
                <w:bCs/>
                <w:color w:val="000000"/>
                <w:sz w:val="20"/>
                <w:szCs w:val="20"/>
              </w:rPr>
              <w:t>52</w:t>
            </w:r>
            <w:r w:rsidR="007F550F">
              <w:rPr>
                <w:rFonts w:eastAsia="Times New Roman"/>
                <w:b/>
                <w:bCs/>
                <w:color w:val="000000"/>
                <w:sz w:val="20"/>
                <w:szCs w:val="20"/>
              </w:rPr>
              <w:t>0</w:t>
            </w:r>
          </w:p>
        </w:tc>
      </w:tr>
    </w:tbl>
    <w:p w:rsidRPr="003F0783" w:rsidR="00F43E71" w:rsidP="00F43E71" w:rsidRDefault="00F43E71" w14:paraId="5770A163" w14:textId="3F6E8E6E">
      <w:pPr>
        <w:autoSpaceDE w:val="0"/>
        <w:autoSpaceDN w:val="0"/>
        <w:adjustRightInd w:val="0"/>
        <w:ind w:left="1440"/>
        <w:outlineLvl w:val="0"/>
        <w:rPr>
          <w:color w:val="0F0F0F"/>
          <w:sz w:val="20"/>
          <w:szCs w:val="20"/>
        </w:rPr>
      </w:pPr>
      <w:r w:rsidRPr="003F0783">
        <w:rPr>
          <w:color w:val="0F0F0F"/>
          <w:sz w:val="20"/>
          <w:szCs w:val="20"/>
          <w:vertAlign w:val="superscript"/>
        </w:rPr>
        <w:t>1</w:t>
      </w:r>
      <w:r w:rsidRPr="003F0783">
        <w:rPr>
          <w:color w:val="0F0F0F"/>
          <w:sz w:val="20"/>
          <w:szCs w:val="20"/>
        </w:rPr>
        <w:t xml:space="preserve"> </w:t>
      </w:r>
      <w:r w:rsidR="00F52DC8">
        <w:rPr>
          <w:color w:val="0F0F0F"/>
          <w:sz w:val="20"/>
          <w:szCs w:val="20"/>
        </w:rPr>
        <w:t xml:space="preserve">Estimate is based on 2018-2020 </w:t>
      </w:r>
      <w:r w:rsidR="00A82D7E">
        <w:rPr>
          <w:color w:val="0F0F0F"/>
          <w:sz w:val="20"/>
          <w:szCs w:val="20"/>
        </w:rPr>
        <w:t>average annual number of transfers and assumes 2 transfers per source</w:t>
      </w:r>
      <w:r w:rsidR="007C119A">
        <w:rPr>
          <w:color w:val="0F0F0F"/>
          <w:sz w:val="20"/>
          <w:szCs w:val="20"/>
        </w:rPr>
        <w:t xml:space="preserve">. Number of sources reflects those </w:t>
      </w:r>
      <w:r w:rsidR="008855F3">
        <w:rPr>
          <w:color w:val="0F0F0F"/>
          <w:sz w:val="20"/>
          <w:szCs w:val="20"/>
        </w:rPr>
        <w:t xml:space="preserve">not included in a previous ICR. </w:t>
      </w:r>
    </w:p>
    <w:p w:rsidRPr="003F0783" w:rsidR="00F43E71" w:rsidP="00F43E71" w:rsidRDefault="00F43E71" w14:paraId="16EC44A2" w14:textId="277F902C">
      <w:pPr>
        <w:autoSpaceDE w:val="0"/>
        <w:autoSpaceDN w:val="0"/>
        <w:adjustRightInd w:val="0"/>
        <w:ind w:left="1440"/>
        <w:outlineLvl w:val="0"/>
        <w:rPr>
          <w:color w:val="0F0F0F"/>
          <w:sz w:val="20"/>
          <w:szCs w:val="20"/>
        </w:rPr>
      </w:pPr>
      <w:r w:rsidRPr="003F0783">
        <w:rPr>
          <w:color w:val="0F0F0F"/>
          <w:sz w:val="20"/>
          <w:szCs w:val="20"/>
          <w:vertAlign w:val="superscript"/>
        </w:rPr>
        <w:lastRenderedPageBreak/>
        <w:t>2</w:t>
      </w:r>
      <w:r w:rsidRPr="003F0783">
        <w:rPr>
          <w:color w:val="0F0F0F"/>
          <w:sz w:val="20"/>
          <w:szCs w:val="20"/>
        </w:rPr>
        <w:t xml:space="preserve"> </w:t>
      </w:r>
      <w:r w:rsidR="008855F3">
        <w:rPr>
          <w:color w:val="0F0F0F"/>
          <w:sz w:val="20"/>
          <w:szCs w:val="20"/>
        </w:rPr>
        <w:t xml:space="preserve">Assumes half of sources </w:t>
      </w:r>
      <w:r w:rsidR="00D25485">
        <w:rPr>
          <w:color w:val="0F0F0F"/>
          <w:sz w:val="20"/>
          <w:szCs w:val="20"/>
        </w:rPr>
        <w:t xml:space="preserve">will submit optional allowance deduction forms. </w:t>
      </w:r>
    </w:p>
    <w:p w:rsidR="00F43E71" w:rsidP="00F43E71" w:rsidRDefault="00F43E71" w14:paraId="0111C363" w14:textId="2B5390F3">
      <w:pPr>
        <w:autoSpaceDE w:val="0"/>
        <w:autoSpaceDN w:val="0"/>
        <w:adjustRightInd w:val="0"/>
        <w:ind w:left="1440"/>
        <w:outlineLvl w:val="0"/>
        <w:rPr>
          <w:color w:val="0F0F0F"/>
          <w:sz w:val="20"/>
          <w:szCs w:val="20"/>
        </w:rPr>
      </w:pPr>
      <w:r>
        <w:rPr>
          <w:color w:val="0F0F0F"/>
          <w:sz w:val="20"/>
          <w:szCs w:val="20"/>
          <w:vertAlign w:val="superscript"/>
        </w:rPr>
        <w:t>3</w:t>
      </w:r>
      <w:r w:rsidRPr="003F0783">
        <w:rPr>
          <w:color w:val="0F0F0F"/>
          <w:sz w:val="20"/>
          <w:szCs w:val="20"/>
        </w:rPr>
        <w:t xml:space="preserve"> </w:t>
      </w:r>
      <w:r w:rsidR="00990395">
        <w:rPr>
          <w:color w:val="0F0F0F"/>
          <w:sz w:val="20"/>
          <w:szCs w:val="20"/>
        </w:rPr>
        <w:t xml:space="preserve">Applies to </w:t>
      </w:r>
      <w:r w:rsidR="001D29FC">
        <w:rPr>
          <w:color w:val="0F0F0F"/>
          <w:sz w:val="20"/>
          <w:szCs w:val="20"/>
        </w:rPr>
        <w:t>sources newly subject to monitoring and reporting requirements</w:t>
      </w:r>
      <w:r w:rsidR="001A2398">
        <w:rPr>
          <w:color w:val="0F0F0F"/>
          <w:sz w:val="20"/>
          <w:szCs w:val="20"/>
        </w:rPr>
        <w:t>.</w:t>
      </w:r>
    </w:p>
    <w:p w:rsidRPr="00380EF3" w:rsidR="00790F46" w:rsidP="00F43E71" w:rsidRDefault="00380EF3" w14:paraId="3FEC7D30" w14:textId="5C26D898">
      <w:pPr>
        <w:autoSpaceDE w:val="0"/>
        <w:autoSpaceDN w:val="0"/>
        <w:adjustRightInd w:val="0"/>
        <w:ind w:left="1440"/>
        <w:outlineLvl w:val="0"/>
        <w:rPr>
          <w:color w:val="0F0F0F"/>
          <w:sz w:val="20"/>
          <w:szCs w:val="20"/>
        </w:rPr>
      </w:pPr>
      <w:r>
        <w:rPr>
          <w:color w:val="0F0F0F"/>
          <w:sz w:val="20"/>
          <w:szCs w:val="20"/>
          <w:vertAlign w:val="superscript"/>
        </w:rPr>
        <w:t xml:space="preserve">4 </w:t>
      </w:r>
      <w:r w:rsidR="008E31DC">
        <w:rPr>
          <w:color w:val="0F0F0F"/>
          <w:sz w:val="20"/>
          <w:szCs w:val="20"/>
        </w:rPr>
        <w:t xml:space="preserve">Applies to units </w:t>
      </w:r>
      <w:r w:rsidR="008561D8">
        <w:rPr>
          <w:color w:val="0F0F0F"/>
          <w:sz w:val="20"/>
          <w:szCs w:val="20"/>
        </w:rPr>
        <w:t xml:space="preserve">making a one-time DAHS update due to revised monitoring and reporting requirements. </w:t>
      </w:r>
    </w:p>
    <w:p w:rsidRPr="001A2398" w:rsidR="001A2398" w:rsidP="00F43E71" w:rsidRDefault="00790F46" w14:paraId="1C85909F" w14:textId="141601E6">
      <w:pPr>
        <w:autoSpaceDE w:val="0"/>
        <w:autoSpaceDN w:val="0"/>
        <w:adjustRightInd w:val="0"/>
        <w:ind w:left="1440"/>
        <w:outlineLvl w:val="0"/>
        <w:rPr>
          <w:color w:val="0F0F0F"/>
          <w:sz w:val="20"/>
          <w:szCs w:val="20"/>
        </w:rPr>
      </w:pPr>
      <w:r>
        <w:rPr>
          <w:color w:val="0F0F0F"/>
          <w:sz w:val="20"/>
          <w:szCs w:val="20"/>
          <w:vertAlign w:val="superscript"/>
        </w:rPr>
        <w:t>5</w:t>
      </w:r>
      <w:r w:rsidR="001A2398">
        <w:rPr>
          <w:color w:val="0F0F0F"/>
          <w:sz w:val="20"/>
          <w:szCs w:val="20"/>
          <w:vertAlign w:val="superscript"/>
        </w:rPr>
        <w:t xml:space="preserve"> </w:t>
      </w:r>
      <w:r w:rsidR="001A2398">
        <w:rPr>
          <w:color w:val="0F0F0F"/>
          <w:sz w:val="20"/>
          <w:szCs w:val="20"/>
        </w:rPr>
        <w:t xml:space="preserve">Applies to sources newly subject to monitoring and reporting requirements. </w:t>
      </w:r>
      <w:r w:rsidR="00247D63">
        <w:rPr>
          <w:color w:val="0F0F0F"/>
          <w:sz w:val="20"/>
          <w:szCs w:val="20"/>
        </w:rPr>
        <w:t>Number of units averaged over three years</w:t>
      </w:r>
      <w:r>
        <w:rPr>
          <w:color w:val="0F0F0F"/>
          <w:sz w:val="20"/>
          <w:szCs w:val="20"/>
        </w:rPr>
        <w:t xml:space="preserve"> to represent annual cost of one-time activity. </w:t>
      </w:r>
    </w:p>
    <w:p w:rsidRPr="003F0783" w:rsidR="00F43E71" w:rsidP="00F43E71" w:rsidRDefault="00F33754" w14:paraId="7A60AC1A" w14:textId="06DE5342">
      <w:pPr>
        <w:autoSpaceDE w:val="0"/>
        <w:autoSpaceDN w:val="0"/>
        <w:adjustRightInd w:val="0"/>
        <w:ind w:left="1440"/>
        <w:outlineLvl w:val="0"/>
        <w:rPr>
          <w:color w:val="0F0F0F"/>
          <w:sz w:val="20"/>
          <w:szCs w:val="20"/>
        </w:rPr>
      </w:pPr>
      <w:r>
        <w:rPr>
          <w:color w:val="0F0F0F"/>
          <w:sz w:val="20"/>
          <w:szCs w:val="20"/>
          <w:vertAlign w:val="superscript"/>
        </w:rPr>
        <w:t>6</w:t>
      </w:r>
      <w:r w:rsidRPr="003F0783" w:rsidR="00F43E71">
        <w:rPr>
          <w:color w:val="0F0F0F"/>
          <w:sz w:val="20"/>
          <w:szCs w:val="20"/>
        </w:rPr>
        <w:t xml:space="preserve"> </w:t>
      </w:r>
      <w:r w:rsidR="00E2757A">
        <w:rPr>
          <w:color w:val="0F0F0F"/>
          <w:sz w:val="20"/>
          <w:szCs w:val="20"/>
        </w:rPr>
        <w:t xml:space="preserve">Assumes </w:t>
      </w:r>
      <w:r w:rsidR="00AA408E">
        <w:rPr>
          <w:color w:val="0F0F0F"/>
          <w:sz w:val="20"/>
          <w:szCs w:val="20"/>
        </w:rPr>
        <w:t>units newly subject to monitoring and reporting requirements under</w:t>
      </w:r>
      <w:r w:rsidR="002D6774">
        <w:rPr>
          <w:color w:val="0F0F0F"/>
          <w:sz w:val="20"/>
          <w:szCs w:val="20"/>
        </w:rPr>
        <w:t xml:space="preserve"> the</w:t>
      </w:r>
      <w:r w:rsidR="00AA408E">
        <w:rPr>
          <w:color w:val="0F0F0F"/>
          <w:sz w:val="20"/>
          <w:szCs w:val="20"/>
        </w:rPr>
        <w:t xml:space="preserve"> CSAPR NO</w:t>
      </w:r>
      <w:r w:rsidRPr="006265A8" w:rsidR="00AA408E">
        <w:rPr>
          <w:color w:val="0F0F0F"/>
          <w:sz w:val="20"/>
          <w:szCs w:val="20"/>
          <w:vertAlign w:val="subscript"/>
        </w:rPr>
        <w:t>x</w:t>
      </w:r>
      <w:r w:rsidR="00AA408E">
        <w:rPr>
          <w:color w:val="0F0F0F"/>
          <w:sz w:val="20"/>
          <w:szCs w:val="20"/>
        </w:rPr>
        <w:t xml:space="preserve"> Ozone Season Group 3 </w:t>
      </w:r>
      <w:r w:rsidR="002D6774">
        <w:rPr>
          <w:color w:val="0F0F0F"/>
          <w:sz w:val="20"/>
          <w:szCs w:val="20"/>
        </w:rPr>
        <w:t>program will</w:t>
      </w:r>
      <w:r w:rsidR="00B15119">
        <w:rPr>
          <w:color w:val="0F0F0F"/>
          <w:sz w:val="20"/>
          <w:szCs w:val="20"/>
        </w:rPr>
        <w:t xml:space="preserve"> elect to report on an ozone season only basis. </w:t>
      </w:r>
    </w:p>
    <w:p w:rsidRPr="003F0783" w:rsidR="00F43E71" w:rsidP="00F43E71" w:rsidRDefault="00F43E71" w14:paraId="25C7D123" w14:textId="77777777">
      <w:pPr>
        <w:autoSpaceDE w:val="0"/>
        <w:autoSpaceDN w:val="0"/>
        <w:adjustRightInd w:val="0"/>
        <w:ind w:left="1440"/>
        <w:outlineLvl w:val="0"/>
        <w:rPr>
          <w:b/>
          <w:color w:val="0F0F0F"/>
          <w:sz w:val="20"/>
          <w:szCs w:val="20"/>
        </w:rPr>
      </w:pPr>
    </w:p>
    <w:p w:rsidRPr="00B1086D" w:rsidR="00F43E71" w:rsidP="00041556" w:rsidRDefault="004B60CC" w14:paraId="1326114B" w14:textId="66435DEA">
      <w:pPr>
        <w:spacing w:after="160" w:line="259" w:lineRule="auto"/>
        <w:rPr>
          <w:b/>
        </w:rPr>
      </w:pPr>
      <w:r>
        <w:rPr>
          <w:b/>
        </w:rPr>
        <w:tab/>
      </w:r>
      <w:r>
        <w:rPr>
          <w:b/>
        </w:rPr>
        <w:tab/>
      </w:r>
      <w:r>
        <w:rPr>
          <w:b/>
        </w:rPr>
        <w:tab/>
      </w:r>
      <w:r>
        <w:rPr>
          <w:b/>
        </w:rPr>
        <w:tab/>
      </w:r>
      <w:r>
        <w:rPr>
          <w:b/>
        </w:rPr>
        <w:tab/>
      </w:r>
      <w:r>
        <w:rPr>
          <w:b/>
        </w:rPr>
        <w:tab/>
      </w:r>
      <w:r w:rsidRPr="00B1086D" w:rsidR="00F43E71">
        <w:rPr>
          <w:b/>
        </w:rPr>
        <w:t xml:space="preserve">Table </w:t>
      </w:r>
      <w:r w:rsidR="000C1A32">
        <w:rPr>
          <w:b/>
        </w:rPr>
        <w:t>3</w:t>
      </w:r>
      <w:r w:rsidRPr="00B1086D" w:rsidR="00F43E71">
        <w:rPr>
          <w:b/>
        </w:rPr>
        <w:t>:  Annual Agency Burden and Cost by Activity</w:t>
      </w:r>
    </w:p>
    <w:p w:rsidRPr="003F0783" w:rsidR="00F43E71" w:rsidP="00F43E71" w:rsidRDefault="00F43E71" w14:paraId="367236C0" w14:textId="77777777">
      <w:pPr>
        <w:autoSpaceDE w:val="0"/>
        <w:autoSpaceDN w:val="0"/>
        <w:adjustRightInd w:val="0"/>
        <w:jc w:val="center"/>
        <w:rPr>
          <w:b/>
          <w:szCs w:val="24"/>
        </w:rPr>
      </w:pPr>
    </w:p>
    <w:tbl>
      <w:tblPr>
        <w:tblW w:w="9360"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72" w:type="dxa"/>
          <w:left w:w="72" w:type="dxa"/>
          <w:bottom w:w="72" w:type="dxa"/>
          <w:right w:w="72" w:type="dxa"/>
        </w:tblCellMar>
        <w:tblLook w:val="04A0" w:firstRow="1" w:lastRow="0" w:firstColumn="1" w:lastColumn="0" w:noHBand="0" w:noVBand="1"/>
      </w:tblPr>
      <w:tblGrid>
        <w:gridCol w:w="3597"/>
        <w:gridCol w:w="1170"/>
        <w:gridCol w:w="1170"/>
        <w:gridCol w:w="1260"/>
        <w:gridCol w:w="1170"/>
        <w:gridCol w:w="993"/>
      </w:tblGrid>
      <w:tr w:rsidRPr="003F0783" w:rsidR="00F43E71" w:rsidTr="00F43E71" w14:paraId="7B04F14D" w14:textId="77777777">
        <w:trPr>
          <w:trHeight w:val="310"/>
          <w:jc w:val="center"/>
        </w:trPr>
        <w:tc>
          <w:tcPr>
            <w:tcW w:w="3597" w:type="dxa"/>
            <w:shd w:val="clear" w:color="auto" w:fill="D9D9D9"/>
            <w:noWrap/>
            <w:vAlign w:val="bottom"/>
          </w:tcPr>
          <w:p w:rsidRPr="003F0783" w:rsidR="00F43E71" w:rsidP="00F43E71" w:rsidRDefault="00F43E71" w14:paraId="56AB28AF" w14:textId="77777777">
            <w:pPr>
              <w:jc w:val="center"/>
              <w:rPr>
                <w:rFonts w:eastAsia="Times New Roman"/>
                <w:b/>
                <w:bCs/>
                <w:color w:val="000000"/>
                <w:sz w:val="20"/>
                <w:szCs w:val="20"/>
              </w:rPr>
            </w:pPr>
          </w:p>
        </w:tc>
        <w:tc>
          <w:tcPr>
            <w:tcW w:w="1170" w:type="dxa"/>
            <w:shd w:val="clear" w:color="auto" w:fill="D9D9D9"/>
            <w:vAlign w:val="bottom"/>
          </w:tcPr>
          <w:p w:rsidRPr="003F0783" w:rsidR="00F43E71" w:rsidP="00F43E71" w:rsidRDefault="00F43E71" w14:paraId="7F449F9B" w14:textId="77777777">
            <w:pPr>
              <w:jc w:val="center"/>
              <w:rPr>
                <w:rFonts w:eastAsia="Times New Roman"/>
                <w:b/>
                <w:bCs/>
                <w:color w:val="000000"/>
                <w:sz w:val="20"/>
                <w:szCs w:val="20"/>
              </w:rPr>
            </w:pPr>
            <w:r w:rsidRPr="003F0783">
              <w:rPr>
                <w:rFonts w:eastAsia="Times New Roman"/>
                <w:b/>
                <w:bCs/>
                <w:color w:val="000000"/>
                <w:sz w:val="20"/>
                <w:szCs w:val="20"/>
              </w:rPr>
              <w:t>Hours per occurrence</w:t>
            </w:r>
          </w:p>
        </w:tc>
        <w:tc>
          <w:tcPr>
            <w:tcW w:w="1170" w:type="dxa"/>
            <w:shd w:val="clear" w:color="auto" w:fill="D9D9D9"/>
            <w:vAlign w:val="bottom"/>
          </w:tcPr>
          <w:p w:rsidRPr="003F0783" w:rsidR="00F43E71" w:rsidP="00F43E71" w:rsidRDefault="00F43E71" w14:paraId="06ABFBF1" w14:textId="77777777">
            <w:pPr>
              <w:jc w:val="center"/>
              <w:rPr>
                <w:rFonts w:eastAsia="Times New Roman"/>
                <w:b/>
                <w:bCs/>
                <w:color w:val="000000"/>
                <w:sz w:val="20"/>
                <w:szCs w:val="20"/>
              </w:rPr>
            </w:pPr>
            <w:r w:rsidRPr="003F0783">
              <w:rPr>
                <w:rFonts w:eastAsia="Times New Roman"/>
                <w:b/>
                <w:bCs/>
                <w:color w:val="000000"/>
                <w:sz w:val="20"/>
                <w:szCs w:val="20"/>
              </w:rPr>
              <w:t>Cost per occurrence</w:t>
            </w:r>
            <w:r w:rsidRPr="003F0783">
              <w:rPr>
                <w:rFonts w:eastAsia="Times New Roman"/>
                <w:b/>
                <w:bCs/>
                <w:color w:val="000000"/>
                <w:sz w:val="20"/>
                <w:szCs w:val="20"/>
                <w:vertAlign w:val="superscript"/>
              </w:rPr>
              <w:t xml:space="preserve"> </w:t>
            </w:r>
          </w:p>
        </w:tc>
        <w:tc>
          <w:tcPr>
            <w:tcW w:w="1260" w:type="dxa"/>
            <w:shd w:val="clear" w:color="auto" w:fill="D9D9D9"/>
            <w:vAlign w:val="bottom"/>
          </w:tcPr>
          <w:p w:rsidRPr="003F0783" w:rsidR="00F43E71" w:rsidP="00F43E71" w:rsidRDefault="00F43E71" w14:paraId="0EECFF21" w14:textId="77777777">
            <w:pPr>
              <w:jc w:val="center"/>
              <w:rPr>
                <w:rFonts w:eastAsia="Times New Roman"/>
                <w:b/>
                <w:bCs/>
                <w:color w:val="000000"/>
                <w:sz w:val="20"/>
                <w:szCs w:val="20"/>
              </w:rPr>
            </w:pPr>
            <w:r w:rsidRPr="003F0783">
              <w:rPr>
                <w:rFonts w:eastAsia="Times New Roman"/>
                <w:b/>
                <w:bCs/>
                <w:color w:val="000000"/>
                <w:sz w:val="20"/>
                <w:szCs w:val="20"/>
              </w:rPr>
              <w:t>Occurrences per year</w:t>
            </w:r>
          </w:p>
        </w:tc>
        <w:tc>
          <w:tcPr>
            <w:tcW w:w="1170" w:type="dxa"/>
            <w:shd w:val="clear" w:color="auto" w:fill="D9D9D9"/>
            <w:vAlign w:val="bottom"/>
          </w:tcPr>
          <w:p w:rsidRPr="003F0783" w:rsidR="00F43E71" w:rsidP="00F43E71" w:rsidRDefault="00F43E71" w14:paraId="35045FC5" w14:textId="77777777">
            <w:pPr>
              <w:jc w:val="center"/>
              <w:rPr>
                <w:rFonts w:eastAsia="Times New Roman"/>
                <w:b/>
                <w:bCs/>
                <w:color w:val="000000"/>
                <w:sz w:val="20"/>
                <w:szCs w:val="20"/>
              </w:rPr>
            </w:pPr>
            <w:r w:rsidRPr="003F0783">
              <w:rPr>
                <w:rFonts w:eastAsia="Times New Roman"/>
                <w:b/>
                <w:bCs/>
                <w:color w:val="000000"/>
                <w:sz w:val="20"/>
                <w:szCs w:val="20"/>
              </w:rPr>
              <w:t>Total hours per year</w:t>
            </w:r>
          </w:p>
        </w:tc>
        <w:tc>
          <w:tcPr>
            <w:tcW w:w="993" w:type="dxa"/>
            <w:shd w:val="clear" w:color="auto" w:fill="D9D9D9"/>
            <w:vAlign w:val="bottom"/>
          </w:tcPr>
          <w:p w:rsidRPr="003F0783" w:rsidR="00F43E71" w:rsidP="00F43E71" w:rsidRDefault="00F43E71" w14:paraId="03DAC6B0" w14:textId="77777777">
            <w:pPr>
              <w:jc w:val="center"/>
              <w:rPr>
                <w:rFonts w:eastAsia="Times New Roman"/>
                <w:b/>
                <w:bCs/>
                <w:color w:val="000000"/>
                <w:sz w:val="20"/>
                <w:szCs w:val="20"/>
              </w:rPr>
            </w:pPr>
            <w:r w:rsidRPr="003F0783">
              <w:rPr>
                <w:rFonts w:eastAsia="Times New Roman"/>
                <w:b/>
                <w:bCs/>
                <w:color w:val="000000"/>
                <w:sz w:val="20"/>
                <w:szCs w:val="20"/>
              </w:rPr>
              <w:t>Total cost per year</w:t>
            </w:r>
          </w:p>
        </w:tc>
      </w:tr>
      <w:tr w:rsidRPr="003F0783" w:rsidR="00F43E71" w:rsidTr="00F43E71" w14:paraId="6A05098A" w14:textId="77777777">
        <w:trPr>
          <w:trHeight w:val="313"/>
          <w:jc w:val="center"/>
        </w:trPr>
        <w:tc>
          <w:tcPr>
            <w:tcW w:w="3597" w:type="dxa"/>
            <w:shd w:val="clear" w:color="auto" w:fill="auto"/>
          </w:tcPr>
          <w:p w:rsidRPr="003F0783" w:rsidR="00F43E71" w:rsidP="00F43E71" w:rsidRDefault="00F43E71" w14:paraId="07AA0CFD" w14:textId="3E4E2390">
            <w:pPr>
              <w:rPr>
                <w:rFonts w:eastAsia="Times New Roman"/>
                <w:color w:val="000000"/>
                <w:sz w:val="20"/>
                <w:szCs w:val="20"/>
              </w:rPr>
            </w:pPr>
            <w:r w:rsidRPr="003F0783">
              <w:rPr>
                <w:rFonts w:eastAsia="Times New Roman"/>
                <w:color w:val="000000"/>
                <w:sz w:val="20"/>
              </w:rPr>
              <w:t>Review and processing of certificates of representation.</w:t>
            </w:r>
          </w:p>
        </w:tc>
        <w:tc>
          <w:tcPr>
            <w:tcW w:w="1170" w:type="dxa"/>
            <w:shd w:val="clear" w:color="auto" w:fill="auto"/>
            <w:vAlign w:val="bottom"/>
          </w:tcPr>
          <w:p w:rsidRPr="003F0783" w:rsidR="00F43E71" w:rsidP="00F43E71" w:rsidRDefault="00F43E71" w14:paraId="21C0FCAF" w14:textId="77777777">
            <w:pPr>
              <w:jc w:val="right"/>
              <w:rPr>
                <w:rFonts w:eastAsia="Times New Roman"/>
                <w:color w:val="000000"/>
                <w:sz w:val="20"/>
              </w:rPr>
            </w:pPr>
            <w:r w:rsidRPr="003F0783">
              <w:rPr>
                <w:color w:val="000000"/>
                <w:sz w:val="20"/>
                <w:szCs w:val="20"/>
              </w:rPr>
              <w:t>0.5</w:t>
            </w:r>
          </w:p>
        </w:tc>
        <w:tc>
          <w:tcPr>
            <w:tcW w:w="1170" w:type="dxa"/>
            <w:shd w:val="clear" w:color="auto" w:fill="auto"/>
            <w:vAlign w:val="bottom"/>
          </w:tcPr>
          <w:p w:rsidRPr="003F0783" w:rsidR="00F43E71" w:rsidP="00F43E71" w:rsidRDefault="00F43E71" w14:paraId="03AA96F3" w14:textId="77777777">
            <w:pPr>
              <w:jc w:val="right"/>
              <w:rPr>
                <w:rFonts w:eastAsia="Times New Roman"/>
                <w:color w:val="000000"/>
                <w:sz w:val="20"/>
              </w:rPr>
            </w:pPr>
            <w:r w:rsidRPr="003F0783">
              <w:rPr>
                <w:color w:val="000000"/>
                <w:sz w:val="20"/>
                <w:szCs w:val="20"/>
              </w:rPr>
              <w:t>$</w:t>
            </w:r>
            <w:r>
              <w:rPr>
                <w:color w:val="000000"/>
                <w:sz w:val="20"/>
                <w:szCs w:val="20"/>
              </w:rPr>
              <w:t>42</w:t>
            </w:r>
            <w:r w:rsidRPr="003F0783">
              <w:rPr>
                <w:color w:val="000000"/>
                <w:sz w:val="20"/>
                <w:szCs w:val="20"/>
              </w:rPr>
              <w:t xml:space="preserve"> </w:t>
            </w:r>
          </w:p>
        </w:tc>
        <w:tc>
          <w:tcPr>
            <w:tcW w:w="1260" w:type="dxa"/>
            <w:vAlign w:val="bottom"/>
          </w:tcPr>
          <w:p w:rsidRPr="003F0783" w:rsidR="00F43E71" w:rsidDel="00CA7D4F" w:rsidP="00F43E71" w:rsidRDefault="007F5FD9" w14:paraId="426DA5CB" w14:textId="56B71ABC">
            <w:pPr>
              <w:jc w:val="right"/>
              <w:rPr>
                <w:color w:val="000000"/>
                <w:sz w:val="20"/>
                <w:szCs w:val="20"/>
              </w:rPr>
            </w:pPr>
            <w:r>
              <w:rPr>
                <w:color w:val="000000"/>
                <w:sz w:val="20"/>
                <w:szCs w:val="20"/>
              </w:rPr>
              <w:t>6</w:t>
            </w:r>
          </w:p>
        </w:tc>
        <w:tc>
          <w:tcPr>
            <w:tcW w:w="1170" w:type="dxa"/>
            <w:shd w:val="clear" w:color="auto" w:fill="auto"/>
            <w:vAlign w:val="bottom"/>
          </w:tcPr>
          <w:p w:rsidRPr="003F0783" w:rsidR="00F43E71" w:rsidP="00F43E71" w:rsidRDefault="007F5FD9" w14:paraId="037E3B76" w14:textId="49898CD1">
            <w:pPr>
              <w:jc w:val="right"/>
              <w:rPr>
                <w:rFonts w:eastAsia="Times New Roman"/>
                <w:color w:val="000000"/>
                <w:sz w:val="20"/>
              </w:rPr>
            </w:pPr>
            <w:r>
              <w:rPr>
                <w:color w:val="000000"/>
                <w:sz w:val="20"/>
                <w:szCs w:val="20"/>
              </w:rPr>
              <w:t>3</w:t>
            </w:r>
          </w:p>
        </w:tc>
        <w:tc>
          <w:tcPr>
            <w:tcW w:w="993" w:type="dxa"/>
            <w:shd w:val="clear" w:color="auto" w:fill="auto"/>
            <w:vAlign w:val="bottom"/>
          </w:tcPr>
          <w:p w:rsidRPr="003F0783" w:rsidR="00F43E71" w:rsidP="00F43E71" w:rsidRDefault="00F43E71" w14:paraId="1CBBC1C3" w14:textId="3CEC04B1">
            <w:pPr>
              <w:jc w:val="right"/>
              <w:rPr>
                <w:rFonts w:eastAsia="Times New Roman"/>
                <w:color w:val="000000"/>
                <w:sz w:val="20"/>
              </w:rPr>
            </w:pPr>
            <w:r w:rsidRPr="003F0783">
              <w:rPr>
                <w:color w:val="000000"/>
                <w:sz w:val="20"/>
                <w:szCs w:val="20"/>
              </w:rPr>
              <w:t>$</w:t>
            </w:r>
            <w:r w:rsidR="00CF1B0E">
              <w:rPr>
                <w:color w:val="000000"/>
                <w:sz w:val="20"/>
                <w:szCs w:val="20"/>
              </w:rPr>
              <w:t>126</w:t>
            </w:r>
          </w:p>
        </w:tc>
      </w:tr>
      <w:tr w:rsidRPr="003F0783" w:rsidR="00F43E71" w:rsidTr="00F43E71" w14:paraId="7FDCBB79" w14:textId="77777777">
        <w:trPr>
          <w:trHeight w:val="18"/>
          <w:jc w:val="center"/>
        </w:trPr>
        <w:tc>
          <w:tcPr>
            <w:tcW w:w="3597" w:type="dxa"/>
            <w:shd w:val="clear" w:color="auto" w:fill="auto"/>
          </w:tcPr>
          <w:p w:rsidRPr="003F0783" w:rsidR="00F43E71" w:rsidP="00F43E71" w:rsidRDefault="00F43E71" w14:paraId="3E5ED164" w14:textId="77777777">
            <w:pPr>
              <w:rPr>
                <w:rFonts w:eastAsia="Times New Roman"/>
                <w:color w:val="000000"/>
                <w:sz w:val="20"/>
              </w:rPr>
            </w:pPr>
            <w:r w:rsidRPr="003F0783">
              <w:rPr>
                <w:rFonts w:eastAsia="Times New Roman"/>
                <w:color w:val="000000"/>
                <w:sz w:val="20"/>
              </w:rPr>
              <w:t>Review and recordation of allowance transfers and notification of transfer participants.</w:t>
            </w:r>
            <w:r>
              <w:rPr>
                <w:rFonts w:eastAsia="Times New Roman"/>
                <w:color w:val="000000"/>
                <w:sz w:val="20"/>
                <w:vertAlign w:val="superscript"/>
              </w:rPr>
              <w:t>1</w:t>
            </w:r>
          </w:p>
        </w:tc>
        <w:tc>
          <w:tcPr>
            <w:tcW w:w="1170" w:type="dxa"/>
            <w:shd w:val="clear" w:color="auto" w:fill="auto"/>
            <w:vAlign w:val="bottom"/>
          </w:tcPr>
          <w:p w:rsidRPr="003F0783" w:rsidR="00F43E71" w:rsidP="00F43E71" w:rsidRDefault="00F43E71" w14:paraId="5693ADD0" w14:textId="77777777">
            <w:pPr>
              <w:jc w:val="right"/>
              <w:rPr>
                <w:color w:val="000000"/>
                <w:sz w:val="20"/>
                <w:szCs w:val="20"/>
              </w:rPr>
            </w:pPr>
            <w:r w:rsidRPr="003F0783">
              <w:rPr>
                <w:color w:val="000000"/>
                <w:sz w:val="20"/>
                <w:szCs w:val="20"/>
              </w:rPr>
              <w:t>1</w:t>
            </w:r>
          </w:p>
        </w:tc>
        <w:tc>
          <w:tcPr>
            <w:tcW w:w="1170" w:type="dxa"/>
            <w:shd w:val="clear" w:color="auto" w:fill="auto"/>
            <w:vAlign w:val="bottom"/>
          </w:tcPr>
          <w:p w:rsidRPr="003F0783" w:rsidR="00F43E71" w:rsidP="00F43E71" w:rsidRDefault="00F43E71" w14:paraId="7A7FDF26" w14:textId="77777777">
            <w:pPr>
              <w:jc w:val="right"/>
              <w:rPr>
                <w:color w:val="000000"/>
                <w:sz w:val="20"/>
                <w:szCs w:val="20"/>
              </w:rPr>
            </w:pPr>
            <w:r w:rsidRPr="003F0783">
              <w:rPr>
                <w:color w:val="000000"/>
                <w:sz w:val="20"/>
                <w:szCs w:val="20"/>
              </w:rPr>
              <w:t>$85</w:t>
            </w:r>
          </w:p>
        </w:tc>
        <w:tc>
          <w:tcPr>
            <w:tcW w:w="1260" w:type="dxa"/>
            <w:vAlign w:val="bottom"/>
          </w:tcPr>
          <w:p w:rsidRPr="003F0783" w:rsidR="00F43E71" w:rsidP="00F43E71" w:rsidRDefault="00CF1B0E" w14:paraId="16A0A5CD" w14:textId="457CE12D">
            <w:pPr>
              <w:jc w:val="right"/>
              <w:rPr>
                <w:color w:val="000000"/>
                <w:sz w:val="20"/>
                <w:szCs w:val="20"/>
              </w:rPr>
            </w:pPr>
            <w:r>
              <w:rPr>
                <w:color w:val="000000"/>
                <w:sz w:val="20"/>
                <w:szCs w:val="20"/>
              </w:rPr>
              <w:t>0</w:t>
            </w:r>
          </w:p>
        </w:tc>
        <w:tc>
          <w:tcPr>
            <w:tcW w:w="1170" w:type="dxa"/>
            <w:shd w:val="clear" w:color="auto" w:fill="auto"/>
            <w:vAlign w:val="bottom"/>
          </w:tcPr>
          <w:p w:rsidRPr="003F0783" w:rsidR="00F43E71" w:rsidP="00F43E71" w:rsidRDefault="00CF1B0E" w14:paraId="2C0559A7" w14:textId="62D7643F">
            <w:pPr>
              <w:jc w:val="right"/>
              <w:rPr>
                <w:color w:val="000000"/>
                <w:sz w:val="20"/>
                <w:szCs w:val="20"/>
              </w:rPr>
            </w:pPr>
            <w:r>
              <w:rPr>
                <w:color w:val="000000"/>
                <w:sz w:val="20"/>
                <w:szCs w:val="20"/>
              </w:rPr>
              <w:t>0</w:t>
            </w:r>
          </w:p>
        </w:tc>
        <w:tc>
          <w:tcPr>
            <w:tcW w:w="993" w:type="dxa"/>
            <w:shd w:val="clear" w:color="auto" w:fill="auto"/>
            <w:vAlign w:val="bottom"/>
          </w:tcPr>
          <w:p w:rsidRPr="003F0783" w:rsidR="00F43E71" w:rsidP="00F43E71" w:rsidRDefault="00F43E71" w14:paraId="644D2DA3" w14:textId="7C2DAA1D">
            <w:pPr>
              <w:jc w:val="right"/>
              <w:rPr>
                <w:color w:val="000000"/>
                <w:sz w:val="20"/>
                <w:szCs w:val="20"/>
              </w:rPr>
            </w:pPr>
            <w:r w:rsidRPr="003F0783">
              <w:rPr>
                <w:color w:val="000000"/>
                <w:sz w:val="20"/>
                <w:szCs w:val="20"/>
              </w:rPr>
              <w:t>$</w:t>
            </w:r>
            <w:r w:rsidR="00CF1B0E">
              <w:rPr>
                <w:color w:val="000000"/>
                <w:sz w:val="20"/>
                <w:szCs w:val="20"/>
              </w:rPr>
              <w:t>0</w:t>
            </w:r>
          </w:p>
        </w:tc>
      </w:tr>
      <w:tr w:rsidRPr="003F0783" w:rsidR="00F43E71" w:rsidTr="00F43E71" w14:paraId="76B5E4B4" w14:textId="77777777">
        <w:trPr>
          <w:trHeight w:val="18"/>
          <w:jc w:val="center"/>
        </w:trPr>
        <w:tc>
          <w:tcPr>
            <w:tcW w:w="3597" w:type="dxa"/>
            <w:shd w:val="clear" w:color="auto" w:fill="auto"/>
          </w:tcPr>
          <w:p w:rsidRPr="003F0783" w:rsidR="00F43E71" w:rsidP="00F43E71" w:rsidRDefault="00F43E71" w14:paraId="52111B6C" w14:textId="77777777">
            <w:pPr>
              <w:rPr>
                <w:rFonts w:eastAsia="Times New Roman"/>
                <w:color w:val="000000"/>
                <w:sz w:val="20"/>
              </w:rPr>
            </w:pPr>
            <w:r w:rsidRPr="003F0783">
              <w:rPr>
                <w:rFonts w:eastAsia="Times New Roman"/>
                <w:color w:val="000000"/>
                <w:sz w:val="20"/>
              </w:rPr>
              <w:t>Review and recordation of allowance deductions.</w:t>
            </w:r>
            <w:r>
              <w:rPr>
                <w:rFonts w:eastAsia="Times New Roman"/>
                <w:color w:val="000000"/>
                <w:sz w:val="20"/>
                <w:vertAlign w:val="superscript"/>
              </w:rPr>
              <w:t>2</w:t>
            </w:r>
          </w:p>
        </w:tc>
        <w:tc>
          <w:tcPr>
            <w:tcW w:w="1170" w:type="dxa"/>
            <w:shd w:val="clear" w:color="auto" w:fill="auto"/>
            <w:vAlign w:val="bottom"/>
          </w:tcPr>
          <w:p w:rsidRPr="003F0783" w:rsidR="00F43E71" w:rsidP="00F43E71" w:rsidRDefault="00F43E71" w14:paraId="7555F1D9" w14:textId="77777777">
            <w:pPr>
              <w:jc w:val="right"/>
              <w:rPr>
                <w:color w:val="000000"/>
                <w:sz w:val="20"/>
                <w:szCs w:val="20"/>
              </w:rPr>
            </w:pPr>
            <w:r w:rsidRPr="003F0783">
              <w:rPr>
                <w:color w:val="000000"/>
                <w:sz w:val="20"/>
                <w:szCs w:val="20"/>
              </w:rPr>
              <w:t>0.5</w:t>
            </w:r>
          </w:p>
        </w:tc>
        <w:tc>
          <w:tcPr>
            <w:tcW w:w="1170" w:type="dxa"/>
            <w:shd w:val="clear" w:color="auto" w:fill="auto"/>
            <w:vAlign w:val="bottom"/>
          </w:tcPr>
          <w:p w:rsidRPr="003F0783" w:rsidR="00F43E71" w:rsidP="00F43E71" w:rsidRDefault="00F43E71" w14:paraId="7D2BF615" w14:textId="77777777">
            <w:pPr>
              <w:jc w:val="right"/>
              <w:rPr>
                <w:color w:val="000000"/>
                <w:sz w:val="20"/>
                <w:szCs w:val="20"/>
              </w:rPr>
            </w:pPr>
            <w:r w:rsidRPr="003F0783">
              <w:rPr>
                <w:color w:val="000000"/>
                <w:sz w:val="20"/>
                <w:szCs w:val="20"/>
              </w:rPr>
              <w:t>$</w:t>
            </w:r>
            <w:r>
              <w:rPr>
                <w:color w:val="000000"/>
                <w:sz w:val="20"/>
                <w:szCs w:val="20"/>
              </w:rPr>
              <w:t>42</w:t>
            </w:r>
          </w:p>
        </w:tc>
        <w:tc>
          <w:tcPr>
            <w:tcW w:w="1260" w:type="dxa"/>
            <w:vAlign w:val="bottom"/>
          </w:tcPr>
          <w:p w:rsidRPr="003F0783" w:rsidR="00F43E71" w:rsidP="00F43E71" w:rsidRDefault="00CF1B0E" w14:paraId="1A8C8555" w14:textId="7EE40395">
            <w:pPr>
              <w:jc w:val="right"/>
              <w:rPr>
                <w:color w:val="000000"/>
                <w:sz w:val="20"/>
                <w:szCs w:val="20"/>
              </w:rPr>
            </w:pPr>
            <w:r>
              <w:rPr>
                <w:color w:val="000000"/>
                <w:sz w:val="20"/>
                <w:szCs w:val="20"/>
              </w:rPr>
              <w:t>0</w:t>
            </w:r>
          </w:p>
        </w:tc>
        <w:tc>
          <w:tcPr>
            <w:tcW w:w="1170" w:type="dxa"/>
            <w:shd w:val="clear" w:color="auto" w:fill="auto"/>
            <w:vAlign w:val="bottom"/>
          </w:tcPr>
          <w:p w:rsidRPr="003F0783" w:rsidR="00F43E71" w:rsidP="00F43E71" w:rsidRDefault="00CF1B0E" w14:paraId="1BE3D18B" w14:textId="0C6A5E72">
            <w:pPr>
              <w:jc w:val="right"/>
              <w:rPr>
                <w:color w:val="000000"/>
                <w:sz w:val="20"/>
                <w:szCs w:val="20"/>
              </w:rPr>
            </w:pPr>
            <w:r>
              <w:rPr>
                <w:color w:val="000000"/>
                <w:sz w:val="20"/>
                <w:szCs w:val="20"/>
              </w:rPr>
              <w:t>0</w:t>
            </w:r>
          </w:p>
        </w:tc>
        <w:tc>
          <w:tcPr>
            <w:tcW w:w="993" w:type="dxa"/>
            <w:shd w:val="clear" w:color="auto" w:fill="auto"/>
            <w:vAlign w:val="bottom"/>
          </w:tcPr>
          <w:p w:rsidRPr="003F0783" w:rsidR="00F43E71" w:rsidP="00F43E71" w:rsidRDefault="00F43E71" w14:paraId="0DEA75CD" w14:textId="67B603DE">
            <w:pPr>
              <w:jc w:val="right"/>
              <w:rPr>
                <w:color w:val="000000"/>
                <w:sz w:val="20"/>
                <w:szCs w:val="20"/>
              </w:rPr>
            </w:pPr>
            <w:r w:rsidRPr="003F0783">
              <w:rPr>
                <w:color w:val="000000"/>
                <w:sz w:val="20"/>
                <w:szCs w:val="20"/>
              </w:rPr>
              <w:t>$</w:t>
            </w:r>
            <w:r w:rsidR="00CF1B0E">
              <w:rPr>
                <w:color w:val="000000"/>
                <w:sz w:val="20"/>
                <w:szCs w:val="20"/>
              </w:rPr>
              <w:t>0</w:t>
            </w:r>
          </w:p>
        </w:tc>
      </w:tr>
      <w:tr w:rsidRPr="003F0783" w:rsidR="00F43E71" w:rsidTr="00F43E71" w14:paraId="7DF65B14" w14:textId="77777777">
        <w:trPr>
          <w:trHeight w:val="18"/>
          <w:jc w:val="center"/>
        </w:trPr>
        <w:tc>
          <w:tcPr>
            <w:tcW w:w="3597" w:type="dxa"/>
            <w:shd w:val="clear" w:color="auto" w:fill="auto"/>
          </w:tcPr>
          <w:p w:rsidRPr="003F0783" w:rsidR="00F43E71" w:rsidP="00F43E71" w:rsidRDefault="00F43E71" w14:paraId="3B13C62D" w14:textId="77777777">
            <w:pPr>
              <w:rPr>
                <w:rFonts w:eastAsia="Times New Roman"/>
                <w:color w:val="000000"/>
                <w:sz w:val="20"/>
              </w:rPr>
            </w:pPr>
            <w:r w:rsidRPr="003F0783">
              <w:rPr>
                <w:rFonts w:eastAsia="Times New Roman"/>
                <w:color w:val="000000"/>
                <w:sz w:val="20"/>
                <w:szCs w:val="20"/>
              </w:rPr>
              <w:t>Review and processing of quarterly reports and issuance of feedback letters.</w:t>
            </w:r>
            <w:r>
              <w:rPr>
                <w:rFonts w:eastAsia="Times New Roman"/>
                <w:color w:val="000000"/>
                <w:sz w:val="20"/>
                <w:szCs w:val="20"/>
                <w:vertAlign w:val="superscript"/>
              </w:rPr>
              <w:t>3</w:t>
            </w:r>
          </w:p>
        </w:tc>
        <w:tc>
          <w:tcPr>
            <w:tcW w:w="1170" w:type="dxa"/>
            <w:shd w:val="clear" w:color="auto" w:fill="auto"/>
            <w:vAlign w:val="bottom"/>
          </w:tcPr>
          <w:p w:rsidRPr="003F0783" w:rsidR="00F43E71" w:rsidP="00F43E71" w:rsidRDefault="00F43E71" w14:paraId="00A67EB3" w14:textId="77777777">
            <w:pPr>
              <w:jc w:val="right"/>
              <w:rPr>
                <w:color w:val="000000"/>
                <w:sz w:val="20"/>
                <w:szCs w:val="20"/>
              </w:rPr>
            </w:pPr>
            <w:r w:rsidRPr="003F0783">
              <w:rPr>
                <w:color w:val="000000"/>
                <w:sz w:val="20"/>
                <w:szCs w:val="20"/>
              </w:rPr>
              <w:t>1</w:t>
            </w:r>
          </w:p>
        </w:tc>
        <w:tc>
          <w:tcPr>
            <w:tcW w:w="1170" w:type="dxa"/>
            <w:shd w:val="clear" w:color="auto" w:fill="auto"/>
            <w:vAlign w:val="bottom"/>
          </w:tcPr>
          <w:p w:rsidRPr="003F0783" w:rsidR="00F43E71" w:rsidP="00F43E71" w:rsidRDefault="00F43E71" w14:paraId="0E573E0C" w14:textId="77777777">
            <w:pPr>
              <w:jc w:val="right"/>
              <w:rPr>
                <w:color w:val="000000"/>
                <w:sz w:val="20"/>
                <w:szCs w:val="20"/>
              </w:rPr>
            </w:pPr>
            <w:r w:rsidRPr="003F0783">
              <w:rPr>
                <w:color w:val="000000"/>
                <w:sz w:val="20"/>
                <w:szCs w:val="20"/>
              </w:rPr>
              <w:t>$85</w:t>
            </w:r>
          </w:p>
        </w:tc>
        <w:tc>
          <w:tcPr>
            <w:tcW w:w="1260" w:type="dxa"/>
            <w:vAlign w:val="bottom"/>
          </w:tcPr>
          <w:p w:rsidRPr="003F0783" w:rsidR="00F43E71" w:rsidP="00F43E71" w:rsidRDefault="0055428F" w14:paraId="43F3FB7F" w14:textId="4CBF4E4A">
            <w:pPr>
              <w:jc w:val="right"/>
              <w:rPr>
                <w:color w:val="000000"/>
                <w:sz w:val="20"/>
                <w:szCs w:val="20"/>
              </w:rPr>
            </w:pPr>
            <w:r>
              <w:rPr>
                <w:color w:val="000000"/>
                <w:sz w:val="20"/>
                <w:szCs w:val="20"/>
              </w:rPr>
              <w:t>32</w:t>
            </w:r>
          </w:p>
        </w:tc>
        <w:tc>
          <w:tcPr>
            <w:tcW w:w="1170" w:type="dxa"/>
            <w:shd w:val="clear" w:color="auto" w:fill="auto"/>
            <w:vAlign w:val="bottom"/>
          </w:tcPr>
          <w:p w:rsidRPr="003F0783" w:rsidR="00F43E71" w:rsidP="00F43E71" w:rsidRDefault="0055428F" w14:paraId="020411C4" w14:textId="622B4346">
            <w:pPr>
              <w:jc w:val="right"/>
              <w:rPr>
                <w:color w:val="000000"/>
                <w:sz w:val="20"/>
                <w:szCs w:val="20"/>
              </w:rPr>
            </w:pPr>
            <w:r>
              <w:rPr>
                <w:color w:val="000000"/>
                <w:sz w:val="20"/>
                <w:szCs w:val="20"/>
              </w:rPr>
              <w:t>32</w:t>
            </w:r>
          </w:p>
        </w:tc>
        <w:tc>
          <w:tcPr>
            <w:tcW w:w="993" w:type="dxa"/>
            <w:shd w:val="clear" w:color="auto" w:fill="auto"/>
            <w:vAlign w:val="bottom"/>
          </w:tcPr>
          <w:p w:rsidRPr="003F0783" w:rsidR="00F43E71" w:rsidP="00F43E71" w:rsidRDefault="00F43E71" w14:paraId="712A4718" w14:textId="30C0BED4">
            <w:pPr>
              <w:jc w:val="right"/>
              <w:rPr>
                <w:color w:val="000000"/>
                <w:sz w:val="20"/>
                <w:szCs w:val="20"/>
              </w:rPr>
            </w:pPr>
            <w:r w:rsidRPr="003F0783">
              <w:rPr>
                <w:color w:val="000000"/>
                <w:sz w:val="20"/>
                <w:szCs w:val="20"/>
              </w:rPr>
              <w:t>$</w:t>
            </w:r>
            <w:r w:rsidR="00A76664">
              <w:rPr>
                <w:color w:val="000000"/>
                <w:sz w:val="20"/>
                <w:szCs w:val="20"/>
              </w:rPr>
              <w:t>2,720</w:t>
            </w:r>
          </w:p>
        </w:tc>
      </w:tr>
      <w:tr w:rsidRPr="003F0783" w:rsidR="00F43E71" w:rsidTr="00F43E71" w14:paraId="00DA08EB" w14:textId="77777777">
        <w:trPr>
          <w:trHeight w:val="18"/>
          <w:jc w:val="center"/>
        </w:trPr>
        <w:tc>
          <w:tcPr>
            <w:tcW w:w="7197" w:type="dxa"/>
            <w:gridSpan w:val="4"/>
            <w:shd w:val="pct10" w:color="auto" w:fill="auto"/>
          </w:tcPr>
          <w:p w:rsidRPr="003F0783" w:rsidR="00F43E71" w:rsidP="00F43E71" w:rsidRDefault="00F43E71" w14:paraId="6F110CAB" w14:textId="77777777">
            <w:pPr>
              <w:rPr>
                <w:b/>
                <w:bCs/>
                <w:color w:val="000000"/>
                <w:sz w:val="20"/>
                <w:szCs w:val="20"/>
              </w:rPr>
            </w:pPr>
            <w:r w:rsidRPr="003F0783">
              <w:rPr>
                <w:rFonts w:eastAsia="Times New Roman"/>
                <w:b/>
                <w:bCs/>
                <w:color w:val="000000"/>
                <w:sz w:val="20"/>
              </w:rPr>
              <w:t>Totals</w:t>
            </w:r>
          </w:p>
        </w:tc>
        <w:tc>
          <w:tcPr>
            <w:tcW w:w="1170" w:type="dxa"/>
            <w:shd w:val="pct10" w:color="auto" w:fill="auto"/>
          </w:tcPr>
          <w:p w:rsidRPr="003F0783" w:rsidR="00F43E71" w:rsidP="00F43E71" w:rsidRDefault="008125A3" w14:paraId="7C1FE671" w14:textId="2D5D7C43">
            <w:pPr>
              <w:jc w:val="right"/>
              <w:rPr>
                <w:rFonts w:eastAsia="Times New Roman"/>
                <w:b/>
                <w:bCs/>
                <w:color w:val="000000"/>
                <w:sz w:val="20"/>
                <w:szCs w:val="20"/>
              </w:rPr>
            </w:pPr>
            <w:r>
              <w:rPr>
                <w:b/>
                <w:bCs/>
                <w:color w:val="000000"/>
                <w:sz w:val="20"/>
                <w:szCs w:val="20"/>
              </w:rPr>
              <w:t>35</w:t>
            </w:r>
          </w:p>
        </w:tc>
        <w:tc>
          <w:tcPr>
            <w:tcW w:w="993" w:type="dxa"/>
            <w:shd w:val="pct10" w:color="auto" w:fill="auto"/>
          </w:tcPr>
          <w:p w:rsidRPr="003F0783" w:rsidR="00F43E71" w:rsidP="00F43E71" w:rsidRDefault="00F43E71" w14:paraId="6ED873A9" w14:textId="7674E5B0">
            <w:pPr>
              <w:jc w:val="right"/>
              <w:rPr>
                <w:rFonts w:eastAsia="Times New Roman"/>
                <w:b/>
                <w:bCs/>
                <w:color w:val="000000"/>
                <w:sz w:val="20"/>
                <w:szCs w:val="20"/>
              </w:rPr>
            </w:pPr>
            <w:r w:rsidRPr="003F0783">
              <w:rPr>
                <w:b/>
                <w:bCs/>
                <w:color w:val="000000"/>
                <w:sz w:val="20"/>
                <w:szCs w:val="20"/>
              </w:rPr>
              <w:t>$</w:t>
            </w:r>
            <w:r w:rsidR="008125A3">
              <w:rPr>
                <w:b/>
                <w:bCs/>
                <w:color w:val="000000"/>
                <w:sz w:val="20"/>
                <w:szCs w:val="20"/>
              </w:rPr>
              <w:t>2,846</w:t>
            </w:r>
          </w:p>
        </w:tc>
      </w:tr>
    </w:tbl>
    <w:p w:rsidRPr="003F0783" w:rsidR="00F43E71" w:rsidP="00A876A9" w:rsidRDefault="00F43E71" w14:paraId="4794CFD9" w14:textId="35AC36D7">
      <w:pPr>
        <w:autoSpaceDE w:val="0"/>
        <w:autoSpaceDN w:val="0"/>
        <w:adjustRightInd w:val="0"/>
        <w:ind w:left="2880"/>
        <w:rPr>
          <w:sz w:val="20"/>
          <w:szCs w:val="20"/>
        </w:rPr>
      </w:pPr>
      <w:r w:rsidRPr="003F0783">
        <w:rPr>
          <w:sz w:val="20"/>
          <w:szCs w:val="20"/>
          <w:vertAlign w:val="superscript"/>
        </w:rPr>
        <w:t>1</w:t>
      </w:r>
      <w:r w:rsidR="00A876A9">
        <w:rPr>
          <w:sz w:val="20"/>
          <w:szCs w:val="20"/>
          <w:vertAlign w:val="superscript"/>
        </w:rPr>
        <w:t xml:space="preserve"> </w:t>
      </w:r>
      <w:r w:rsidRPr="003F0783">
        <w:rPr>
          <w:sz w:val="20"/>
          <w:szCs w:val="20"/>
        </w:rPr>
        <w:t>Assumes 1% of all allowance transfers each year are submitted on paper rather than electronically.</w:t>
      </w:r>
    </w:p>
    <w:p w:rsidRPr="003F0783" w:rsidR="00F43E71" w:rsidP="00A876A9" w:rsidRDefault="00F43E71" w14:paraId="32F6A5AE" w14:textId="2AC095B9">
      <w:pPr>
        <w:autoSpaceDE w:val="0"/>
        <w:autoSpaceDN w:val="0"/>
        <w:adjustRightInd w:val="0"/>
        <w:ind w:left="2880"/>
        <w:rPr>
          <w:sz w:val="20"/>
          <w:szCs w:val="20"/>
        </w:rPr>
      </w:pPr>
      <w:r w:rsidRPr="003F0783">
        <w:rPr>
          <w:sz w:val="20"/>
          <w:szCs w:val="20"/>
          <w:vertAlign w:val="superscript"/>
        </w:rPr>
        <w:t>2</w:t>
      </w:r>
      <w:r w:rsidR="00A876A9">
        <w:rPr>
          <w:sz w:val="20"/>
          <w:szCs w:val="20"/>
          <w:vertAlign w:val="superscript"/>
        </w:rPr>
        <w:t xml:space="preserve"> </w:t>
      </w:r>
      <w:r w:rsidRPr="003F0783">
        <w:rPr>
          <w:sz w:val="20"/>
          <w:szCs w:val="20"/>
        </w:rPr>
        <w:t>Assumes 1% of all allowance deductions each year are submitted on paper rather than electronically.</w:t>
      </w:r>
    </w:p>
    <w:p w:rsidRPr="003F0783" w:rsidR="00613A0B" w:rsidP="00041556" w:rsidRDefault="00F43E71" w14:paraId="6EE0A128" w14:textId="32AC6261">
      <w:pPr>
        <w:autoSpaceDE w:val="0"/>
        <w:autoSpaceDN w:val="0"/>
        <w:adjustRightInd w:val="0"/>
        <w:ind w:left="2880"/>
        <w:rPr>
          <w:b/>
          <w:bCs/>
          <w:szCs w:val="24"/>
        </w:rPr>
      </w:pPr>
      <w:r w:rsidRPr="003F0783">
        <w:rPr>
          <w:sz w:val="20"/>
          <w:szCs w:val="20"/>
          <w:vertAlign w:val="superscript"/>
        </w:rPr>
        <w:t>3</w:t>
      </w:r>
      <w:r w:rsidR="00A876A9">
        <w:rPr>
          <w:sz w:val="20"/>
          <w:szCs w:val="20"/>
          <w:vertAlign w:val="superscript"/>
        </w:rPr>
        <w:t xml:space="preserve"> </w:t>
      </w:r>
      <w:r w:rsidRPr="003F0783">
        <w:rPr>
          <w:sz w:val="20"/>
          <w:szCs w:val="20"/>
        </w:rPr>
        <w:t xml:space="preserve">Assumes </w:t>
      </w:r>
      <w:r w:rsidR="00FE63E2">
        <w:rPr>
          <w:sz w:val="20"/>
          <w:szCs w:val="20"/>
        </w:rPr>
        <w:t xml:space="preserve">units newly subject to monitoring and reporting requirements </w:t>
      </w:r>
      <w:r w:rsidR="00CB30A7">
        <w:rPr>
          <w:sz w:val="20"/>
          <w:szCs w:val="20"/>
        </w:rPr>
        <w:t xml:space="preserve">(16) will </w:t>
      </w:r>
      <w:r w:rsidR="008D3345">
        <w:rPr>
          <w:sz w:val="20"/>
          <w:szCs w:val="20"/>
        </w:rPr>
        <w:t>report ozone season only</w:t>
      </w:r>
      <w:r w:rsidRPr="003F0783">
        <w:rPr>
          <w:sz w:val="20"/>
          <w:szCs w:val="20"/>
        </w:rPr>
        <w:t xml:space="preserve"> (2 reports/year).</w:t>
      </w:r>
    </w:p>
    <w:p w:rsidR="00613A0B" w:rsidP="00613A0B" w:rsidRDefault="00613A0B" w14:paraId="43023AE1" w14:textId="77777777">
      <w:pPr>
        <w:keepNext/>
        <w:autoSpaceDE w:val="0"/>
        <w:autoSpaceDN w:val="0"/>
        <w:adjustRightInd w:val="0"/>
        <w:outlineLvl w:val="0"/>
        <w:rPr>
          <w:b/>
        </w:rPr>
        <w:sectPr w:rsidR="00613A0B" w:rsidSect="00D45E63">
          <w:headerReference w:type="default" r:id="rId15"/>
          <w:headerReference w:type="first" r:id="rId16"/>
          <w:pgSz w:w="15840" w:h="12240" w:orient="landscape"/>
          <w:pgMar w:top="720" w:right="720" w:bottom="720" w:left="720" w:header="720" w:footer="720" w:gutter="0"/>
          <w:cols w:space="720"/>
          <w:docGrid w:linePitch="360"/>
        </w:sectPr>
      </w:pPr>
    </w:p>
    <w:p w:rsidRPr="00B1086D" w:rsidR="00F43E71" w:rsidP="00041556" w:rsidRDefault="00F43E71" w14:paraId="7E19FEA9" w14:textId="3A936122">
      <w:pPr>
        <w:keepNext/>
        <w:autoSpaceDE w:val="0"/>
        <w:autoSpaceDN w:val="0"/>
        <w:adjustRightInd w:val="0"/>
        <w:outlineLvl w:val="0"/>
        <w:rPr>
          <w:b/>
        </w:rPr>
      </w:pPr>
      <w:proofErr w:type="gramStart"/>
      <w:r w:rsidRPr="00B1086D">
        <w:rPr>
          <w:b/>
        </w:rPr>
        <w:lastRenderedPageBreak/>
        <w:t>6.5  Bottom</w:t>
      </w:r>
      <w:proofErr w:type="gramEnd"/>
      <w:r w:rsidR="008374B5">
        <w:rPr>
          <w:b/>
        </w:rPr>
        <w:t>-</w:t>
      </w:r>
      <w:r w:rsidRPr="00B1086D">
        <w:rPr>
          <w:b/>
        </w:rPr>
        <w:t>Line Burden Hours and Cost Table</w:t>
      </w:r>
    </w:p>
    <w:p w:rsidRPr="003F0783" w:rsidR="00F43E71" w:rsidP="00F43E71" w:rsidRDefault="00F43E71" w14:paraId="464BA0CA" w14:textId="77777777">
      <w:pPr>
        <w:keepNext/>
        <w:autoSpaceDE w:val="0"/>
        <w:autoSpaceDN w:val="0"/>
        <w:adjustRightInd w:val="0"/>
        <w:rPr>
          <w:b/>
          <w:bCs/>
          <w:szCs w:val="24"/>
        </w:rPr>
      </w:pPr>
    </w:p>
    <w:p w:rsidRPr="003F0783" w:rsidR="00F43E71" w:rsidP="00F43E71" w:rsidRDefault="00F43E71" w14:paraId="5E6447E9" w14:textId="505FFE60">
      <w:pPr>
        <w:keepNext/>
        <w:autoSpaceDE w:val="0"/>
        <w:autoSpaceDN w:val="0"/>
        <w:adjustRightInd w:val="0"/>
      </w:pPr>
      <w:r w:rsidRPr="003F0783">
        <w:rPr>
          <w:b/>
          <w:bCs/>
          <w:szCs w:val="24"/>
        </w:rPr>
        <w:tab/>
      </w:r>
      <w:r w:rsidRPr="7EDF893D">
        <w:t xml:space="preserve">Table </w:t>
      </w:r>
      <w:r w:rsidRPr="7EDF893D" w:rsidR="00371998">
        <w:t>4</w:t>
      </w:r>
      <w:r w:rsidRPr="7EDF893D">
        <w:t xml:space="preserve"> summarizes the bottom</w:t>
      </w:r>
      <w:r w:rsidR="008374B5">
        <w:rPr>
          <w:bCs/>
          <w:szCs w:val="24"/>
        </w:rPr>
        <w:t>-</w:t>
      </w:r>
      <w:r w:rsidRPr="7EDF893D">
        <w:t xml:space="preserve">line burden and costs for </w:t>
      </w:r>
      <w:r w:rsidRPr="7EDF893D" w:rsidR="00CB7409">
        <w:t xml:space="preserve">industry </w:t>
      </w:r>
      <w:r w:rsidRPr="7EDF893D">
        <w:t>respondents and the Agency.</w:t>
      </w:r>
    </w:p>
    <w:p w:rsidRPr="003F0783" w:rsidR="00F43E71" w:rsidP="00F43E71" w:rsidRDefault="00F43E71" w14:paraId="4827B060" w14:textId="77777777">
      <w:pPr>
        <w:keepNext/>
        <w:autoSpaceDE w:val="0"/>
        <w:autoSpaceDN w:val="0"/>
        <w:adjustRightInd w:val="0"/>
        <w:rPr>
          <w:bCs/>
          <w:szCs w:val="24"/>
        </w:rPr>
      </w:pPr>
    </w:p>
    <w:p w:rsidRPr="003F0783" w:rsidR="00F43E71" w:rsidP="00F43E71" w:rsidRDefault="00F43E71" w14:paraId="35A640F2" w14:textId="0F86145D">
      <w:pPr>
        <w:keepNext/>
        <w:autoSpaceDE w:val="0"/>
        <w:autoSpaceDN w:val="0"/>
        <w:adjustRightInd w:val="0"/>
        <w:jc w:val="center"/>
        <w:rPr>
          <w:rFonts w:eastAsia="Times New Roman"/>
          <w:b/>
          <w:bCs/>
          <w:color w:val="000000"/>
        </w:rPr>
      </w:pPr>
      <w:r w:rsidRPr="003F0783">
        <w:rPr>
          <w:rFonts w:eastAsia="Times New Roman"/>
          <w:b/>
          <w:bCs/>
          <w:color w:val="000000"/>
        </w:rPr>
        <w:t xml:space="preserve">Table </w:t>
      </w:r>
      <w:r w:rsidR="00371998">
        <w:rPr>
          <w:rFonts w:eastAsia="Times New Roman"/>
          <w:b/>
          <w:bCs/>
          <w:color w:val="000000"/>
        </w:rPr>
        <w:t>4</w:t>
      </w:r>
      <w:r w:rsidRPr="003F0783">
        <w:rPr>
          <w:rFonts w:eastAsia="Times New Roman"/>
          <w:b/>
          <w:bCs/>
          <w:color w:val="000000"/>
        </w:rPr>
        <w:t>:  Total Estimated Burden and Cost Summary</w:t>
      </w:r>
    </w:p>
    <w:p w:rsidRPr="003F0783" w:rsidR="00F43E71" w:rsidP="00F43E71" w:rsidRDefault="00F43E71" w14:paraId="4616573C" w14:textId="77777777">
      <w:pPr>
        <w:keepNext/>
        <w:autoSpaceDE w:val="0"/>
        <w:autoSpaceDN w:val="0"/>
        <w:adjustRightInd w:val="0"/>
        <w:rPr>
          <w:b/>
          <w:bCs/>
          <w:szCs w:val="24"/>
        </w:rPr>
      </w:pPr>
    </w:p>
    <w:tbl>
      <w:tblPr>
        <w:tblW w:w="8187"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72" w:type="dxa"/>
          <w:left w:w="72" w:type="dxa"/>
          <w:bottom w:w="72" w:type="dxa"/>
          <w:right w:w="72" w:type="dxa"/>
        </w:tblCellMar>
        <w:tblLook w:val="04A0" w:firstRow="1" w:lastRow="0" w:firstColumn="1" w:lastColumn="0" w:noHBand="0" w:noVBand="1"/>
      </w:tblPr>
      <w:tblGrid>
        <w:gridCol w:w="1887"/>
        <w:gridCol w:w="1530"/>
        <w:gridCol w:w="2512"/>
        <w:gridCol w:w="2258"/>
      </w:tblGrid>
      <w:tr w:rsidRPr="003F0783" w:rsidR="00371998" w:rsidTr="000C1CBA" w14:paraId="4C57BFD2" w14:textId="3BAB27D0">
        <w:trPr>
          <w:trHeight w:val="33"/>
          <w:jc w:val="center"/>
        </w:trPr>
        <w:tc>
          <w:tcPr>
            <w:tcW w:w="1887" w:type="dxa"/>
            <w:shd w:val="pct10" w:color="auto" w:fill="auto"/>
            <w:noWrap/>
            <w:vAlign w:val="bottom"/>
          </w:tcPr>
          <w:p w:rsidRPr="003F0783" w:rsidR="00371998" w:rsidP="00F43E71" w:rsidRDefault="00371998" w14:paraId="621D7209" w14:textId="77777777">
            <w:pPr>
              <w:keepNext/>
              <w:jc w:val="center"/>
              <w:rPr>
                <w:rFonts w:eastAsia="Times New Roman"/>
                <w:b/>
                <w:bCs/>
                <w:color w:val="000000"/>
                <w:sz w:val="22"/>
              </w:rPr>
            </w:pPr>
          </w:p>
        </w:tc>
        <w:tc>
          <w:tcPr>
            <w:tcW w:w="1530" w:type="dxa"/>
            <w:shd w:val="pct10" w:color="auto" w:fill="auto"/>
            <w:vAlign w:val="bottom"/>
          </w:tcPr>
          <w:p w:rsidRPr="003F0783" w:rsidR="00371998" w:rsidP="00F43E71" w:rsidRDefault="00371998" w14:paraId="1EACA9EC" w14:textId="77777777">
            <w:pPr>
              <w:keepNext/>
              <w:jc w:val="center"/>
              <w:rPr>
                <w:rFonts w:eastAsia="Times New Roman"/>
                <w:b/>
                <w:bCs/>
                <w:color w:val="000000"/>
                <w:sz w:val="22"/>
              </w:rPr>
            </w:pPr>
            <w:r w:rsidRPr="003F0783">
              <w:rPr>
                <w:rFonts w:eastAsia="Times New Roman"/>
                <w:b/>
                <w:bCs/>
                <w:color w:val="000000"/>
                <w:sz w:val="22"/>
              </w:rPr>
              <w:t>Number of Respondents</w:t>
            </w:r>
          </w:p>
        </w:tc>
        <w:tc>
          <w:tcPr>
            <w:tcW w:w="2512" w:type="dxa"/>
            <w:shd w:val="pct10" w:color="auto" w:fill="auto"/>
            <w:vAlign w:val="bottom"/>
          </w:tcPr>
          <w:p w:rsidRPr="003F0783" w:rsidR="00371998" w:rsidP="00F43E71" w:rsidRDefault="00371998" w14:paraId="60FF96BA" w14:textId="77777777">
            <w:pPr>
              <w:keepNext/>
              <w:jc w:val="center"/>
              <w:rPr>
                <w:rFonts w:eastAsia="Times New Roman"/>
                <w:b/>
                <w:bCs/>
                <w:color w:val="000000"/>
                <w:sz w:val="22"/>
              </w:rPr>
            </w:pPr>
            <w:r w:rsidRPr="003F0783">
              <w:rPr>
                <w:rFonts w:eastAsia="Times New Roman"/>
                <w:b/>
                <w:bCs/>
                <w:color w:val="000000"/>
                <w:sz w:val="22"/>
              </w:rPr>
              <w:t>Total Hours Per Year (All Respondents)</w:t>
            </w:r>
          </w:p>
        </w:tc>
        <w:tc>
          <w:tcPr>
            <w:tcW w:w="2258" w:type="dxa"/>
            <w:shd w:val="pct10" w:color="auto" w:fill="auto"/>
            <w:vAlign w:val="bottom"/>
          </w:tcPr>
          <w:p w:rsidRPr="003F0783" w:rsidR="00371998" w:rsidP="00F43E71" w:rsidRDefault="00371998" w14:paraId="48464F29" w14:textId="77777777">
            <w:pPr>
              <w:keepNext/>
              <w:jc w:val="center"/>
              <w:rPr>
                <w:rFonts w:eastAsia="Times New Roman"/>
                <w:b/>
                <w:bCs/>
                <w:color w:val="000000"/>
                <w:sz w:val="22"/>
              </w:rPr>
            </w:pPr>
            <w:r w:rsidRPr="003F0783">
              <w:rPr>
                <w:rFonts w:eastAsia="Times New Roman"/>
                <w:b/>
                <w:bCs/>
                <w:color w:val="000000"/>
                <w:sz w:val="22"/>
              </w:rPr>
              <w:t>Total Cost Per Year (All Respondents)</w:t>
            </w:r>
          </w:p>
        </w:tc>
      </w:tr>
      <w:tr w:rsidRPr="003F0783" w:rsidR="00371998" w:rsidTr="000C1CBA" w14:paraId="25F2B277" w14:textId="754676D5">
        <w:trPr>
          <w:trHeight w:val="33"/>
          <w:jc w:val="center"/>
        </w:trPr>
        <w:tc>
          <w:tcPr>
            <w:tcW w:w="1887" w:type="dxa"/>
            <w:shd w:val="clear" w:color="auto" w:fill="auto"/>
            <w:noWrap/>
            <w:vAlign w:val="bottom"/>
          </w:tcPr>
          <w:p w:rsidRPr="003F0783" w:rsidR="00371998" w:rsidP="00F43E71" w:rsidRDefault="00371998" w14:paraId="5D66B2A7" w14:textId="77777777">
            <w:pPr>
              <w:keepNext/>
              <w:rPr>
                <w:rFonts w:eastAsia="Times New Roman"/>
                <w:color w:val="000000"/>
                <w:sz w:val="20"/>
                <w:szCs w:val="20"/>
              </w:rPr>
            </w:pPr>
            <w:r w:rsidRPr="003F0783">
              <w:rPr>
                <w:rFonts w:eastAsia="Times New Roman"/>
                <w:color w:val="000000"/>
                <w:sz w:val="20"/>
                <w:szCs w:val="20"/>
              </w:rPr>
              <w:t xml:space="preserve">Industry Respondents </w:t>
            </w:r>
          </w:p>
        </w:tc>
        <w:tc>
          <w:tcPr>
            <w:tcW w:w="1530" w:type="dxa"/>
            <w:shd w:val="clear" w:color="auto" w:fill="auto"/>
            <w:noWrap/>
          </w:tcPr>
          <w:p w:rsidRPr="003F0783" w:rsidR="00371998" w:rsidP="00F43E71" w:rsidRDefault="000C6482" w14:paraId="47E0A8ED" w14:textId="0312F4DE">
            <w:pPr>
              <w:keepNext/>
              <w:jc w:val="right"/>
              <w:rPr>
                <w:rFonts w:eastAsia="Times New Roman"/>
                <w:color w:val="000000"/>
                <w:sz w:val="20"/>
                <w:szCs w:val="20"/>
              </w:rPr>
            </w:pPr>
            <w:r>
              <w:rPr>
                <w:rFonts w:eastAsia="Times New Roman"/>
                <w:color w:val="000000"/>
                <w:sz w:val="20"/>
                <w:szCs w:val="20"/>
              </w:rPr>
              <w:t>1</w:t>
            </w:r>
            <w:r w:rsidR="00DC0D53">
              <w:rPr>
                <w:rFonts w:eastAsia="Times New Roman"/>
                <w:color w:val="000000"/>
                <w:sz w:val="20"/>
                <w:szCs w:val="20"/>
              </w:rPr>
              <w:t>88</w:t>
            </w:r>
          </w:p>
        </w:tc>
        <w:tc>
          <w:tcPr>
            <w:tcW w:w="2512" w:type="dxa"/>
            <w:shd w:val="clear" w:color="auto" w:fill="auto"/>
            <w:noWrap/>
          </w:tcPr>
          <w:p w:rsidRPr="003F0783" w:rsidR="00371998" w:rsidP="00F43E71" w:rsidRDefault="000C6482" w14:paraId="10BD7A65" w14:textId="7FA116C9">
            <w:pPr>
              <w:keepNext/>
              <w:jc w:val="right"/>
              <w:rPr>
                <w:rFonts w:eastAsia="Times New Roman"/>
                <w:color w:val="000000"/>
                <w:sz w:val="20"/>
                <w:szCs w:val="20"/>
              </w:rPr>
            </w:pPr>
            <w:r>
              <w:rPr>
                <w:rFonts w:eastAsia="Times New Roman"/>
                <w:color w:val="000000"/>
                <w:sz w:val="20"/>
                <w:szCs w:val="20"/>
              </w:rPr>
              <w:t>1,834</w:t>
            </w:r>
          </w:p>
        </w:tc>
        <w:tc>
          <w:tcPr>
            <w:tcW w:w="2258" w:type="dxa"/>
            <w:shd w:val="clear" w:color="auto" w:fill="auto"/>
            <w:noWrap/>
          </w:tcPr>
          <w:p w:rsidRPr="003F0783" w:rsidR="00371998" w:rsidP="00F43E71" w:rsidRDefault="00371998" w14:paraId="500D368D" w14:textId="58E4C4DC">
            <w:pPr>
              <w:keepNext/>
              <w:jc w:val="right"/>
              <w:rPr>
                <w:rFonts w:eastAsia="Times New Roman"/>
                <w:color w:val="000000"/>
                <w:sz w:val="20"/>
                <w:szCs w:val="20"/>
              </w:rPr>
            </w:pPr>
            <w:r w:rsidRPr="003F0783">
              <w:rPr>
                <w:color w:val="000000"/>
                <w:sz w:val="20"/>
                <w:szCs w:val="20"/>
              </w:rPr>
              <w:t>$</w:t>
            </w:r>
            <w:r w:rsidR="000C6482">
              <w:rPr>
                <w:color w:val="000000"/>
                <w:sz w:val="20"/>
                <w:szCs w:val="20"/>
              </w:rPr>
              <w:t>3</w:t>
            </w:r>
            <w:r w:rsidR="00123F8D">
              <w:rPr>
                <w:color w:val="000000"/>
                <w:sz w:val="20"/>
                <w:szCs w:val="20"/>
              </w:rPr>
              <w:t>96</w:t>
            </w:r>
            <w:r w:rsidR="000C6482">
              <w:rPr>
                <w:color w:val="000000"/>
                <w:sz w:val="20"/>
                <w:szCs w:val="20"/>
              </w:rPr>
              <w:t>,</w:t>
            </w:r>
            <w:r w:rsidR="00123F8D">
              <w:rPr>
                <w:color w:val="000000"/>
                <w:sz w:val="20"/>
                <w:szCs w:val="20"/>
              </w:rPr>
              <w:t>52</w:t>
            </w:r>
            <w:r w:rsidR="000C6482">
              <w:rPr>
                <w:color w:val="000000"/>
                <w:sz w:val="20"/>
                <w:szCs w:val="20"/>
              </w:rPr>
              <w:t>0</w:t>
            </w:r>
          </w:p>
        </w:tc>
      </w:tr>
      <w:tr w:rsidRPr="003F64AA" w:rsidR="00371998" w:rsidTr="000C1CBA" w14:paraId="6EED1F7B" w14:textId="02964D41">
        <w:trPr>
          <w:trHeight w:val="33"/>
          <w:jc w:val="center"/>
        </w:trPr>
        <w:tc>
          <w:tcPr>
            <w:tcW w:w="1887" w:type="dxa"/>
            <w:shd w:val="clear" w:color="auto" w:fill="auto"/>
            <w:noWrap/>
            <w:vAlign w:val="bottom"/>
          </w:tcPr>
          <w:p w:rsidRPr="003F64AA" w:rsidR="00371998" w:rsidP="00F43E71" w:rsidRDefault="00371998" w14:paraId="3EAB6F2B" w14:textId="424113D8">
            <w:pPr>
              <w:rPr>
                <w:rFonts w:eastAsia="Times New Roman"/>
                <w:color w:val="000000"/>
                <w:sz w:val="20"/>
                <w:szCs w:val="20"/>
              </w:rPr>
            </w:pPr>
            <w:r>
              <w:rPr>
                <w:rFonts w:eastAsia="Times New Roman"/>
                <w:color w:val="000000"/>
                <w:sz w:val="20"/>
                <w:szCs w:val="20"/>
              </w:rPr>
              <w:t>EPA</w:t>
            </w:r>
          </w:p>
        </w:tc>
        <w:tc>
          <w:tcPr>
            <w:tcW w:w="1530" w:type="dxa"/>
            <w:shd w:val="clear" w:color="auto" w:fill="auto"/>
            <w:noWrap/>
          </w:tcPr>
          <w:p w:rsidRPr="003F64AA" w:rsidR="00371998" w:rsidDel="00B445B4" w:rsidP="00F43E71" w:rsidRDefault="00371998" w14:paraId="51D4A8A6" w14:textId="77777777">
            <w:pPr>
              <w:jc w:val="right"/>
              <w:rPr>
                <w:rFonts w:eastAsia="Times New Roman"/>
                <w:color w:val="000000"/>
                <w:sz w:val="20"/>
                <w:szCs w:val="20"/>
              </w:rPr>
            </w:pPr>
            <w:r w:rsidRPr="003F64AA">
              <w:rPr>
                <w:rFonts w:eastAsia="Times New Roman"/>
                <w:color w:val="000000"/>
                <w:sz w:val="20"/>
                <w:szCs w:val="20"/>
              </w:rPr>
              <w:t>1</w:t>
            </w:r>
          </w:p>
        </w:tc>
        <w:tc>
          <w:tcPr>
            <w:tcW w:w="2512" w:type="dxa"/>
            <w:shd w:val="clear" w:color="auto" w:fill="auto"/>
            <w:noWrap/>
            <w:vAlign w:val="bottom"/>
          </w:tcPr>
          <w:p w:rsidRPr="003F64AA" w:rsidR="00371998" w:rsidDel="00B445B4" w:rsidP="00F43E71" w:rsidRDefault="00371998" w14:paraId="6656D4F3" w14:textId="533E3D90">
            <w:pPr>
              <w:jc w:val="right"/>
              <w:rPr>
                <w:color w:val="000000"/>
                <w:sz w:val="20"/>
                <w:szCs w:val="20"/>
              </w:rPr>
            </w:pPr>
            <w:r>
              <w:rPr>
                <w:color w:val="000000"/>
                <w:sz w:val="20"/>
                <w:szCs w:val="20"/>
              </w:rPr>
              <w:t>35</w:t>
            </w:r>
          </w:p>
        </w:tc>
        <w:tc>
          <w:tcPr>
            <w:tcW w:w="2258" w:type="dxa"/>
            <w:shd w:val="clear" w:color="auto" w:fill="auto"/>
            <w:noWrap/>
            <w:vAlign w:val="bottom"/>
          </w:tcPr>
          <w:p w:rsidRPr="003F64AA" w:rsidR="00371998" w:rsidP="00F43E71" w:rsidRDefault="00371998" w14:paraId="2C3456A7" w14:textId="15CC925C">
            <w:pPr>
              <w:jc w:val="right"/>
              <w:rPr>
                <w:color w:val="000000"/>
                <w:sz w:val="20"/>
                <w:szCs w:val="20"/>
              </w:rPr>
            </w:pPr>
            <w:r w:rsidRPr="003F64AA">
              <w:rPr>
                <w:color w:val="000000"/>
                <w:sz w:val="20"/>
                <w:szCs w:val="20"/>
              </w:rPr>
              <w:t>$</w:t>
            </w:r>
            <w:r>
              <w:rPr>
                <w:color w:val="000000"/>
                <w:sz w:val="20"/>
                <w:szCs w:val="20"/>
              </w:rPr>
              <w:t>2,846</w:t>
            </w:r>
          </w:p>
        </w:tc>
      </w:tr>
    </w:tbl>
    <w:p w:rsidRPr="003F0783" w:rsidR="00F43E71" w:rsidP="00F43E71" w:rsidRDefault="00F43E71" w14:paraId="19DD9138" w14:textId="77777777">
      <w:pPr>
        <w:autoSpaceDE w:val="0"/>
        <w:autoSpaceDN w:val="0"/>
        <w:adjustRightInd w:val="0"/>
        <w:rPr>
          <w:b/>
          <w:bCs/>
          <w:szCs w:val="24"/>
        </w:rPr>
      </w:pPr>
    </w:p>
    <w:p w:rsidRPr="003F0783" w:rsidR="00F43E71" w:rsidP="00F43E71" w:rsidRDefault="00F43E71" w14:paraId="20226158" w14:textId="77777777">
      <w:pPr>
        <w:autoSpaceDE w:val="0"/>
        <w:autoSpaceDN w:val="0"/>
        <w:adjustRightInd w:val="0"/>
        <w:ind w:firstLine="720"/>
        <w:rPr>
          <w:b/>
          <w:bCs/>
          <w:szCs w:val="24"/>
        </w:rPr>
      </w:pPr>
    </w:p>
    <w:p w:rsidRPr="003F0783" w:rsidR="00F43E71" w:rsidP="00F43E71" w:rsidRDefault="00F43E71" w14:paraId="61FD3C51" w14:textId="25CED54A">
      <w:pPr>
        <w:autoSpaceDE w:val="0"/>
        <w:autoSpaceDN w:val="0"/>
        <w:adjustRightInd w:val="0"/>
        <w:ind w:left="360"/>
        <w:outlineLvl w:val="0"/>
        <w:rPr>
          <w:b/>
        </w:rPr>
      </w:pPr>
      <w:proofErr w:type="gramStart"/>
      <w:r w:rsidRPr="7EDF893D">
        <w:rPr>
          <w:b/>
        </w:rPr>
        <w:t>6.</w:t>
      </w:r>
      <w:r w:rsidRPr="7EDF893D" w:rsidR="26BB85A1">
        <w:rPr>
          <w:b/>
          <w:bCs/>
        </w:rPr>
        <w:t>6</w:t>
      </w:r>
      <w:r w:rsidRPr="7EDF893D">
        <w:rPr>
          <w:b/>
        </w:rPr>
        <w:t xml:space="preserve">  Burden</w:t>
      </w:r>
      <w:proofErr w:type="gramEnd"/>
      <w:r w:rsidRPr="7EDF893D">
        <w:rPr>
          <w:b/>
        </w:rPr>
        <w:t xml:space="preserve"> Statement</w:t>
      </w:r>
    </w:p>
    <w:p w:rsidRPr="003F0783" w:rsidR="00F43E71" w:rsidP="00F43E71" w:rsidRDefault="00F43E71" w14:paraId="4AFFD6FA" w14:textId="77777777">
      <w:pPr>
        <w:autoSpaceDE w:val="0"/>
        <w:autoSpaceDN w:val="0"/>
        <w:adjustRightInd w:val="0"/>
        <w:rPr>
          <w:szCs w:val="24"/>
        </w:rPr>
      </w:pPr>
    </w:p>
    <w:p w:rsidRPr="00B1086D" w:rsidR="00F43E71" w:rsidP="00F43E71" w:rsidRDefault="00F43E71" w14:paraId="53E70FB5" w14:textId="2FCDAC6A">
      <w:pPr>
        <w:autoSpaceDE w:val="0"/>
        <w:autoSpaceDN w:val="0"/>
        <w:adjustRightInd w:val="0"/>
        <w:ind w:firstLine="720"/>
      </w:pPr>
      <w:r w:rsidRPr="00B1086D">
        <w:t xml:space="preserve">The annual public reporting and recordkeeping burden for this collection of information is estimated to be </w:t>
      </w:r>
      <w:r w:rsidR="006D762A">
        <w:t>1,834</w:t>
      </w:r>
      <w:r w:rsidRPr="00B1086D">
        <w:t xml:space="preserve"> hours per year for industry respondents, or approximately </w:t>
      </w:r>
      <w:r w:rsidR="00550EE8">
        <w:t>1</w:t>
      </w:r>
      <w:r w:rsidR="00F44F00">
        <w:t>0</w:t>
      </w:r>
      <w:r w:rsidRPr="00B1086D">
        <w:t xml:space="preserve"> hours per response</w:t>
      </w:r>
      <w:r w:rsidRPr="00B1086D">
        <w:rPr>
          <w:color w:val="000000" w:themeColor="text1"/>
        </w:rPr>
        <w:t xml:space="preserve">. </w:t>
      </w:r>
      <w:r w:rsidRPr="00B1086D">
        <w:t xml:space="preserve">Burden means the total time, effort, or financial resources expended by persons to generate, maintain, retain, </w:t>
      </w:r>
      <w:proofErr w:type="gramStart"/>
      <w:r w:rsidRPr="00B1086D">
        <w:t>disclose</w:t>
      </w:r>
      <w:proofErr w:type="gramEnd"/>
      <w:r w:rsidRPr="00B1086D">
        <w:t xml:space="preserve"> or provide information to, or for, a federal agency. This includes the time needed to review instructions; develop, acquire, install, and utilize technology and systems for the purposes of collecting, validating, and verifying information; processing, maintaining, disclosing, and providing information; adjusting the existing ways to comply with any previously applicable instructions and requirements; training personnel to be able to respond to a collection of information; searching data sources; completing and reviewing the collection of information; and transmitting or otherwise disclosing the information. An agency may not conduct or sponsor, and a person is not required to respond to, a collection of information unless it displays a currently valid OMB control number. The OMB control numbers for EPA's regulations are listed in 40 CFR Part 9 and 48 CFR Chapter 15.</w:t>
      </w:r>
    </w:p>
    <w:p w:rsidRPr="003F0783" w:rsidR="00F43E71" w:rsidP="00F43E71" w:rsidRDefault="00F43E71" w14:paraId="62527941" w14:textId="77777777">
      <w:pPr>
        <w:autoSpaceDE w:val="0"/>
        <w:autoSpaceDN w:val="0"/>
        <w:adjustRightInd w:val="0"/>
        <w:rPr>
          <w:szCs w:val="24"/>
        </w:rPr>
      </w:pPr>
    </w:p>
    <w:p w:rsidR="00660CDA" w:rsidP="00F43E71" w:rsidRDefault="00F43E71" w14:paraId="5B0037F2" w14:textId="54F5F8F7">
      <w:pPr>
        <w:contextualSpacing/>
      </w:pPr>
      <w:r w:rsidRPr="35C0C161">
        <w:rPr>
          <w:color w:val="000000" w:themeColor="text1"/>
        </w:rPr>
        <w:t xml:space="preserve">To facilitate comment on the Agency's need for this information, the accuracy of the provided burden estimates, and any suggested methods for minimizing respondent burden, including the use of automated collection techniques, EPA has established a public docket for this ICR under Docket ID No. </w:t>
      </w:r>
      <w:r w:rsidRPr="005B3FED" w:rsidR="005B3FED">
        <w:t>EPA-HQ-OAR-2021-0668</w:t>
      </w:r>
      <w:r w:rsidRPr="003F0783">
        <w:t xml:space="preserve">, </w:t>
      </w:r>
      <w:r w:rsidRPr="35C0C161">
        <w:rPr>
          <w:color w:val="000000" w:themeColor="text1"/>
        </w:rPr>
        <w:t xml:space="preserve">which is available for public viewing at the Air and Radiation Docket and Information Center in the EPA Docket Center, Room 3334, 1301 Constitution Avenue NW, Washington, DC. The EPA Docket Center Public Reading Room is open from 8:30 a.m. to 4:30 p.m., Monday through Friday, excluding legal holidays. The telephone number for the Reading Room is (202) 566-1744, and the telephone number for the Air and Radiation Docket and Information Center is (202) 566-1742. </w:t>
      </w:r>
      <w:r w:rsidRPr="35C0C161">
        <w:rPr>
          <w:color w:val="0F0F0F"/>
        </w:rPr>
        <w:t xml:space="preserve">An electronic version of the public docket is available at </w:t>
      </w:r>
      <w:r w:rsidRPr="35C0C161">
        <w:rPr>
          <w:i/>
          <w:color w:val="0F0F0F"/>
        </w:rPr>
        <w:t>www.regulations.gov</w:t>
      </w:r>
      <w:r w:rsidRPr="35C0C161">
        <w:rPr>
          <w:color w:val="0F0F0F"/>
        </w:rPr>
        <w:t xml:space="preserve">. This site can be used to submit or view public comments, to access the index listing of the contents of the public docket, and to access those documents in the public docket that are available electronically. When in the system, select “search,” then key in the Docket ID Number identified above. </w:t>
      </w:r>
      <w:r w:rsidRPr="35C0C161">
        <w:rPr>
          <w:color w:val="000000" w:themeColor="text1"/>
        </w:rPr>
        <w:t xml:space="preserve">Also, you can send comments to the Office of Information and Regulatory Affairs, Office of Management and Budget, 725 17th Street NW, Washington, DC </w:t>
      </w:r>
      <w:r w:rsidRPr="00DA41EC">
        <w:rPr>
          <w:color w:val="000000" w:themeColor="text1"/>
        </w:rPr>
        <w:t xml:space="preserve">20503, Attention: Desk Officer for EPA. Please include EPA Docket ID No. </w:t>
      </w:r>
      <w:r w:rsidRPr="00DA41EC" w:rsidR="005B3FED">
        <w:t xml:space="preserve">EPA-HQ-OAR-2021-0668 </w:t>
      </w:r>
      <w:r w:rsidRPr="00DA41EC">
        <w:rPr>
          <w:color w:val="000000" w:themeColor="text1"/>
        </w:rPr>
        <w:t>and OMB Control Number 2060-0667 in any correspondence.</w:t>
      </w:r>
    </w:p>
    <w:sectPr w:rsidR="00660CDA" w:rsidSect="00041556">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0C5FDB" w14:textId="77777777" w:rsidR="006C530B" w:rsidRDefault="006C530B">
      <w:r>
        <w:separator/>
      </w:r>
    </w:p>
  </w:endnote>
  <w:endnote w:type="continuationSeparator" w:id="0">
    <w:p w14:paraId="33C79799" w14:textId="77777777" w:rsidR="006C530B" w:rsidRDefault="006C530B">
      <w:r>
        <w:continuationSeparator/>
      </w:r>
    </w:p>
  </w:endnote>
  <w:endnote w:type="continuationNotice" w:id="1">
    <w:p w14:paraId="71022479" w14:textId="77777777" w:rsidR="006C530B" w:rsidRDefault="006C53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Heavy Heap"/>
    <w:panose1 w:val="00000000000000000000"/>
    <w:charset w:val="00"/>
    <w:family w:val="roman"/>
    <w:notTrueType/>
    <w:pitch w:val="default"/>
  </w:font>
  <w:font w:name="TimesNewRoman">
    <w:altName w:val="MS Mincho"/>
    <w:panose1 w:val="00000000000000000000"/>
    <w:charset w:val="80"/>
    <w:family w:val="auto"/>
    <w:notTrueType/>
    <w:pitch w:val="default"/>
    <w:sig w:usb0="00000003" w:usb1="08070000" w:usb2="00000010" w:usb3="00000000" w:csb0="0002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490CD5" w14:textId="77777777" w:rsidR="006033CA" w:rsidRDefault="006033CA" w:rsidP="00F43E7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E7E4C28" w14:textId="77777777" w:rsidR="006033CA" w:rsidRDefault="006033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C5FD32" w14:textId="77777777" w:rsidR="006033CA" w:rsidRPr="00144993" w:rsidRDefault="006033CA" w:rsidP="00F43E71">
    <w:pPr>
      <w:pStyle w:val="Footer"/>
      <w:framePr w:wrap="around" w:vAnchor="text" w:hAnchor="margin" w:xAlign="center" w:y="1"/>
      <w:rPr>
        <w:rStyle w:val="PageNumber"/>
        <w:rFonts w:ascii="Times New Roman" w:hAnsi="Times New Roman"/>
      </w:rPr>
    </w:pPr>
    <w:r w:rsidRPr="00144993">
      <w:rPr>
        <w:rStyle w:val="PageNumber"/>
        <w:rFonts w:ascii="Times New Roman" w:hAnsi="Times New Roman"/>
      </w:rPr>
      <w:fldChar w:fldCharType="begin"/>
    </w:r>
    <w:r w:rsidRPr="00144993">
      <w:rPr>
        <w:rStyle w:val="PageNumber"/>
        <w:rFonts w:ascii="Times New Roman" w:hAnsi="Times New Roman"/>
      </w:rPr>
      <w:instrText xml:space="preserve">PAGE  </w:instrText>
    </w:r>
    <w:r w:rsidRPr="00144993">
      <w:rPr>
        <w:rStyle w:val="PageNumber"/>
        <w:rFonts w:ascii="Times New Roman" w:hAnsi="Times New Roman"/>
      </w:rPr>
      <w:fldChar w:fldCharType="separate"/>
    </w:r>
    <w:r>
      <w:rPr>
        <w:rStyle w:val="PageNumber"/>
        <w:rFonts w:ascii="Times New Roman" w:hAnsi="Times New Roman"/>
        <w:noProof/>
      </w:rPr>
      <w:t>21</w:t>
    </w:r>
    <w:r w:rsidRPr="00144993">
      <w:rPr>
        <w:rStyle w:val="PageNumber"/>
        <w:rFonts w:ascii="Times New Roman" w:hAnsi="Times New Roman"/>
      </w:rPr>
      <w:fldChar w:fldCharType="end"/>
    </w:r>
  </w:p>
  <w:p w14:paraId="0B8F25E2" w14:textId="77777777" w:rsidR="006033CA" w:rsidRDefault="006033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094534" w14:textId="77777777" w:rsidR="006C530B" w:rsidRDefault="006C530B">
      <w:r>
        <w:separator/>
      </w:r>
    </w:p>
  </w:footnote>
  <w:footnote w:type="continuationSeparator" w:id="0">
    <w:p w14:paraId="428485D0" w14:textId="77777777" w:rsidR="006C530B" w:rsidRDefault="006C530B">
      <w:r>
        <w:continuationSeparator/>
      </w:r>
    </w:p>
  </w:footnote>
  <w:footnote w:type="continuationNotice" w:id="1">
    <w:p w14:paraId="4EC4D733" w14:textId="77777777" w:rsidR="006C530B" w:rsidRDefault="006C53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79973D" w14:textId="77777777" w:rsidR="006033CA" w:rsidRPr="00CD5C3C" w:rsidRDefault="006033CA" w:rsidP="00F43E71">
    <w:pPr>
      <w:pStyle w:val="Header"/>
      <w:jc w:val="right"/>
      <w:rPr>
        <w:lang w:val="en-AU"/>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B3D27F" w14:textId="77777777" w:rsidR="006033CA" w:rsidRPr="00036854" w:rsidRDefault="006033CA" w:rsidP="000368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6C7BB9" w14:textId="77777777" w:rsidR="006033CA" w:rsidRDefault="006033CA" w:rsidP="00F43E71">
    <w:pPr>
      <w:pStyle w:val="Header"/>
      <w:ind w:left="7110"/>
      <w:rPr>
        <w:lang w:val="en-AU"/>
      </w:rPr>
    </w:pPr>
    <w:r>
      <w:rPr>
        <w:lang w:val="en-AU"/>
      </w:rPr>
      <w:t>DRAFT Transport ICR</w:t>
    </w:r>
  </w:p>
  <w:p w14:paraId="18D34A4A" w14:textId="77777777" w:rsidR="006033CA" w:rsidRDefault="006033CA" w:rsidP="00F43E71">
    <w:pPr>
      <w:pStyle w:val="Header"/>
      <w:ind w:left="7110"/>
      <w:rPr>
        <w:lang w:val="en-AU"/>
      </w:rPr>
    </w:pPr>
    <w:r>
      <w:rPr>
        <w:lang w:val="en-AU"/>
      </w:rPr>
      <w:t>March 12, 2010</w:t>
    </w:r>
  </w:p>
  <w:p w14:paraId="7CD5C9E0" w14:textId="77777777" w:rsidR="006033CA" w:rsidRDefault="006033CA" w:rsidP="00F43E71">
    <w:pPr>
      <w:pStyle w:val="Header"/>
      <w:ind w:left="7110"/>
      <w:rPr>
        <w:lang w:val="en-AU"/>
      </w:rPr>
    </w:pPr>
    <w:r>
      <w:rPr>
        <w:lang w:val="en-AU"/>
      </w:rPr>
      <w:t xml:space="preserve">Page </w:t>
    </w:r>
    <w:r w:rsidRPr="003740C6">
      <w:rPr>
        <w:lang w:val="en-AU"/>
      </w:rPr>
      <w:fldChar w:fldCharType="begin"/>
    </w:r>
    <w:r w:rsidRPr="003740C6">
      <w:rPr>
        <w:lang w:val="en-AU"/>
      </w:rPr>
      <w:instrText xml:space="preserve"> PAGE   \* MERGEFORMAT </w:instrText>
    </w:r>
    <w:r w:rsidRPr="003740C6">
      <w:rPr>
        <w:lang w:val="en-AU"/>
      </w:rPr>
      <w:fldChar w:fldCharType="separate"/>
    </w:r>
    <w:r>
      <w:rPr>
        <w:noProof/>
        <w:lang w:val="en-AU"/>
      </w:rPr>
      <w:t>46</w:t>
    </w:r>
    <w:r w:rsidRPr="003740C6">
      <w:rPr>
        <w:lang w:val="en-AU"/>
      </w:rPr>
      <w:fldChar w:fldCharType="end"/>
    </w:r>
  </w:p>
  <w:p w14:paraId="30AEA424" w14:textId="77777777" w:rsidR="006033CA" w:rsidRPr="00F56B02" w:rsidRDefault="006033CA" w:rsidP="00F43E71">
    <w:pPr>
      <w:pStyle w:val="Header"/>
      <w:ind w:left="7110"/>
    </w:pPr>
    <w:r>
      <w:rPr>
        <w:noProof/>
      </w:rPr>
      <mc:AlternateContent>
        <mc:Choice Requires="wps">
          <w:drawing>
            <wp:anchor distT="0" distB="0" distL="114300" distR="114300" simplePos="0" relativeHeight="251658240" behindDoc="0" locked="0" layoutInCell="1" allowOverlap="1" wp14:anchorId="2848E94A" wp14:editId="102A8132">
              <wp:simplePos x="0" y="0"/>
              <wp:positionH relativeFrom="page">
                <wp:posOffset>9133205</wp:posOffset>
              </wp:positionH>
              <wp:positionV relativeFrom="page">
                <wp:posOffset>711200</wp:posOffset>
              </wp:positionV>
              <wp:extent cx="744220" cy="6254750"/>
              <wp:effectExtent l="0" t="0" r="0"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4220" cy="6254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810DAC" w14:textId="77777777" w:rsidR="006033CA" w:rsidRDefault="006033CA" w:rsidP="00F43E71">
                          <w:pPr>
                            <w:pStyle w:val="Header"/>
                            <w:ind w:left="7110"/>
                            <w:rPr>
                              <w:lang w:val="en-AU"/>
                            </w:rPr>
                          </w:pPr>
                          <w:r>
                            <w:rPr>
                              <w:lang w:val="en-AU"/>
                            </w:rPr>
                            <w:t>DRAFT Transport ICR</w:t>
                          </w:r>
                        </w:p>
                        <w:p w14:paraId="77F652BA" w14:textId="77777777" w:rsidR="006033CA" w:rsidRDefault="006033CA" w:rsidP="00F43E71">
                          <w:pPr>
                            <w:pStyle w:val="Header"/>
                            <w:ind w:left="7110"/>
                            <w:rPr>
                              <w:lang w:val="en-AU"/>
                            </w:rPr>
                          </w:pPr>
                          <w:r>
                            <w:rPr>
                              <w:lang w:val="en-AU"/>
                            </w:rPr>
                            <w:t>March 12, 2010</w:t>
                          </w:r>
                        </w:p>
                        <w:p w14:paraId="3FD0A235" w14:textId="77777777" w:rsidR="006033CA" w:rsidRDefault="006033CA" w:rsidP="00F43E71">
                          <w:pPr>
                            <w:pStyle w:val="Header"/>
                            <w:ind w:left="7110"/>
                            <w:rPr>
                              <w:lang w:val="en-AU"/>
                            </w:rPr>
                          </w:pPr>
                          <w:r>
                            <w:rPr>
                              <w:lang w:val="en-AU"/>
                            </w:rPr>
                            <w:t xml:space="preserve">Page </w:t>
                          </w:r>
                          <w:r w:rsidRPr="003740C6">
                            <w:rPr>
                              <w:lang w:val="en-AU"/>
                            </w:rPr>
                            <w:fldChar w:fldCharType="begin"/>
                          </w:r>
                          <w:r w:rsidRPr="003740C6">
                            <w:rPr>
                              <w:lang w:val="en-AU"/>
                            </w:rPr>
                            <w:instrText xml:space="preserve"> PAGE   \* MERGEFORMAT </w:instrText>
                          </w:r>
                          <w:r w:rsidRPr="003740C6">
                            <w:rPr>
                              <w:lang w:val="en-AU"/>
                            </w:rPr>
                            <w:fldChar w:fldCharType="separate"/>
                          </w:r>
                          <w:r>
                            <w:rPr>
                              <w:noProof/>
                              <w:lang w:val="en-AU"/>
                            </w:rPr>
                            <w:t>46</w:t>
                          </w:r>
                          <w:r w:rsidRPr="003740C6">
                            <w:rPr>
                              <w:lang w:val="en-AU"/>
                            </w:rPr>
                            <w:fldChar w:fldCharType="end"/>
                          </w:r>
                        </w:p>
                        <w:p w14:paraId="41EB8FD0" w14:textId="77777777" w:rsidR="006033CA" w:rsidRPr="00F56B02" w:rsidRDefault="006033CA" w:rsidP="00F43E71"/>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3B163BCB">
            <v:shapetype id="_x0000_t202" coordsize="21600,21600" o:spt="202" path="m,l,21600r21600,l21600,xe" w14:anchorId="2848E94A">
              <v:stroke joinstyle="miter"/>
              <v:path gradientshapeok="t" o:connecttype="rect"/>
            </v:shapetype>
            <v:shape id="Text Box 9" style="position:absolute;left:0;text-align:left;margin-left:719.15pt;margin-top:56pt;width:58.6pt;height:49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">
              <v:textbox style="layout-flow:vertical">
                <w:txbxContent>
                  <w:p w:rsidR="006033CA" w:rsidP="00F43E71" w:rsidRDefault="006033CA" w14:paraId="077B11B5" w14:textId="77777777">
                    <w:pPr>
                      <w:pStyle w:val="Header"/>
                      <w:ind w:left="7110"/>
                      <w:rPr>
                        <w:lang w:val="en-AU"/>
                      </w:rPr>
                    </w:pPr>
                    <w:r>
                      <w:rPr>
                        <w:lang w:val="en-AU"/>
                      </w:rPr>
                      <w:t>DRAFT Transport ICR</w:t>
                    </w:r>
                  </w:p>
                  <w:p w:rsidR="006033CA" w:rsidP="00F43E71" w:rsidRDefault="006033CA" w14:paraId="4B00976F" w14:textId="77777777">
                    <w:pPr>
                      <w:pStyle w:val="Header"/>
                      <w:ind w:left="7110"/>
                      <w:rPr>
                        <w:lang w:val="en-AU"/>
                      </w:rPr>
                    </w:pPr>
                    <w:r>
                      <w:rPr>
                        <w:lang w:val="en-AU"/>
                      </w:rPr>
                      <w:t>March 12, 2010</w:t>
                    </w:r>
                  </w:p>
                  <w:p w:rsidR="006033CA" w:rsidP="00F43E71" w:rsidRDefault="006033CA" w14:paraId="12E48723" w14:textId="77777777">
                    <w:pPr>
                      <w:pStyle w:val="Header"/>
                      <w:ind w:left="7110"/>
                      <w:rPr>
                        <w:lang w:val="en-AU"/>
                      </w:rPr>
                    </w:pPr>
                    <w:r>
                      <w:rPr>
                        <w:lang w:val="en-AU"/>
                      </w:rPr>
                      <w:t xml:space="preserve">Page </w:t>
                    </w:r>
                    <w:r w:rsidRPr="003740C6">
                      <w:rPr>
                        <w:lang w:val="en-AU"/>
                      </w:rPr>
                      <w:fldChar w:fldCharType="begin"/>
                    </w:r>
                    <w:r w:rsidRPr="003740C6">
                      <w:rPr>
                        <w:lang w:val="en-AU"/>
                      </w:rPr>
                      <w:instrText xml:space="preserve"> PAGE   \* MERGEFORMAT </w:instrText>
                    </w:r>
                    <w:r w:rsidRPr="003740C6">
                      <w:rPr>
                        <w:lang w:val="en-AU"/>
                      </w:rPr>
                      <w:fldChar w:fldCharType="separate"/>
                    </w:r>
                    <w:r>
                      <w:rPr>
                        <w:noProof/>
                        <w:lang w:val="en-AU"/>
                      </w:rPr>
                      <w:t>46</w:t>
                    </w:r>
                    <w:r w:rsidRPr="003740C6">
                      <w:rPr>
                        <w:lang w:val="en-AU"/>
                      </w:rPr>
                      <w:fldChar w:fldCharType="end"/>
                    </w:r>
                  </w:p>
                  <w:p w:rsidRPr="00F56B02" w:rsidR="006033CA" w:rsidP="00F43E71" w:rsidRDefault="006033CA" w14:paraId="672A6659" w14:textId="77777777"/>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13149B"/>
    <w:multiLevelType w:val="hybridMultilevel"/>
    <w:tmpl w:val="847AA218"/>
    <w:lvl w:ilvl="0" w:tplc="BCBAA3EE">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28BE29D5"/>
    <w:multiLevelType w:val="hybridMultilevel"/>
    <w:tmpl w:val="81E22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927020"/>
    <w:multiLevelType w:val="hybridMultilevel"/>
    <w:tmpl w:val="8C504DA0"/>
    <w:lvl w:ilvl="0" w:tplc="4C76DF48">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15:restartNumberingAfterBreak="0">
    <w:nsid w:val="5FE46A7F"/>
    <w:multiLevelType w:val="hybridMultilevel"/>
    <w:tmpl w:val="3496BC12"/>
    <w:lvl w:ilvl="0" w:tplc="D318D858">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640E294A"/>
    <w:multiLevelType w:val="hybridMultilevel"/>
    <w:tmpl w:val="3496BC12"/>
    <w:lvl w:ilvl="0" w:tplc="D318D858">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15:restartNumberingAfterBreak="0">
    <w:nsid w:val="69022FD6"/>
    <w:multiLevelType w:val="hybridMultilevel"/>
    <w:tmpl w:val="AD0045E4"/>
    <w:lvl w:ilvl="0" w:tplc="47B08402">
      <w:start w:val="1"/>
      <w:numFmt w:val="decimal"/>
      <w:lvlText w:val="%1."/>
      <w:lvlJc w:val="left"/>
      <w:pPr>
        <w:ind w:left="540" w:hanging="360"/>
      </w:pPr>
      <w:rPr>
        <w:rFonts w:hint="default"/>
        <w:sz w:val="2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 w15:restartNumberingAfterBreak="0">
    <w:nsid w:val="6A06298E"/>
    <w:multiLevelType w:val="hybridMultilevel"/>
    <w:tmpl w:val="B66CD90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6"/>
  </w:num>
  <w:num w:numId="3">
    <w:abstractNumId w:val="3"/>
  </w:num>
  <w:num w:numId="4">
    <w:abstractNumId w:val="4"/>
  </w:num>
  <w:num w:numId="5">
    <w:abstractNumId w:val="5"/>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E71"/>
    <w:rsid w:val="000007DE"/>
    <w:rsid w:val="00000D46"/>
    <w:rsid w:val="00002CAE"/>
    <w:rsid w:val="0000538C"/>
    <w:rsid w:val="00013446"/>
    <w:rsid w:val="00015FAF"/>
    <w:rsid w:val="0001717F"/>
    <w:rsid w:val="0002475D"/>
    <w:rsid w:val="0002611D"/>
    <w:rsid w:val="00026670"/>
    <w:rsid w:val="00027AB7"/>
    <w:rsid w:val="0003049D"/>
    <w:rsid w:val="000366C9"/>
    <w:rsid w:val="00036854"/>
    <w:rsid w:val="00041556"/>
    <w:rsid w:val="000420C7"/>
    <w:rsid w:val="00044076"/>
    <w:rsid w:val="000469CD"/>
    <w:rsid w:val="00047EE5"/>
    <w:rsid w:val="000525D6"/>
    <w:rsid w:val="00054032"/>
    <w:rsid w:val="0006406E"/>
    <w:rsid w:val="00065EFC"/>
    <w:rsid w:val="00066C18"/>
    <w:rsid w:val="00070B94"/>
    <w:rsid w:val="00074304"/>
    <w:rsid w:val="000757E9"/>
    <w:rsid w:val="00077D18"/>
    <w:rsid w:val="0008512A"/>
    <w:rsid w:val="000929CD"/>
    <w:rsid w:val="00094727"/>
    <w:rsid w:val="00094CCF"/>
    <w:rsid w:val="00095D1E"/>
    <w:rsid w:val="00096570"/>
    <w:rsid w:val="00096698"/>
    <w:rsid w:val="000A31CD"/>
    <w:rsid w:val="000B1CB7"/>
    <w:rsid w:val="000B631B"/>
    <w:rsid w:val="000C17A3"/>
    <w:rsid w:val="000C1A32"/>
    <w:rsid w:val="000C1CBA"/>
    <w:rsid w:val="000C48AE"/>
    <w:rsid w:val="000C6482"/>
    <w:rsid w:val="000C76B7"/>
    <w:rsid w:val="000D376D"/>
    <w:rsid w:val="000D4845"/>
    <w:rsid w:val="000E0E78"/>
    <w:rsid w:val="000E5239"/>
    <w:rsid w:val="000E78F6"/>
    <w:rsid w:val="000F4E1A"/>
    <w:rsid w:val="00110524"/>
    <w:rsid w:val="001116CD"/>
    <w:rsid w:val="0011496B"/>
    <w:rsid w:val="00116CDD"/>
    <w:rsid w:val="0012091A"/>
    <w:rsid w:val="00121367"/>
    <w:rsid w:val="0012381B"/>
    <w:rsid w:val="00123F8D"/>
    <w:rsid w:val="00124A91"/>
    <w:rsid w:val="00124C00"/>
    <w:rsid w:val="00131CA3"/>
    <w:rsid w:val="00135B30"/>
    <w:rsid w:val="00140832"/>
    <w:rsid w:val="00151CD8"/>
    <w:rsid w:val="00153833"/>
    <w:rsid w:val="001607B3"/>
    <w:rsid w:val="00160E9A"/>
    <w:rsid w:val="00162ED4"/>
    <w:rsid w:val="00163BCB"/>
    <w:rsid w:val="0017019B"/>
    <w:rsid w:val="00171063"/>
    <w:rsid w:val="00177F6C"/>
    <w:rsid w:val="00182FDA"/>
    <w:rsid w:val="001865BE"/>
    <w:rsid w:val="00187BD4"/>
    <w:rsid w:val="00192B1C"/>
    <w:rsid w:val="00192BB5"/>
    <w:rsid w:val="00194802"/>
    <w:rsid w:val="00194A32"/>
    <w:rsid w:val="001A1ECA"/>
    <w:rsid w:val="001A2398"/>
    <w:rsid w:val="001A26BF"/>
    <w:rsid w:val="001A4A48"/>
    <w:rsid w:val="001A6D85"/>
    <w:rsid w:val="001B2413"/>
    <w:rsid w:val="001B3D84"/>
    <w:rsid w:val="001B68F2"/>
    <w:rsid w:val="001B723A"/>
    <w:rsid w:val="001C2CBC"/>
    <w:rsid w:val="001C528C"/>
    <w:rsid w:val="001D04C0"/>
    <w:rsid w:val="001D1DEB"/>
    <w:rsid w:val="001D29FC"/>
    <w:rsid w:val="001D7DC7"/>
    <w:rsid w:val="001E18C6"/>
    <w:rsid w:val="001E286B"/>
    <w:rsid w:val="001E2B1C"/>
    <w:rsid w:val="001E309C"/>
    <w:rsid w:val="001F15BB"/>
    <w:rsid w:val="001F2B84"/>
    <w:rsid w:val="001F2E46"/>
    <w:rsid w:val="001F44BC"/>
    <w:rsid w:val="001F55ED"/>
    <w:rsid w:val="002021D6"/>
    <w:rsid w:val="00202E79"/>
    <w:rsid w:val="00213241"/>
    <w:rsid w:val="00215D18"/>
    <w:rsid w:val="00223A43"/>
    <w:rsid w:val="0022665B"/>
    <w:rsid w:val="00233B8C"/>
    <w:rsid w:val="00234286"/>
    <w:rsid w:val="00234E32"/>
    <w:rsid w:val="00237286"/>
    <w:rsid w:val="002429BA"/>
    <w:rsid w:val="00247D63"/>
    <w:rsid w:val="00251A6F"/>
    <w:rsid w:val="0025322C"/>
    <w:rsid w:val="00257AF7"/>
    <w:rsid w:val="00262796"/>
    <w:rsid w:val="00264DF9"/>
    <w:rsid w:val="0026691C"/>
    <w:rsid w:val="00270043"/>
    <w:rsid w:val="002844D4"/>
    <w:rsid w:val="002869B7"/>
    <w:rsid w:val="00292AE9"/>
    <w:rsid w:val="002941F1"/>
    <w:rsid w:val="00297F92"/>
    <w:rsid w:val="002A21F6"/>
    <w:rsid w:val="002B3516"/>
    <w:rsid w:val="002B413D"/>
    <w:rsid w:val="002B460E"/>
    <w:rsid w:val="002B46D9"/>
    <w:rsid w:val="002B7928"/>
    <w:rsid w:val="002C0152"/>
    <w:rsid w:val="002C7FD5"/>
    <w:rsid w:val="002D14BB"/>
    <w:rsid w:val="002D2865"/>
    <w:rsid w:val="002D4C6D"/>
    <w:rsid w:val="002D6774"/>
    <w:rsid w:val="002E7490"/>
    <w:rsid w:val="002F3511"/>
    <w:rsid w:val="002F52F8"/>
    <w:rsid w:val="00301808"/>
    <w:rsid w:val="003020FA"/>
    <w:rsid w:val="00302450"/>
    <w:rsid w:val="00310CAF"/>
    <w:rsid w:val="00314F2A"/>
    <w:rsid w:val="0031589F"/>
    <w:rsid w:val="003275AE"/>
    <w:rsid w:val="00331AB0"/>
    <w:rsid w:val="00346152"/>
    <w:rsid w:val="0034651A"/>
    <w:rsid w:val="0035016A"/>
    <w:rsid w:val="00354532"/>
    <w:rsid w:val="0035519A"/>
    <w:rsid w:val="0035675E"/>
    <w:rsid w:val="0036172B"/>
    <w:rsid w:val="00367C27"/>
    <w:rsid w:val="00371998"/>
    <w:rsid w:val="00374D90"/>
    <w:rsid w:val="00376389"/>
    <w:rsid w:val="00380EF3"/>
    <w:rsid w:val="0038478A"/>
    <w:rsid w:val="0039417E"/>
    <w:rsid w:val="00394E04"/>
    <w:rsid w:val="00397A16"/>
    <w:rsid w:val="003A46EE"/>
    <w:rsid w:val="003A6E33"/>
    <w:rsid w:val="003A7ECA"/>
    <w:rsid w:val="003B131B"/>
    <w:rsid w:val="003B7C40"/>
    <w:rsid w:val="003C2185"/>
    <w:rsid w:val="003C276D"/>
    <w:rsid w:val="003C7F6B"/>
    <w:rsid w:val="003D0048"/>
    <w:rsid w:val="003D0626"/>
    <w:rsid w:val="003D2B9C"/>
    <w:rsid w:val="003D4B4B"/>
    <w:rsid w:val="003D5189"/>
    <w:rsid w:val="003D70EA"/>
    <w:rsid w:val="003E1560"/>
    <w:rsid w:val="003E1A11"/>
    <w:rsid w:val="003E50B9"/>
    <w:rsid w:val="003F0F46"/>
    <w:rsid w:val="00402AA5"/>
    <w:rsid w:val="00405690"/>
    <w:rsid w:val="00410192"/>
    <w:rsid w:val="00411AD5"/>
    <w:rsid w:val="00411FE3"/>
    <w:rsid w:val="00412B56"/>
    <w:rsid w:val="00414D41"/>
    <w:rsid w:val="0041565C"/>
    <w:rsid w:val="00416633"/>
    <w:rsid w:val="0041710C"/>
    <w:rsid w:val="00417161"/>
    <w:rsid w:val="00423105"/>
    <w:rsid w:val="00424BFD"/>
    <w:rsid w:val="00424DD2"/>
    <w:rsid w:val="004277B2"/>
    <w:rsid w:val="00432603"/>
    <w:rsid w:val="00432648"/>
    <w:rsid w:val="00433A8E"/>
    <w:rsid w:val="00435652"/>
    <w:rsid w:val="00452D91"/>
    <w:rsid w:val="00461B61"/>
    <w:rsid w:val="00464C05"/>
    <w:rsid w:val="0046661F"/>
    <w:rsid w:val="004726D4"/>
    <w:rsid w:val="00474C8D"/>
    <w:rsid w:val="00480519"/>
    <w:rsid w:val="00480DCF"/>
    <w:rsid w:val="0048380B"/>
    <w:rsid w:val="00483AAA"/>
    <w:rsid w:val="004841F6"/>
    <w:rsid w:val="00490672"/>
    <w:rsid w:val="00491D01"/>
    <w:rsid w:val="00494A61"/>
    <w:rsid w:val="00494CD9"/>
    <w:rsid w:val="00494F02"/>
    <w:rsid w:val="00495F81"/>
    <w:rsid w:val="004A1EC5"/>
    <w:rsid w:val="004A54FC"/>
    <w:rsid w:val="004B1423"/>
    <w:rsid w:val="004B60CC"/>
    <w:rsid w:val="004C02F4"/>
    <w:rsid w:val="004C2C50"/>
    <w:rsid w:val="004C4479"/>
    <w:rsid w:val="004C513E"/>
    <w:rsid w:val="004D4DE0"/>
    <w:rsid w:val="004D6A1D"/>
    <w:rsid w:val="004E25AB"/>
    <w:rsid w:val="004E4125"/>
    <w:rsid w:val="004E60DF"/>
    <w:rsid w:val="004E636A"/>
    <w:rsid w:val="004E6AF9"/>
    <w:rsid w:val="004F22C2"/>
    <w:rsid w:val="004F6AEC"/>
    <w:rsid w:val="00504FCB"/>
    <w:rsid w:val="0051218A"/>
    <w:rsid w:val="0051581B"/>
    <w:rsid w:val="00516125"/>
    <w:rsid w:val="00523332"/>
    <w:rsid w:val="0053344D"/>
    <w:rsid w:val="0053383D"/>
    <w:rsid w:val="00537298"/>
    <w:rsid w:val="00537F6F"/>
    <w:rsid w:val="00550EE8"/>
    <w:rsid w:val="0055428F"/>
    <w:rsid w:val="0055656D"/>
    <w:rsid w:val="0055674B"/>
    <w:rsid w:val="005612CA"/>
    <w:rsid w:val="00563DD1"/>
    <w:rsid w:val="005666A5"/>
    <w:rsid w:val="0057237B"/>
    <w:rsid w:val="00572563"/>
    <w:rsid w:val="00574C5A"/>
    <w:rsid w:val="00577186"/>
    <w:rsid w:val="00580D46"/>
    <w:rsid w:val="005824BF"/>
    <w:rsid w:val="00585691"/>
    <w:rsid w:val="00586D11"/>
    <w:rsid w:val="00586EBD"/>
    <w:rsid w:val="00587147"/>
    <w:rsid w:val="00597A4D"/>
    <w:rsid w:val="005A6872"/>
    <w:rsid w:val="005A7A2C"/>
    <w:rsid w:val="005B057E"/>
    <w:rsid w:val="005B362E"/>
    <w:rsid w:val="005B3FED"/>
    <w:rsid w:val="005B6490"/>
    <w:rsid w:val="005B7647"/>
    <w:rsid w:val="005C42C1"/>
    <w:rsid w:val="005C5FCF"/>
    <w:rsid w:val="005C6201"/>
    <w:rsid w:val="005D126F"/>
    <w:rsid w:val="005D429F"/>
    <w:rsid w:val="005D4C4D"/>
    <w:rsid w:val="005D4CAD"/>
    <w:rsid w:val="005E13B4"/>
    <w:rsid w:val="005E2435"/>
    <w:rsid w:val="005F7883"/>
    <w:rsid w:val="00601055"/>
    <w:rsid w:val="006033CA"/>
    <w:rsid w:val="006036B5"/>
    <w:rsid w:val="006047A1"/>
    <w:rsid w:val="006113F0"/>
    <w:rsid w:val="00612705"/>
    <w:rsid w:val="006136D4"/>
    <w:rsid w:val="00613A0B"/>
    <w:rsid w:val="00614435"/>
    <w:rsid w:val="0061506F"/>
    <w:rsid w:val="006158E7"/>
    <w:rsid w:val="00617045"/>
    <w:rsid w:val="006265A8"/>
    <w:rsid w:val="00627250"/>
    <w:rsid w:val="00627A06"/>
    <w:rsid w:val="00631089"/>
    <w:rsid w:val="00634DA4"/>
    <w:rsid w:val="006427F0"/>
    <w:rsid w:val="00644931"/>
    <w:rsid w:val="00646866"/>
    <w:rsid w:val="00650531"/>
    <w:rsid w:val="00651D12"/>
    <w:rsid w:val="006534EA"/>
    <w:rsid w:val="00655966"/>
    <w:rsid w:val="00656594"/>
    <w:rsid w:val="00660CDA"/>
    <w:rsid w:val="006624A1"/>
    <w:rsid w:val="00665065"/>
    <w:rsid w:val="006707C5"/>
    <w:rsid w:val="006709BF"/>
    <w:rsid w:val="006729DC"/>
    <w:rsid w:val="00677F89"/>
    <w:rsid w:val="00686BBF"/>
    <w:rsid w:val="006955CC"/>
    <w:rsid w:val="00697B3D"/>
    <w:rsid w:val="006A06BD"/>
    <w:rsid w:val="006A401C"/>
    <w:rsid w:val="006A403D"/>
    <w:rsid w:val="006B0D52"/>
    <w:rsid w:val="006B27C4"/>
    <w:rsid w:val="006B5D95"/>
    <w:rsid w:val="006C530B"/>
    <w:rsid w:val="006C6CDB"/>
    <w:rsid w:val="006D069D"/>
    <w:rsid w:val="006D634C"/>
    <w:rsid w:val="006D762A"/>
    <w:rsid w:val="006E1043"/>
    <w:rsid w:val="006E63FF"/>
    <w:rsid w:val="006F0A5A"/>
    <w:rsid w:val="006F1628"/>
    <w:rsid w:val="006F3BB3"/>
    <w:rsid w:val="0070299D"/>
    <w:rsid w:val="00702D0C"/>
    <w:rsid w:val="00705C70"/>
    <w:rsid w:val="00710E28"/>
    <w:rsid w:val="00714F71"/>
    <w:rsid w:val="00726DD8"/>
    <w:rsid w:val="00727D9F"/>
    <w:rsid w:val="0073072A"/>
    <w:rsid w:val="007320B1"/>
    <w:rsid w:val="007332DB"/>
    <w:rsid w:val="00735EB0"/>
    <w:rsid w:val="00740C4C"/>
    <w:rsid w:val="00744261"/>
    <w:rsid w:val="00753177"/>
    <w:rsid w:val="00763B66"/>
    <w:rsid w:val="00774554"/>
    <w:rsid w:val="007811AA"/>
    <w:rsid w:val="00782B6B"/>
    <w:rsid w:val="00790F46"/>
    <w:rsid w:val="00792A18"/>
    <w:rsid w:val="00792E35"/>
    <w:rsid w:val="00793DD7"/>
    <w:rsid w:val="0079471C"/>
    <w:rsid w:val="0079490F"/>
    <w:rsid w:val="00796565"/>
    <w:rsid w:val="007A467C"/>
    <w:rsid w:val="007A4EA3"/>
    <w:rsid w:val="007B3D94"/>
    <w:rsid w:val="007B765C"/>
    <w:rsid w:val="007C119A"/>
    <w:rsid w:val="007C5A97"/>
    <w:rsid w:val="007D154D"/>
    <w:rsid w:val="007D4AFE"/>
    <w:rsid w:val="007D4DDF"/>
    <w:rsid w:val="007E4DC7"/>
    <w:rsid w:val="007F2061"/>
    <w:rsid w:val="007F550F"/>
    <w:rsid w:val="007F5FD9"/>
    <w:rsid w:val="008026DA"/>
    <w:rsid w:val="00804CF2"/>
    <w:rsid w:val="0080680E"/>
    <w:rsid w:val="00807537"/>
    <w:rsid w:val="00807D5E"/>
    <w:rsid w:val="008125A3"/>
    <w:rsid w:val="00813178"/>
    <w:rsid w:val="00813B6A"/>
    <w:rsid w:val="008146BE"/>
    <w:rsid w:val="00817C5A"/>
    <w:rsid w:val="008207B8"/>
    <w:rsid w:val="00827F00"/>
    <w:rsid w:val="0083162E"/>
    <w:rsid w:val="00833BF5"/>
    <w:rsid w:val="008355E9"/>
    <w:rsid w:val="00836CA6"/>
    <w:rsid w:val="00836F36"/>
    <w:rsid w:val="008374B5"/>
    <w:rsid w:val="00841277"/>
    <w:rsid w:val="00841332"/>
    <w:rsid w:val="00851A62"/>
    <w:rsid w:val="00855925"/>
    <w:rsid w:val="008561D8"/>
    <w:rsid w:val="00862D79"/>
    <w:rsid w:val="00864928"/>
    <w:rsid w:val="00872AC0"/>
    <w:rsid w:val="00877206"/>
    <w:rsid w:val="00881473"/>
    <w:rsid w:val="00882C64"/>
    <w:rsid w:val="008855F3"/>
    <w:rsid w:val="00887FC0"/>
    <w:rsid w:val="00890993"/>
    <w:rsid w:val="008953B7"/>
    <w:rsid w:val="008A18DA"/>
    <w:rsid w:val="008A1EC4"/>
    <w:rsid w:val="008A3219"/>
    <w:rsid w:val="008A7434"/>
    <w:rsid w:val="008B21ED"/>
    <w:rsid w:val="008B2D5A"/>
    <w:rsid w:val="008C22C6"/>
    <w:rsid w:val="008C27F0"/>
    <w:rsid w:val="008C4E6A"/>
    <w:rsid w:val="008C75C0"/>
    <w:rsid w:val="008D0F15"/>
    <w:rsid w:val="008D2A9C"/>
    <w:rsid w:val="008D3345"/>
    <w:rsid w:val="008D7F32"/>
    <w:rsid w:val="008E31DC"/>
    <w:rsid w:val="008E4BA2"/>
    <w:rsid w:val="008F027A"/>
    <w:rsid w:val="008F6802"/>
    <w:rsid w:val="008F6BD9"/>
    <w:rsid w:val="008F7671"/>
    <w:rsid w:val="008F78A3"/>
    <w:rsid w:val="00911FBE"/>
    <w:rsid w:val="00915836"/>
    <w:rsid w:val="00915C00"/>
    <w:rsid w:val="00920E4E"/>
    <w:rsid w:val="00925EDF"/>
    <w:rsid w:val="00927969"/>
    <w:rsid w:val="00935207"/>
    <w:rsid w:val="00935C78"/>
    <w:rsid w:val="0094570F"/>
    <w:rsid w:val="00955707"/>
    <w:rsid w:val="0095768B"/>
    <w:rsid w:val="00957D25"/>
    <w:rsid w:val="00960AE5"/>
    <w:rsid w:val="00965812"/>
    <w:rsid w:val="009674C2"/>
    <w:rsid w:val="009701F3"/>
    <w:rsid w:val="009703D9"/>
    <w:rsid w:val="0097343E"/>
    <w:rsid w:val="00973F73"/>
    <w:rsid w:val="00974297"/>
    <w:rsid w:val="00976360"/>
    <w:rsid w:val="0098141A"/>
    <w:rsid w:val="00983CF4"/>
    <w:rsid w:val="00985CB2"/>
    <w:rsid w:val="00990395"/>
    <w:rsid w:val="00991320"/>
    <w:rsid w:val="00991BA5"/>
    <w:rsid w:val="00992D87"/>
    <w:rsid w:val="0099592C"/>
    <w:rsid w:val="00996216"/>
    <w:rsid w:val="00996E4B"/>
    <w:rsid w:val="009A00DB"/>
    <w:rsid w:val="009A5B99"/>
    <w:rsid w:val="009A7319"/>
    <w:rsid w:val="009B15DC"/>
    <w:rsid w:val="009B2281"/>
    <w:rsid w:val="009B63F6"/>
    <w:rsid w:val="009C2CFA"/>
    <w:rsid w:val="009C4038"/>
    <w:rsid w:val="009D36CF"/>
    <w:rsid w:val="009E2793"/>
    <w:rsid w:val="009E2B06"/>
    <w:rsid w:val="009E2ED7"/>
    <w:rsid w:val="009F332A"/>
    <w:rsid w:val="009F4188"/>
    <w:rsid w:val="009F576C"/>
    <w:rsid w:val="009F6B67"/>
    <w:rsid w:val="00A03D2A"/>
    <w:rsid w:val="00A105F9"/>
    <w:rsid w:val="00A1400D"/>
    <w:rsid w:val="00A140DC"/>
    <w:rsid w:val="00A2018E"/>
    <w:rsid w:val="00A23782"/>
    <w:rsid w:val="00A24540"/>
    <w:rsid w:val="00A26CF2"/>
    <w:rsid w:val="00A3155D"/>
    <w:rsid w:val="00A342FF"/>
    <w:rsid w:val="00A376ED"/>
    <w:rsid w:val="00A47426"/>
    <w:rsid w:val="00A52544"/>
    <w:rsid w:val="00A52D12"/>
    <w:rsid w:val="00A573DC"/>
    <w:rsid w:val="00A650FC"/>
    <w:rsid w:val="00A710FE"/>
    <w:rsid w:val="00A72EA1"/>
    <w:rsid w:val="00A76664"/>
    <w:rsid w:val="00A805C4"/>
    <w:rsid w:val="00A82995"/>
    <w:rsid w:val="00A82D7E"/>
    <w:rsid w:val="00A876A9"/>
    <w:rsid w:val="00A87C8F"/>
    <w:rsid w:val="00A92D0A"/>
    <w:rsid w:val="00A970CD"/>
    <w:rsid w:val="00A97222"/>
    <w:rsid w:val="00AA1796"/>
    <w:rsid w:val="00AA408E"/>
    <w:rsid w:val="00AA7861"/>
    <w:rsid w:val="00AB3089"/>
    <w:rsid w:val="00AB67E4"/>
    <w:rsid w:val="00AC0C87"/>
    <w:rsid w:val="00AC118C"/>
    <w:rsid w:val="00AC181A"/>
    <w:rsid w:val="00AC23F4"/>
    <w:rsid w:val="00AD0767"/>
    <w:rsid w:val="00AD4470"/>
    <w:rsid w:val="00AD6533"/>
    <w:rsid w:val="00AE1608"/>
    <w:rsid w:val="00AE4588"/>
    <w:rsid w:val="00AF289B"/>
    <w:rsid w:val="00B03232"/>
    <w:rsid w:val="00B1086D"/>
    <w:rsid w:val="00B15119"/>
    <w:rsid w:val="00B16224"/>
    <w:rsid w:val="00B21F26"/>
    <w:rsid w:val="00B2523B"/>
    <w:rsid w:val="00B31EDE"/>
    <w:rsid w:val="00B37398"/>
    <w:rsid w:val="00B430A8"/>
    <w:rsid w:val="00B439B1"/>
    <w:rsid w:val="00B4490C"/>
    <w:rsid w:val="00B45D37"/>
    <w:rsid w:val="00B50E70"/>
    <w:rsid w:val="00B50E74"/>
    <w:rsid w:val="00B535DB"/>
    <w:rsid w:val="00B54A2E"/>
    <w:rsid w:val="00B565CC"/>
    <w:rsid w:val="00B614D2"/>
    <w:rsid w:val="00B61EB9"/>
    <w:rsid w:val="00B6456B"/>
    <w:rsid w:val="00B64DAC"/>
    <w:rsid w:val="00B6606D"/>
    <w:rsid w:val="00B67540"/>
    <w:rsid w:val="00B71F37"/>
    <w:rsid w:val="00B727AE"/>
    <w:rsid w:val="00B735E2"/>
    <w:rsid w:val="00B76809"/>
    <w:rsid w:val="00B76868"/>
    <w:rsid w:val="00B85798"/>
    <w:rsid w:val="00B961C2"/>
    <w:rsid w:val="00BA46BD"/>
    <w:rsid w:val="00BA7D07"/>
    <w:rsid w:val="00BD1BFF"/>
    <w:rsid w:val="00BD6037"/>
    <w:rsid w:val="00BE39D7"/>
    <w:rsid w:val="00BE5624"/>
    <w:rsid w:val="00BE64B7"/>
    <w:rsid w:val="00BF0327"/>
    <w:rsid w:val="00BF167C"/>
    <w:rsid w:val="00BF4784"/>
    <w:rsid w:val="00BF7360"/>
    <w:rsid w:val="00C03B7A"/>
    <w:rsid w:val="00C13450"/>
    <w:rsid w:val="00C146BB"/>
    <w:rsid w:val="00C14DE8"/>
    <w:rsid w:val="00C20C5A"/>
    <w:rsid w:val="00C3012D"/>
    <w:rsid w:val="00C30BE4"/>
    <w:rsid w:val="00C337CB"/>
    <w:rsid w:val="00C37427"/>
    <w:rsid w:val="00C44EDF"/>
    <w:rsid w:val="00C54900"/>
    <w:rsid w:val="00C56063"/>
    <w:rsid w:val="00C5656D"/>
    <w:rsid w:val="00C57E71"/>
    <w:rsid w:val="00C62271"/>
    <w:rsid w:val="00C66CF2"/>
    <w:rsid w:val="00C70A6F"/>
    <w:rsid w:val="00C70F30"/>
    <w:rsid w:val="00C73486"/>
    <w:rsid w:val="00C806F3"/>
    <w:rsid w:val="00C82980"/>
    <w:rsid w:val="00C83E68"/>
    <w:rsid w:val="00C9515B"/>
    <w:rsid w:val="00C96B2D"/>
    <w:rsid w:val="00CA049C"/>
    <w:rsid w:val="00CA1C9B"/>
    <w:rsid w:val="00CA4351"/>
    <w:rsid w:val="00CA4A71"/>
    <w:rsid w:val="00CA67FB"/>
    <w:rsid w:val="00CA6AE7"/>
    <w:rsid w:val="00CB1077"/>
    <w:rsid w:val="00CB2FCC"/>
    <w:rsid w:val="00CB30A7"/>
    <w:rsid w:val="00CB7409"/>
    <w:rsid w:val="00CC05F3"/>
    <w:rsid w:val="00CC0804"/>
    <w:rsid w:val="00CD72D2"/>
    <w:rsid w:val="00CD78CD"/>
    <w:rsid w:val="00CE119B"/>
    <w:rsid w:val="00CE32EE"/>
    <w:rsid w:val="00CE570D"/>
    <w:rsid w:val="00CF1B0E"/>
    <w:rsid w:val="00CF244E"/>
    <w:rsid w:val="00CF4088"/>
    <w:rsid w:val="00CF7C62"/>
    <w:rsid w:val="00D00284"/>
    <w:rsid w:val="00D008D1"/>
    <w:rsid w:val="00D00C35"/>
    <w:rsid w:val="00D01432"/>
    <w:rsid w:val="00D0491D"/>
    <w:rsid w:val="00D10691"/>
    <w:rsid w:val="00D21072"/>
    <w:rsid w:val="00D21703"/>
    <w:rsid w:val="00D22B25"/>
    <w:rsid w:val="00D25485"/>
    <w:rsid w:val="00D2591B"/>
    <w:rsid w:val="00D32C4D"/>
    <w:rsid w:val="00D4274F"/>
    <w:rsid w:val="00D43372"/>
    <w:rsid w:val="00D45E63"/>
    <w:rsid w:val="00D467E2"/>
    <w:rsid w:val="00D5120A"/>
    <w:rsid w:val="00D53535"/>
    <w:rsid w:val="00D61469"/>
    <w:rsid w:val="00D6514E"/>
    <w:rsid w:val="00D67168"/>
    <w:rsid w:val="00D67930"/>
    <w:rsid w:val="00D74090"/>
    <w:rsid w:val="00D818CD"/>
    <w:rsid w:val="00D82808"/>
    <w:rsid w:val="00D83E5A"/>
    <w:rsid w:val="00D84E1C"/>
    <w:rsid w:val="00D91E48"/>
    <w:rsid w:val="00D92601"/>
    <w:rsid w:val="00D9420E"/>
    <w:rsid w:val="00D96B94"/>
    <w:rsid w:val="00DA2ACD"/>
    <w:rsid w:val="00DA39B5"/>
    <w:rsid w:val="00DA41EC"/>
    <w:rsid w:val="00DB05C3"/>
    <w:rsid w:val="00DB19D5"/>
    <w:rsid w:val="00DB2685"/>
    <w:rsid w:val="00DB4FA0"/>
    <w:rsid w:val="00DB591B"/>
    <w:rsid w:val="00DB74A7"/>
    <w:rsid w:val="00DC0D53"/>
    <w:rsid w:val="00DC399C"/>
    <w:rsid w:val="00DC5CB8"/>
    <w:rsid w:val="00DD0056"/>
    <w:rsid w:val="00DD2C5F"/>
    <w:rsid w:val="00DD46B8"/>
    <w:rsid w:val="00DD4F2D"/>
    <w:rsid w:val="00DE02B8"/>
    <w:rsid w:val="00DE1CF7"/>
    <w:rsid w:val="00DE1E92"/>
    <w:rsid w:val="00DE2266"/>
    <w:rsid w:val="00DF7DAC"/>
    <w:rsid w:val="00E01C20"/>
    <w:rsid w:val="00E065FD"/>
    <w:rsid w:val="00E148D3"/>
    <w:rsid w:val="00E17ADC"/>
    <w:rsid w:val="00E247A9"/>
    <w:rsid w:val="00E2576C"/>
    <w:rsid w:val="00E26BCE"/>
    <w:rsid w:val="00E2757A"/>
    <w:rsid w:val="00E27EED"/>
    <w:rsid w:val="00E32F6A"/>
    <w:rsid w:val="00E3362F"/>
    <w:rsid w:val="00E33DF8"/>
    <w:rsid w:val="00E44791"/>
    <w:rsid w:val="00E47608"/>
    <w:rsid w:val="00E558A8"/>
    <w:rsid w:val="00E605AF"/>
    <w:rsid w:val="00E61A71"/>
    <w:rsid w:val="00E6379A"/>
    <w:rsid w:val="00E672DE"/>
    <w:rsid w:val="00E81A16"/>
    <w:rsid w:val="00E81C76"/>
    <w:rsid w:val="00E84B45"/>
    <w:rsid w:val="00E85BBE"/>
    <w:rsid w:val="00E8742D"/>
    <w:rsid w:val="00E91AEA"/>
    <w:rsid w:val="00E94269"/>
    <w:rsid w:val="00EA0715"/>
    <w:rsid w:val="00EA1D13"/>
    <w:rsid w:val="00EA71D8"/>
    <w:rsid w:val="00EB0DA5"/>
    <w:rsid w:val="00EB64EF"/>
    <w:rsid w:val="00EB77C1"/>
    <w:rsid w:val="00EC2980"/>
    <w:rsid w:val="00EC5CCC"/>
    <w:rsid w:val="00EC73A9"/>
    <w:rsid w:val="00EC7790"/>
    <w:rsid w:val="00ED00B5"/>
    <w:rsid w:val="00ED25FD"/>
    <w:rsid w:val="00EE3B06"/>
    <w:rsid w:val="00F00CCB"/>
    <w:rsid w:val="00F013FF"/>
    <w:rsid w:val="00F01B5C"/>
    <w:rsid w:val="00F03C59"/>
    <w:rsid w:val="00F04751"/>
    <w:rsid w:val="00F20DCC"/>
    <w:rsid w:val="00F2456F"/>
    <w:rsid w:val="00F25561"/>
    <w:rsid w:val="00F2621D"/>
    <w:rsid w:val="00F264F6"/>
    <w:rsid w:val="00F26FE4"/>
    <w:rsid w:val="00F306B1"/>
    <w:rsid w:val="00F32C60"/>
    <w:rsid w:val="00F32FA6"/>
    <w:rsid w:val="00F33720"/>
    <w:rsid w:val="00F33754"/>
    <w:rsid w:val="00F37376"/>
    <w:rsid w:val="00F412E0"/>
    <w:rsid w:val="00F43E71"/>
    <w:rsid w:val="00F4431C"/>
    <w:rsid w:val="00F44F00"/>
    <w:rsid w:val="00F47852"/>
    <w:rsid w:val="00F506B6"/>
    <w:rsid w:val="00F52DC8"/>
    <w:rsid w:val="00F562BE"/>
    <w:rsid w:val="00F5750E"/>
    <w:rsid w:val="00F60747"/>
    <w:rsid w:val="00F616AC"/>
    <w:rsid w:val="00F82EBE"/>
    <w:rsid w:val="00F8638B"/>
    <w:rsid w:val="00F9137F"/>
    <w:rsid w:val="00F91F0C"/>
    <w:rsid w:val="00F94D70"/>
    <w:rsid w:val="00F96220"/>
    <w:rsid w:val="00FA45FD"/>
    <w:rsid w:val="00FB45BD"/>
    <w:rsid w:val="00FC062A"/>
    <w:rsid w:val="00FC0686"/>
    <w:rsid w:val="00FD4E12"/>
    <w:rsid w:val="00FD6D51"/>
    <w:rsid w:val="00FE0C67"/>
    <w:rsid w:val="00FE23D2"/>
    <w:rsid w:val="00FE63E2"/>
    <w:rsid w:val="00FE7464"/>
    <w:rsid w:val="00FE7D23"/>
    <w:rsid w:val="00FF2CEA"/>
    <w:rsid w:val="00FF7543"/>
    <w:rsid w:val="019A471D"/>
    <w:rsid w:val="020C548D"/>
    <w:rsid w:val="040F4793"/>
    <w:rsid w:val="051181F9"/>
    <w:rsid w:val="054ACCBC"/>
    <w:rsid w:val="057A091A"/>
    <w:rsid w:val="06317825"/>
    <w:rsid w:val="067A9439"/>
    <w:rsid w:val="06A6B35F"/>
    <w:rsid w:val="0870F716"/>
    <w:rsid w:val="09A4F45B"/>
    <w:rsid w:val="0A16B5FB"/>
    <w:rsid w:val="0AFDBABC"/>
    <w:rsid w:val="0B32199B"/>
    <w:rsid w:val="0C159CDB"/>
    <w:rsid w:val="0C933025"/>
    <w:rsid w:val="0D38BB30"/>
    <w:rsid w:val="0E915B0A"/>
    <w:rsid w:val="0F4FCE4E"/>
    <w:rsid w:val="0F649F92"/>
    <w:rsid w:val="0F6C5A47"/>
    <w:rsid w:val="11D4B195"/>
    <w:rsid w:val="11E91572"/>
    <w:rsid w:val="12CF373B"/>
    <w:rsid w:val="12E79EE5"/>
    <w:rsid w:val="13080EA2"/>
    <w:rsid w:val="13142807"/>
    <w:rsid w:val="14C6C3F0"/>
    <w:rsid w:val="154BEC71"/>
    <w:rsid w:val="1584C9CD"/>
    <w:rsid w:val="17229B2C"/>
    <w:rsid w:val="186AFC4E"/>
    <w:rsid w:val="18A73C69"/>
    <w:rsid w:val="197DDBEB"/>
    <w:rsid w:val="19AAA69C"/>
    <w:rsid w:val="19FFDC43"/>
    <w:rsid w:val="1A0C5C55"/>
    <w:rsid w:val="1AC37EF6"/>
    <w:rsid w:val="1ADADB80"/>
    <w:rsid w:val="1BC1B9BA"/>
    <w:rsid w:val="1C98266B"/>
    <w:rsid w:val="1C9CB8F7"/>
    <w:rsid w:val="1ED38037"/>
    <w:rsid w:val="1FAEB245"/>
    <w:rsid w:val="202073E5"/>
    <w:rsid w:val="20BA6DAA"/>
    <w:rsid w:val="20D72C74"/>
    <w:rsid w:val="2160E781"/>
    <w:rsid w:val="22380FAD"/>
    <w:rsid w:val="24CF6A80"/>
    <w:rsid w:val="24EC5D24"/>
    <w:rsid w:val="26042B34"/>
    <w:rsid w:val="262CD0C0"/>
    <w:rsid w:val="26BB85A1"/>
    <w:rsid w:val="2754B472"/>
    <w:rsid w:val="28701812"/>
    <w:rsid w:val="28B038DF"/>
    <w:rsid w:val="28D0FAC2"/>
    <w:rsid w:val="290A11D7"/>
    <w:rsid w:val="2A01E01B"/>
    <w:rsid w:val="2A9279D6"/>
    <w:rsid w:val="2B8EF51E"/>
    <w:rsid w:val="2BC30D1D"/>
    <w:rsid w:val="2C75A087"/>
    <w:rsid w:val="2DDA8DA2"/>
    <w:rsid w:val="2E6CC58B"/>
    <w:rsid w:val="2F062FFA"/>
    <w:rsid w:val="3098A341"/>
    <w:rsid w:val="30E3D705"/>
    <w:rsid w:val="3109F0FF"/>
    <w:rsid w:val="31EFF123"/>
    <w:rsid w:val="32B54F09"/>
    <w:rsid w:val="32C335AB"/>
    <w:rsid w:val="3303673D"/>
    <w:rsid w:val="334A56E2"/>
    <w:rsid w:val="35B8702F"/>
    <w:rsid w:val="35C0C161"/>
    <w:rsid w:val="394C3704"/>
    <w:rsid w:val="39B5C896"/>
    <w:rsid w:val="3AEEE903"/>
    <w:rsid w:val="3C9FFF18"/>
    <w:rsid w:val="3D5E725C"/>
    <w:rsid w:val="3F4D1A84"/>
    <w:rsid w:val="4375F7B8"/>
    <w:rsid w:val="43E44B8C"/>
    <w:rsid w:val="43FC44F9"/>
    <w:rsid w:val="45E65A95"/>
    <w:rsid w:val="45EB1FF2"/>
    <w:rsid w:val="465DFBDA"/>
    <w:rsid w:val="46649C47"/>
    <w:rsid w:val="47137C18"/>
    <w:rsid w:val="4986A17C"/>
    <w:rsid w:val="4BC22E19"/>
    <w:rsid w:val="4BEEF8CA"/>
    <w:rsid w:val="4C2310C9"/>
    <w:rsid w:val="4CDA6990"/>
    <w:rsid w:val="4D3B4C40"/>
    <w:rsid w:val="4D8C5CC2"/>
    <w:rsid w:val="4DB31922"/>
    <w:rsid w:val="4E069492"/>
    <w:rsid w:val="4F97564D"/>
    <w:rsid w:val="4FB51DAF"/>
    <w:rsid w:val="4FC7B68E"/>
    <w:rsid w:val="5199D2BD"/>
    <w:rsid w:val="53783C2D"/>
    <w:rsid w:val="5463E8F9"/>
    <w:rsid w:val="553A19A4"/>
    <w:rsid w:val="5556D86E"/>
    <w:rsid w:val="55970A00"/>
    <w:rsid w:val="55F0E600"/>
    <w:rsid w:val="56106579"/>
    <w:rsid w:val="568A357B"/>
    <w:rsid w:val="56F3223B"/>
    <w:rsid w:val="5770E0E4"/>
    <w:rsid w:val="57D263CC"/>
    <w:rsid w:val="57EF2296"/>
    <w:rsid w:val="591047B2"/>
    <w:rsid w:val="5969B714"/>
    <w:rsid w:val="59AC3AB0"/>
    <w:rsid w:val="5A0DF069"/>
    <w:rsid w:val="5A16419B"/>
    <w:rsid w:val="5AA7EA2E"/>
    <w:rsid w:val="5B4395EC"/>
    <w:rsid w:val="5B93E39E"/>
    <w:rsid w:val="5BF0187F"/>
    <w:rsid w:val="5D0853F6"/>
    <w:rsid w:val="5D55059A"/>
    <w:rsid w:val="5E6CB4E9"/>
    <w:rsid w:val="602207F9"/>
    <w:rsid w:val="616A364A"/>
    <w:rsid w:val="61BF6BF1"/>
    <w:rsid w:val="628A5F47"/>
    <w:rsid w:val="6292B079"/>
    <w:rsid w:val="639DD561"/>
    <w:rsid w:val="63D28D98"/>
    <w:rsid w:val="64B17E4C"/>
    <w:rsid w:val="6577AC45"/>
    <w:rsid w:val="6652DE53"/>
    <w:rsid w:val="66C49FF3"/>
    <w:rsid w:val="67528025"/>
    <w:rsid w:val="676B19CA"/>
    <w:rsid w:val="69B6B24E"/>
    <w:rsid w:val="6AB5A981"/>
    <w:rsid w:val="6AFEE09F"/>
    <w:rsid w:val="6B5BD0FB"/>
    <w:rsid w:val="6C024AD2"/>
    <w:rsid w:val="6CD8B783"/>
    <w:rsid w:val="6DDC21B6"/>
    <w:rsid w:val="6DF8E080"/>
    <w:rsid w:val="6E391212"/>
    <w:rsid w:val="6E5D543C"/>
    <w:rsid w:val="6E96FF6A"/>
    <w:rsid w:val="6F0C569A"/>
    <w:rsid w:val="6F144420"/>
    <w:rsid w:val="6FB5F89A"/>
    <w:rsid w:val="708D6247"/>
    <w:rsid w:val="7158AA99"/>
    <w:rsid w:val="72A05040"/>
    <w:rsid w:val="73A75A2E"/>
    <w:rsid w:val="748FA1D5"/>
    <w:rsid w:val="74DFCF31"/>
    <w:rsid w:val="7568761C"/>
    <w:rsid w:val="759A1D50"/>
    <w:rsid w:val="75FBD309"/>
    <w:rsid w:val="76589094"/>
    <w:rsid w:val="76ADC63B"/>
    <w:rsid w:val="76EA3927"/>
    <w:rsid w:val="794AA2EF"/>
    <w:rsid w:val="79ABB870"/>
    <w:rsid w:val="7B2479D3"/>
    <w:rsid w:val="7B41389D"/>
    <w:rsid w:val="7BB4D472"/>
    <w:rsid w:val="7C202951"/>
    <w:rsid w:val="7C3822BE"/>
    <w:rsid w:val="7C54E188"/>
    <w:rsid w:val="7C71001A"/>
    <w:rsid w:val="7C9DCACB"/>
    <w:rsid w:val="7CA6E0C3"/>
    <w:rsid w:val="7CFE50B7"/>
    <w:rsid w:val="7D0275DC"/>
    <w:rsid w:val="7D4444A2"/>
    <w:rsid w:val="7D9A42F1"/>
    <w:rsid w:val="7E6BC1D5"/>
    <w:rsid w:val="7EDF893D"/>
    <w:rsid w:val="7EE5F9A5"/>
    <w:rsid w:val="7F422E86"/>
    <w:rsid w:val="7F7B0BE2"/>
    <w:rsid w:val="7F8BB801"/>
    <w:rsid w:val="7FC002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F0E27"/>
  <w15:chartTrackingRefBased/>
  <w15:docId w15:val="{3133287D-1380-400C-AF15-23FD36853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3E71"/>
    <w:pPr>
      <w:spacing w:after="0" w:line="240" w:lineRule="auto"/>
    </w:pPr>
    <w:rPr>
      <w:rFonts w:ascii="Times New Roman" w:eastAsia="Calibri" w:hAnsi="Times New Roman" w:cs="Times New Roman"/>
      <w:sz w:val="24"/>
    </w:rPr>
  </w:style>
  <w:style w:type="paragraph" w:styleId="Heading3">
    <w:name w:val="heading 3"/>
    <w:basedOn w:val="Normal"/>
    <w:link w:val="Heading3Char"/>
    <w:uiPriority w:val="9"/>
    <w:qFormat/>
    <w:rsid w:val="00F43E71"/>
    <w:pPr>
      <w:spacing w:before="100" w:beforeAutospacing="1" w:after="100" w:afterAutospacing="1"/>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43E71"/>
    <w:rPr>
      <w:rFonts w:ascii="Times New Roman" w:eastAsia="Times New Roman" w:hAnsi="Times New Roman" w:cs="Times New Roman"/>
      <w:b/>
      <w:bCs/>
      <w:sz w:val="27"/>
      <w:szCs w:val="27"/>
    </w:rPr>
  </w:style>
  <w:style w:type="paragraph" w:styleId="BalloonText">
    <w:name w:val="Balloon Text"/>
    <w:basedOn w:val="Normal"/>
    <w:link w:val="BalloonTextChar"/>
    <w:uiPriority w:val="99"/>
    <w:semiHidden/>
    <w:unhideWhenUsed/>
    <w:rsid w:val="00F43E71"/>
    <w:rPr>
      <w:rFonts w:ascii="Tahoma" w:hAnsi="Tahoma"/>
      <w:sz w:val="16"/>
      <w:szCs w:val="16"/>
    </w:rPr>
  </w:style>
  <w:style w:type="character" w:customStyle="1" w:styleId="BalloonTextChar">
    <w:name w:val="Balloon Text Char"/>
    <w:basedOn w:val="DefaultParagraphFont"/>
    <w:link w:val="BalloonText"/>
    <w:uiPriority w:val="99"/>
    <w:semiHidden/>
    <w:rsid w:val="00F43E71"/>
    <w:rPr>
      <w:rFonts w:ascii="Tahoma" w:eastAsia="Calibri" w:hAnsi="Tahoma" w:cs="Times New Roman"/>
      <w:sz w:val="16"/>
      <w:szCs w:val="16"/>
    </w:rPr>
  </w:style>
  <w:style w:type="paragraph" w:styleId="FootnoteText">
    <w:name w:val="footnote text"/>
    <w:basedOn w:val="Normal"/>
    <w:link w:val="FootnoteTextChar"/>
    <w:uiPriority w:val="99"/>
    <w:semiHidden/>
    <w:unhideWhenUsed/>
    <w:rsid w:val="00F43E71"/>
    <w:rPr>
      <w:sz w:val="20"/>
      <w:szCs w:val="20"/>
    </w:rPr>
  </w:style>
  <w:style w:type="character" w:customStyle="1" w:styleId="FootnoteTextChar">
    <w:name w:val="Footnote Text Char"/>
    <w:basedOn w:val="DefaultParagraphFont"/>
    <w:link w:val="FootnoteText"/>
    <w:uiPriority w:val="99"/>
    <w:semiHidden/>
    <w:rsid w:val="00F43E71"/>
    <w:rPr>
      <w:rFonts w:ascii="Times New Roman" w:eastAsia="Calibri" w:hAnsi="Times New Roman" w:cs="Times New Roman"/>
      <w:sz w:val="20"/>
      <w:szCs w:val="20"/>
    </w:rPr>
  </w:style>
  <w:style w:type="character" w:styleId="FootnoteReference">
    <w:name w:val="footnote reference"/>
    <w:uiPriority w:val="99"/>
    <w:semiHidden/>
    <w:unhideWhenUsed/>
    <w:rsid w:val="00F43E71"/>
    <w:rPr>
      <w:vertAlign w:val="superscript"/>
    </w:rPr>
  </w:style>
  <w:style w:type="paragraph" w:styleId="Header">
    <w:name w:val="header"/>
    <w:basedOn w:val="Normal"/>
    <w:link w:val="HeaderChar"/>
    <w:uiPriority w:val="99"/>
    <w:unhideWhenUsed/>
    <w:rsid w:val="00F43E71"/>
    <w:pPr>
      <w:tabs>
        <w:tab w:val="center" w:pos="4680"/>
        <w:tab w:val="right" w:pos="9360"/>
      </w:tabs>
    </w:pPr>
    <w:rPr>
      <w:rFonts w:ascii="Calibri" w:hAnsi="Calibri"/>
      <w:sz w:val="22"/>
    </w:rPr>
  </w:style>
  <w:style w:type="character" w:customStyle="1" w:styleId="HeaderChar">
    <w:name w:val="Header Char"/>
    <w:basedOn w:val="DefaultParagraphFont"/>
    <w:link w:val="Header"/>
    <w:uiPriority w:val="99"/>
    <w:rsid w:val="00F43E71"/>
    <w:rPr>
      <w:rFonts w:ascii="Calibri" w:eastAsia="Calibri" w:hAnsi="Calibri" w:cs="Times New Roman"/>
    </w:rPr>
  </w:style>
  <w:style w:type="paragraph" w:styleId="Footer">
    <w:name w:val="footer"/>
    <w:basedOn w:val="Normal"/>
    <w:link w:val="FooterChar"/>
    <w:uiPriority w:val="99"/>
    <w:unhideWhenUsed/>
    <w:rsid w:val="00F43E71"/>
    <w:pPr>
      <w:tabs>
        <w:tab w:val="center" w:pos="4680"/>
        <w:tab w:val="right" w:pos="9360"/>
      </w:tabs>
    </w:pPr>
    <w:rPr>
      <w:rFonts w:ascii="Calibri" w:hAnsi="Calibri"/>
      <w:sz w:val="22"/>
    </w:rPr>
  </w:style>
  <w:style w:type="character" w:customStyle="1" w:styleId="FooterChar">
    <w:name w:val="Footer Char"/>
    <w:basedOn w:val="DefaultParagraphFont"/>
    <w:link w:val="Footer"/>
    <w:uiPriority w:val="99"/>
    <w:rsid w:val="00F43E71"/>
    <w:rPr>
      <w:rFonts w:ascii="Calibri" w:eastAsia="Calibri" w:hAnsi="Calibri" w:cs="Times New Roman"/>
    </w:rPr>
  </w:style>
  <w:style w:type="character" w:styleId="CommentReference">
    <w:name w:val="annotation reference"/>
    <w:uiPriority w:val="99"/>
    <w:semiHidden/>
    <w:unhideWhenUsed/>
    <w:rsid w:val="00F43E71"/>
    <w:rPr>
      <w:sz w:val="16"/>
      <w:szCs w:val="16"/>
    </w:rPr>
  </w:style>
  <w:style w:type="paragraph" w:styleId="CommentText">
    <w:name w:val="annotation text"/>
    <w:basedOn w:val="Normal"/>
    <w:link w:val="CommentTextChar"/>
    <w:uiPriority w:val="99"/>
    <w:unhideWhenUsed/>
    <w:rsid w:val="00F43E71"/>
    <w:rPr>
      <w:sz w:val="20"/>
      <w:szCs w:val="20"/>
    </w:rPr>
  </w:style>
  <w:style w:type="character" w:customStyle="1" w:styleId="CommentTextChar">
    <w:name w:val="Comment Text Char"/>
    <w:basedOn w:val="DefaultParagraphFont"/>
    <w:link w:val="CommentText"/>
    <w:uiPriority w:val="99"/>
    <w:rsid w:val="00F43E71"/>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43E71"/>
    <w:rPr>
      <w:b/>
      <w:bCs/>
    </w:rPr>
  </w:style>
  <w:style w:type="character" w:customStyle="1" w:styleId="CommentSubjectChar">
    <w:name w:val="Comment Subject Char"/>
    <w:basedOn w:val="CommentTextChar"/>
    <w:link w:val="CommentSubject"/>
    <w:uiPriority w:val="99"/>
    <w:semiHidden/>
    <w:rsid w:val="00F43E71"/>
    <w:rPr>
      <w:rFonts w:ascii="Times New Roman" w:eastAsia="Calibri" w:hAnsi="Times New Roman" w:cs="Times New Roman"/>
      <w:b/>
      <w:bCs/>
      <w:sz w:val="20"/>
      <w:szCs w:val="20"/>
    </w:rPr>
  </w:style>
  <w:style w:type="paragraph" w:styleId="Revision">
    <w:name w:val="Revision"/>
    <w:hidden/>
    <w:uiPriority w:val="99"/>
    <w:semiHidden/>
    <w:rsid w:val="00F43E71"/>
    <w:pPr>
      <w:spacing w:after="0" w:line="240" w:lineRule="auto"/>
    </w:pPr>
    <w:rPr>
      <w:rFonts w:ascii="Calibri" w:eastAsia="Calibri" w:hAnsi="Calibri" w:cs="Times New Roman"/>
    </w:rPr>
  </w:style>
  <w:style w:type="character" w:styleId="Hyperlink">
    <w:name w:val="Hyperlink"/>
    <w:unhideWhenUsed/>
    <w:rsid w:val="00F43E71"/>
    <w:rPr>
      <w:color w:val="0000FF"/>
      <w:u w:val="single"/>
    </w:rPr>
  </w:style>
  <w:style w:type="table" w:styleId="TableGrid">
    <w:name w:val="Table Grid"/>
    <w:basedOn w:val="TableNormal"/>
    <w:rsid w:val="00F43E7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F43E71"/>
    <w:rPr>
      <w:color w:val="800080"/>
      <w:u w:val="single"/>
    </w:rPr>
  </w:style>
  <w:style w:type="character" w:styleId="PageNumber">
    <w:name w:val="page number"/>
    <w:basedOn w:val="DefaultParagraphFont"/>
    <w:rsid w:val="00F43E71"/>
  </w:style>
  <w:style w:type="paragraph" w:styleId="ListParagraph">
    <w:name w:val="List Paragraph"/>
    <w:basedOn w:val="Normal"/>
    <w:uiPriority w:val="34"/>
    <w:qFormat/>
    <w:rsid w:val="00F43E71"/>
    <w:pPr>
      <w:ind w:left="720"/>
      <w:contextualSpacing/>
    </w:pPr>
  </w:style>
  <w:style w:type="paragraph" w:customStyle="1" w:styleId="Level1">
    <w:name w:val="Level 1"/>
    <w:rsid w:val="00F43E71"/>
    <w:pPr>
      <w:widowControl w:val="0"/>
      <w:autoSpaceDE w:val="0"/>
      <w:autoSpaceDN w:val="0"/>
      <w:adjustRightInd w:val="0"/>
      <w:spacing w:after="0" w:line="240" w:lineRule="auto"/>
      <w:ind w:left="720"/>
      <w:jc w:val="both"/>
    </w:pPr>
    <w:rPr>
      <w:rFonts w:ascii="Times New Roman" w:eastAsia="Times New Roman" w:hAnsi="Times New Roman" w:cs="Times New Roman"/>
      <w:sz w:val="24"/>
      <w:szCs w:val="24"/>
    </w:rPr>
  </w:style>
  <w:style w:type="character" w:customStyle="1" w:styleId="normaltextrun">
    <w:name w:val="normaltextrun"/>
    <w:basedOn w:val="DefaultParagraphFont"/>
    <w:rsid w:val="00F43E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3156526">
      <w:bodyDiv w:val="1"/>
      <w:marLeft w:val="0"/>
      <w:marRight w:val="0"/>
      <w:marTop w:val="0"/>
      <w:marBottom w:val="0"/>
      <w:divBdr>
        <w:top w:val="none" w:sz="0" w:space="0" w:color="auto"/>
        <w:left w:val="none" w:sz="0" w:space="0" w:color="auto"/>
        <w:bottom w:val="none" w:sz="0" w:space="0" w:color="auto"/>
        <w:right w:val="none" w:sz="0" w:space="0" w:color="auto"/>
      </w:divBdr>
      <w:divsChild>
        <w:div w:id="1141075826">
          <w:marLeft w:val="0"/>
          <w:marRight w:val="0"/>
          <w:marTop w:val="0"/>
          <w:marBottom w:val="0"/>
          <w:divBdr>
            <w:top w:val="none" w:sz="0" w:space="0" w:color="auto"/>
            <w:left w:val="none" w:sz="0" w:space="0" w:color="auto"/>
            <w:bottom w:val="none" w:sz="0" w:space="0" w:color="auto"/>
            <w:right w:val="none" w:sz="0" w:space="0" w:color="auto"/>
          </w:divBdr>
        </w:div>
      </w:divsChild>
    </w:div>
    <w:div w:id="818956431">
      <w:bodyDiv w:val="1"/>
      <w:marLeft w:val="0"/>
      <w:marRight w:val="0"/>
      <w:marTop w:val="0"/>
      <w:marBottom w:val="0"/>
      <w:divBdr>
        <w:top w:val="none" w:sz="0" w:space="0" w:color="auto"/>
        <w:left w:val="none" w:sz="0" w:space="0" w:color="auto"/>
        <w:bottom w:val="none" w:sz="0" w:space="0" w:color="auto"/>
        <w:right w:val="none" w:sz="0" w:space="0" w:color="auto"/>
      </w:divBdr>
      <w:divsChild>
        <w:div w:id="140926120">
          <w:marLeft w:val="0"/>
          <w:marRight w:val="0"/>
          <w:marTop w:val="0"/>
          <w:marBottom w:val="0"/>
          <w:divBdr>
            <w:top w:val="none" w:sz="0" w:space="0" w:color="auto"/>
            <w:left w:val="none" w:sz="0" w:space="0" w:color="auto"/>
            <w:bottom w:val="none" w:sz="0" w:space="0" w:color="auto"/>
            <w:right w:val="none" w:sz="0" w:space="0" w:color="auto"/>
          </w:divBdr>
        </w:div>
      </w:divsChild>
    </w:div>
    <w:div w:id="1366250096">
      <w:bodyDiv w:val="1"/>
      <w:marLeft w:val="0"/>
      <w:marRight w:val="0"/>
      <w:marTop w:val="0"/>
      <w:marBottom w:val="0"/>
      <w:divBdr>
        <w:top w:val="none" w:sz="0" w:space="0" w:color="auto"/>
        <w:left w:val="none" w:sz="0" w:space="0" w:color="auto"/>
        <w:bottom w:val="none" w:sz="0" w:space="0" w:color="auto"/>
        <w:right w:val="none" w:sz="0" w:space="0" w:color="auto"/>
      </w:divBdr>
      <w:divsChild>
        <w:div w:id="1605765543">
          <w:marLeft w:val="0"/>
          <w:marRight w:val="0"/>
          <w:marTop w:val="0"/>
          <w:marBottom w:val="0"/>
          <w:divBdr>
            <w:top w:val="none" w:sz="0" w:space="0" w:color="auto"/>
            <w:left w:val="none" w:sz="0" w:space="0" w:color="auto"/>
            <w:bottom w:val="none" w:sz="0" w:space="0" w:color="auto"/>
            <w:right w:val="none" w:sz="0" w:space="0" w:color="auto"/>
          </w:divBdr>
        </w:div>
      </w:divsChild>
    </w:div>
    <w:div w:id="1593781758">
      <w:bodyDiv w:val="1"/>
      <w:marLeft w:val="0"/>
      <w:marRight w:val="0"/>
      <w:marTop w:val="0"/>
      <w:marBottom w:val="0"/>
      <w:divBdr>
        <w:top w:val="none" w:sz="0" w:space="0" w:color="auto"/>
        <w:left w:val="none" w:sz="0" w:space="0" w:color="auto"/>
        <w:bottom w:val="none" w:sz="0" w:space="0" w:color="auto"/>
        <w:right w:val="none" w:sz="0" w:space="0" w:color="auto"/>
      </w:divBdr>
    </w:div>
    <w:div w:id="1632442138">
      <w:bodyDiv w:val="1"/>
      <w:marLeft w:val="0"/>
      <w:marRight w:val="0"/>
      <w:marTop w:val="0"/>
      <w:marBottom w:val="0"/>
      <w:divBdr>
        <w:top w:val="none" w:sz="0" w:space="0" w:color="auto"/>
        <w:left w:val="none" w:sz="0" w:space="0" w:color="auto"/>
        <w:bottom w:val="none" w:sz="0" w:space="0" w:color="auto"/>
        <w:right w:val="none" w:sz="0" w:space="0" w:color="auto"/>
      </w:divBdr>
      <w:divsChild>
        <w:div w:id="7028301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web/eci/echistrynaics.pdf"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3F261F9C2EFB24ABA35C5C2B7BA91EB" ma:contentTypeVersion="17" ma:contentTypeDescription="Create a new document." ma:contentTypeScope="" ma:versionID="ec5da4de15f13ec5821c7ebc9bdb8a3d">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905a4662-6dfc-440e-98fd-642ec5771328" xmlns:ns6="7d8dd676-26ca-4e08-b90f-b4e0026a58ac" targetNamespace="http://schemas.microsoft.com/office/2006/metadata/properties" ma:root="true" ma:fieldsID="3f9d09911b1ec609edf1e35068be7ffd" ns1:_="" ns2:_="" ns3:_="" ns4:_="" ns5:_="" ns6:_="">
    <xsd:import namespace="http://schemas.microsoft.com/sharepoint/v3"/>
    <xsd:import namespace="4ffa91fb-a0ff-4ac5-b2db-65c790d184a4"/>
    <xsd:import namespace="http://schemas.microsoft.com/sharepoint.v3"/>
    <xsd:import namespace="http://schemas.microsoft.com/sharepoint/v3/fields"/>
    <xsd:import namespace="905a4662-6dfc-440e-98fd-642ec5771328"/>
    <xsd:import namespace="7d8dd676-26ca-4e08-b90f-b4e0026a58ac"/>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MediaServiceMetadata" minOccurs="0"/>
                <xsd:element ref="ns5:MediaServiceFastMetadata" minOccurs="0"/>
                <xsd:element ref="ns6:SharedWithUsers" minOccurs="0"/>
                <xsd:element ref="ns6:SharedWithDetails" minOccurs="0"/>
                <xsd:element ref="ns5:MediaServiceEventHashCode" minOccurs="0"/>
                <xsd:element ref="ns5:MediaServiceGenerationTime" minOccurs="0"/>
                <xsd:element ref="ns5:MediaServiceAutoTags" minOccurs="0"/>
                <xsd:element ref="ns5:MediaServiceOCR" minOccurs="0"/>
                <xsd:element ref="ns5:MediaServiceDateTaken" minOccurs="0"/>
                <xsd:element ref="ns1:_ip_UnifiedCompliancePolicyProperties" minOccurs="0"/>
                <xsd:element ref="ns1:_ip_UnifiedCompliancePolicyUIAction" minOccurs="0"/>
                <xsd:element ref="ns5:MediaServiceLocatio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8" nillable="true" ma:displayName="Unified Compliance Policy Properties" ma:hidden="true" ma:internalName="_ip_UnifiedCompliancePolicyProperties">
      <xsd:simpleType>
        <xsd:restriction base="dms:Note"/>
      </xsd:simpleType>
    </xsd:element>
    <xsd:element name="_ip_UnifiedCompliancePolicyUIAction" ma:index="3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description="" ma:hidden="true" ma:list="{aec54597-794d-48fd-aaaa-4eaa50f4ff1d}" ma:internalName="TaxCatchAllLabel" ma:readOnly="true" ma:showField="CatchAllDataLabel" ma:web="7d8dd676-26ca-4e08-b90f-b4e0026a58ac">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description="" ma:hidden="true" ma:list="{aec54597-794d-48fd-aaaa-4eaa50f4ff1d}" ma:internalName="TaxCatchAll" ma:showField="CatchAllData" ma:web="7d8dd676-26ca-4e08-b90f-b4e0026a58ac">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5a4662-6dfc-440e-98fd-642ec5771328"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AutoTags" ma:index="35" nillable="true" ma:displayName="Tags" ma:internalName="MediaServiceAutoTags"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element name="MediaServiceDateTaken" ma:index="37" nillable="true" ma:displayName="MediaServiceDateTaken" ma:hidden="true" ma:internalName="MediaServiceDateTaken" ma:readOnly="true">
      <xsd:simpleType>
        <xsd:restriction base="dms:Text"/>
      </xsd:simpleType>
    </xsd:element>
    <xsd:element name="MediaServiceLocation" ma:index="40" nillable="true" ma:displayName="Location" ma:internalName="MediaServiceLocation" ma:readOnly="true">
      <xsd:simpleType>
        <xsd:restriction base="dms:Text"/>
      </xsd:simpleType>
    </xsd:element>
    <xsd:element name="MediaLengthInSeconds" ma:index="4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d8dd676-26ca-4e08-b90f-b4e0026a58ac"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29f62856-1543-49d4-a736-4569d363f533"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_ip_UnifiedCompliancePolicyUIAction xmlns="http://schemas.microsoft.com/sharepoint/v3" xsi:nil="true"/>
    <j747ac98061d40f0aa7bd47e1db5675d xmlns="4ffa91fb-a0ff-4ac5-b2db-65c790d184a4">
      <Terms xmlns="http://schemas.microsoft.com/office/infopath/2007/PartnerControls"/>
    </j747ac98061d40f0aa7bd47e1db5675d>
    <e3f09c3df709400db2417a7161762d62 xmlns="4ffa91fb-a0ff-4ac5-b2db-65c790d184a4">
      <Terms xmlns="http://schemas.microsoft.com/office/infopath/2007/PartnerControls"/>
    </e3f09c3df709400db2417a7161762d62>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_ip_UnifiedCompliancePolicyProperties xmlns="http://schemas.microsoft.com/sharepoint/v3" xsi:nil="true"/>
    <Rights xmlns="4ffa91fb-a0ff-4ac5-b2db-65c790d184a4" xsi:nil="true"/>
    <Document_x0020_Creation_x0020_Date xmlns="4ffa91fb-a0ff-4ac5-b2db-65c790d184a4">2021-12-06T14:27:51+00:00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SharedWithUsers xmlns="7d8dd676-26ca-4e08-b90f-b4e0026a58ac">
      <UserInfo>
        <DisplayName>Worley, Christopher</DisplayName>
        <AccountId>11527</AccountId>
        <AccountType/>
      </UserInfo>
      <UserInfo>
        <DisplayName>Lifland, David</DisplayName>
        <AccountId>769</AccountId>
        <AccountType/>
      </UserInfo>
      <UserInfo>
        <DisplayName>Kuhns, Jason</DisplayName>
        <AccountId>3506</AccountId>
        <AccountType/>
      </UserInfo>
    </SharedWithUsers>
  </documentManagement>
</p:properties>
</file>

<file path=customXml/itemProps1.xml><?xml version="1.0" encoding="utf-8"?>
<ds:datastoreItem xmlns:ds="http://schemas.openxmlformats.org/officeDocument/2006/customXml" ds:itemID="{BC458BFA-215F-492C-A852-A1084C782A5E}">
  <ds:schemaRefs>
    <ds:schemaRef ds:uri="http://schemas.microsoft.com/sharepoint/v3/contenttype/forms"/>
  </ds:schemaRefs>
</ds:datastoreItem>
</file>

<file path=customXml/itemProps2.xml><?xml version="1.0" encoding="utf-8"?>
<ds:datastoreItem xmlns:ds="http://schemas.openxmlformats.org/officeDocument/2006/customXml" ds:itemID="{AEE68B6D-AB4D-4D82-A426-56EEBA577F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905a4662-6dfc-440e-98fd-642ec5771328"/>
    <ds:schemaRef ds:uri="7d8dd676-26ca-4e08-b90f-b4e0026a58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040635-2DC3-4CC7-A7A5-005BCEE8E011}">
  <ds:schemaRefs>
    <ds:schemaRef ds:uri="Microsoft.SharePoint.Taxonomy.ContentTypeSync"/>
  </ds:schemaRefs>
</ds:datastoreItem>
</file>

<file path=customXml/itemProps4.xml><?xml version="1.0" encoding="utf-8"?>
<ds:datastoreItem xmlns:ds="http://schemas.openxmlformats.org/officeDocument/2006/customXml" ds:itemID="{C64559B9-C187-4013-B18C-26C63224AC68}">
  <ds:schemaRefs>
    <ds:schemaRef ds:uri="http://purl.org/dc/terms/"/>
    <ds:schemaRef ds:uri="http://purl.org/dc/elements/1.1/"/>
    <ds:schemaRef ds:uri="4ffa91fb-a0ff-4ac5-b2db-65c790d184a4"/>
    <ds:schemaRef ds:uri="http://schemas.microsoft.com/office/2006/metadata/properties"/>
    <ds:schemaRef ds:uri="http://schemas.microsoft.com/office/infopath/2007/PartnerControls"/>
    <ds:schemaRef ds:uri="http://schemas.microsoft.com/sharepoint.v3"/>
    <ds:schemaRef ds:uri="http://schemas.microsoft.com/office/2006/documentManagement/types"/>
    <ds:schemaRef ds:uri="http://schemas.microsoft.com/sharepoint/v3"/>
    <ds:schemaRef ds:uri="http://schemas.openxmlformats.org/package/2006/metadata/core-properties"/>
    <ds:schemaRef ds:uri="http://www.w3.org/XML/1998/namespace"/>
    <ds:schemaRef ds:uri="7d8dd676-26ca-4e08-b90f-b4e0026a58ac"/>
    <ds:schemaRef ds:uri="905a4662-6dfc-440e-98fd-642ec5771328"/>
    <ds:schemaRef ds:uri="http://schemas.microsoft.com/sharepoint/v3/field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19</Pages>
  <Words>8125</Words>
  <Characters>46319</Characters>
  <Application>Microsoft Office Word</Application>
  <DocSecurity>4</DocSecurity>
  <Lines>385</Lines>
  <Paragraphs>108</Paragraphs>
  <ScaleCrop>false</ScaleCrop>
  <Company/>
  <LinksUpToDate>false</LinksUpToDate>
  <CharactersWithSpaces>54336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Kuhns, Jason</dc:creator>
  <cp:keywords/>
  <dc:description/>
  <cp:lastModifiedBy>Purdy, Mark</cp:lastModifiedBy>
  <cp:revision>2</cp:revision>
  <dcterms:created xsi:type="dcterms:W3CDTF">2022-04-06T16:36:00Z</dcterms:created>
  <dcterms:modified xsi:type="dcterms:W3CDTF">2022-04-06T16:36:00Z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0x01010013F261F9C2EFB24ABA35C5C2B7BA91EB</vt:lpwstr>
  </property>
  <property fmtid="{D5CDD505-2E9C-101B-9397-08002B2CF9AE}" pid="3" name="TaxKeyword">
    <vt:lpwstr/>
  </property>
  <property fmtid="{D5CDD505-2E9C-101B-9397-08002B2CF9AE}" pid="4" name="EPA Subject">
    <vt:lpwstr/>
  </property>
  <property fmtid="{D5CDD505-2E9C-101B-9397-08002B2CF9AE}" pid="5" name="Document Type">
    <vt:lpwstr/>
  </property>
</Properties>
</file>