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8D4" w:rsidP="009647E5" w:rsidRDefault="000362E7" w14:paraId="5EBF47BD" w14:textId="09EA1522">
      <w:pPr>
        <w:rPr>
          <w:sz w:val="24"/>
          <w:szCs w:val="24"/>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rsidR="009F769C" w:rsidP="009F769C" w:rsidRDefault="009F769C" w14:paraId="4A4C2E4A" w14:textId="77777777">
      <w:pPr>
        <w:jc w:val="center"/>
        <w:rPr>
          <w:sz w:val="24"/>
          <w:szCs w:val="24"/>
        </w:rPr>
      </w:pPr>
    </w:p>
    <w:p w:rsidRPr="00CB51D3" w:rsidR="000362E7" w:rsidP="009F769C" w:rsidRDefault="00254190" w14:paraId="354279A2" w14:textId="0FB5BE24">
      <w:pPr>
        <w:jc w:val="center"/>
        <w:rPr>
          <w:sz w:val="24"/>
          <w:szCs w:val="24"/>
        </w:rPr>
      </w:pPr>
      <w:r w:rsidRPr="00CB51D3">
        <w:rPr>
          <w:sz w:val="24"/>
          <w:szCs w:val="24"/>
        </w:rPr>
        <w:t>S</w:t>
      </w:r>
      <w:r w:rsidRPr="00CB51D3" w:rsidR="000362E7">
        <w:rPr>
          <w:sz w:val="24"/>
          <w:szCs w:val="24"/>
        </w:rPr>
        <w:t>upporting Statement</w:t>
      </w:r>
      <w:r w:rsidRPr="00CB51D3">
        <w:rPr>
          <w:sz w:val="24"/>
          <w:szCs w:val="24"/>
        </w:rPr>
        <w:t xml:space="preserve"> </w:t>
      </w:r>
      <w:r w:rsidRPr="00CB51D3" w:rsidR="000362E7">
        <w:rPr>
          <w:sz w:val="24"/>
          <w:szCs w:val="24"/>
        </w:rPr>
        <w:t>for</w:t>
      </w:r>
    </w:p>
    <w:p w:rsidRPr="00CB51D3" w:rsidR="000362E7" w:rsidP="009F769C" w:rsidRDefault="000362E7" w14:paraId="264E9473" w14:textId="77777777">
      <w:pPr>
        <w:jc w:val="center"/>
        <w:rPr>
          <w:sz w:val="24"/>
          <w:szCs w:val="24"/>
        </w:rPr>
      </w:pPr>
      <w:r w:rsidRPr="00CB51D3">
        <w:rPr>
          <w:sz w:val="24"/>
          <w:szCs w:val="24"/>
        </w:rPr>
        <w:t>Information Collection Request</w:t>
      </w:r>
    </w:p>
    <w:p w:rsidRPr="00CB51D3" w:rsidR="000362E7" w:rsidP="009F769C" w:rsidRDefault="000362E7" w14:paraId="2FA1BC05" w14:textId="77777777">
      <w:pPr>
        <w:jc w:val="center"/>
        <w:rPr>
          <w:sz w:val="24"/>
          <w:szCs w:val="24"/>
        </w:rPr>
      </w:pPr>
    </w:p>
    <w:p w:rsidR="000362E7" w:rsidP="009F769C" w:rsidRDefault="000362E7" w14:paraId="6AB6E727" w14:textId="58F08BE0">
      <w:pPr>
        <w:jc w:val="center"/>
        <w:rPr>
          <w:sz w:val="24"/>
          <w:szCs w:val="24"/>
        </w:rPr>
      </w:pPr>
    </w:p>
    <w:p w:rsidR="00CB51D3" w:rsidP="009F769C" w:rsidRDefault="00CB51D3" w14:paraId="1F32FCF3" w14:textId="2505030C">
      <w:pPr>
        <w:jc w:val="center"/>
        <w:rPr>
          <w:sz w:val="24"/>
          <w:szCs w:val="24"/>
        </w:rPr>
      </w:pPr>
    </w:p>
    <w:p w:rsidR="00D03538" w:rsidP="009F769C" w:rsidRDefault="00D03538" w14:paraId="4C529EC7" w14:textId="18A213B5">
      <w:pPr>
        <w:jc w:val="center"/>
        <w:rPr>
          <w:sz w:val="24"/>
          <w:szCs w:val="24"/>
        </w:rPr>
      </w:pPr>
    </w:p>
    <w:p w:rsidR="00D03538" w:rsidP="009F769C" w:rsidRDefault="00D03538" w14:paraId="1CDAD14F" w14:textId="77777777">
      <w:pPr>
        <w:jc w:val="center"/>
        <w:rPr>
          <w:sz w:val="24"/>
          <w:szCs w:val="24"/>
        </w:rPr>
      </w:pPr>
    </w:p>
    <w:p w:rsidR="00CB51D3" w:rsidP="009F769C" w:rsidRDefault="00CB51D3" w14:paraId="70AD5CE4" w14:textId="45D18460">
      <w:pPr>
        <w:jc w:val="center"/>
        <w:rPr>
          <w:sz w:val="24"/>
          <w:szCs w:val="24"/>
        </w:rPr>
      </w:pPr>
    </w:p>
    <w:p w:rsidRPr="00CB51D3" w:rsidR="00CB51D3" w:rsidP="009F769C" w:rsidRDefault="00CB51D3" w14:paraId="11D036DC" w14:textId="77777777">
      <w:pPr>
        <w:jc w:val="center"/>
        <w:rPr>
          <w:sz w:val="24"/>
          <w:szCs w:val="24"/>
        </w:rPr>
      </w:pPr>
    </w:p>
    <w:p w:rsidR="00D13290" w:rsidP="009F769C" w:rsidRDefault="00645AFD" w14:paraId="781E9ACE" w14:textId="205C67EA">
      <w:pPr>
        <w:jc w:val="center"/>
        <w:rPr>
          <w:b/>
          <w:bCs/>
          <w:sz w:val="24"/>
          <w:szCs w:val="24"/>
        </w:rPr>
      </w:pPr>
      <w:r w:rsidRPr="009B0166">
        <w:rPr>
          <w:b/>
          <w:bCs/>
          <w:sz w:val="24"/>
          <w:szCs w:val="24"/>
        </w:rPr>
        <w:t>H</w:t>
      </w:r>
      <w:r w:rsidR="002A0AD7">
        <w:rPr>
          <w:b/>
          <w:bCs/>
          <w:sz w:val="24"/>
          <w:szCs w:val="24"/>
        </w:rPr>
        <w:t>D</w:t>
      </w:r>
      <w:r w:rsidRPr="009B0166">
        <w:rPr>
          <w:b/>
          <w:bCs/>
          <w:sz w:val="24"/>
          <w:szCs w:val="24"/>
        </w:rPr>
        <w:t>2027:</w:t>
      </w:r>
    </w:p>
    <w:p w:rsidR="009B0166" w:rsidP="009F769C" w:rsidRDefault="00D13290" w14:paraId="2068DD60" w14:textId="0891FDD5">
      <w:pPr>
        <w:jc w:val="center"/>
        <w:rPr>
          <w:b/>
          <w:bCs/>
          <w:sz w:val="24"/>
          <w:szCs w:val="24"/>
        </w:rPr>
      </w:pPr>
      <w:bookmarkStart w:name="_Hlk92650090" w:id="0"/>
      <w:r>
        <w:rPr>
          <w:b/>
          <w:bCs/>
          <w:sz w:val="24"/>
          <w:szCs w:val="24"/>
        </w:rPr>
        <w:t xml:space="preserve">Proposed Changes to </w:t>
      </w:r>
      <w:r w:rsidRPr="009B0166" w:rsidR="00CB51D3">
        <w:rPr>
          <w:b/>
          <w:bCs/>
          <w:sz w:val="24"/>
          <w:szCs w:val="24"/>
        </w:rPr>
        <w:t>Certification and Compliance Requirements for</w:t>
      </w:r>
    </w:p>
    <w:p w:rsidR="003E361E" w:rsidP="009F769C" w:rsidRDefault="00CB51D3" w14:paraId="1DBCD76D" w14:textId="63C37D5D">
      <w:pPr>
        <w:jc w:val="center"/>
        <w:rPr>
          <w:b/>
          <w:bCs/>
          <w:sz w:val="24"/>
          <w:szCs w:val="24"/>
        </w:rPr>
      </w:pPr>
      <w:r w:rsidRPr="003E361E">
        <w:rPr>
          <w:b/>
          <w:bCs/>
          <w:sz w:val="24"/>
          <w:szCs w:val="24"/>
        </w:rPr>
        <w:t>Heavy-Duty Engines and Vehicles</w:t>
      </w:r>
    </w:p>
    <w:p w:rsidRPr="003E361E" w:rsidR="00D77961" w:rsidP="009F769C" w:rsidRDefault="00D77961" w14:paraId="0A29E5B0" w14:textId="4FC8A3BD">
      <w:pPr>
        <w:jc w:val="center"/>
        <w:rPr>
          <w:b/>
          <w:bCs/>
          <w:sz w:val="24"/>
          <w:szCs w:val="24"/>
        </w:rPr>
      </w:pPr>
      <w:r w:rsidRPr="003E361E">
        <w:rPr>
          <w:b/>
          <w:bCs/>
          <w:sz w:val="24"/>
          <w:szCs w:val="24"/>
        </w:rPr>
        <w:t>(</w:t>
      </w:r>
      <w:r w:rsidR="003E361E">
        <w:rPr>
          <w:b/>
          <w:bCs/>
          <w:sz w:val="24"/>
          <w:szCs w:val="24"/>
        </w:rPr>
        <w:t>Proposed Rule</w:t>
      </w:r>
      <w:r w:rsidRPr="003E361E">
        <w:rPr>
          <w:b/>
          <w:bCs/>
          <w:sz w:val="24"/>
          <w:szCs w:val="24"/>
        </w:rPr>
        <w:t>)</w:t>
      </w:r>
    </w:p>
    <w:p w:rsidRPr="00A85452" w:rsidR="00645AFD" w:rsidP="009F769C" w:rsidRDefault="00645AFD" w14:paraId="232EB678" w14:textId="77777777">
      <w:pPr>
        <w:jc w:val="center"/>
      </w:pPr>
      <w:bookmarkStart w:name="_Hlk35525779" w:id="1"/>
      <w:bookmarkEnd w:id="0"/>
      <w:r>
        <w:t xml:space="preserve">EPA ICR Number </w:t>
      </w:r>
      <w:r w:rsidRPr="00D05186">
        <w:t>2621</w:t>
      </w:r>
      <w:r>
        <w:t>.01;</w:t>
      </w:r>
      <w:r w:rsidRPr="00A85452">
        <w:t xml:space="preserve"> OMB Control Number 2060-</w:t>
      </w:r>
      <w:r>
        <w:t>NEW</w:t>
      </w:r>
    </w:p>
    <w:bookmarkEnd w:id="1"/>
    <w:p w:rsidRPr="00A85452" w:rsidR="00645AFD" w:rsidP="009F769C" w:rsidRDefault="00645AFD" w14:paraId="521AD982" w14:textId="77777777">
      <w:pPr>
        <w:jc w:val="center"/>
      </w:pPr>
    </w:p>
    <w:p w:rsidRPr="00A85452" w:rsidR="00645AFD" w:rsidP="009F769C" w:rsidRDefault="00645AFD" w14:paraId="6B1727BE" w14:textId="77777777">
      <w:pPr>
        <w:jc w:val="center"/>
      </w:pPr>
    </w:p>
    <w:p w:rsidR="00645AFD" w:rsidP="009F769C" w:rsidRDefault="00645AFD" w14:paraId="725C83DB" w14:textId="1D27BEC4">
      <w:pPr>
        <w:jc w:val="center"/>
      </w:pPr>
    </w:p>
    <w:p w:rsidR="00EA3608" w:rsidP="009F769C" w:rsidRDefault="00EA3608" w14:paraId="18CE244C" w14:textId="375328D7">
      <w:pPr>
        <w:jc w:val="center"/>
      </w:pPr>
    </w:p>
    <w:p w:rsidR="00EA3608" w:rsidP="009F769C" w:rsidRDefault="00EA3608" w14:paraId="0C52808C" w14:textId="541A366D">
      <w:pPr>
        <w:jc w:val="center"/>
      </w:pPr>
    </w:p>
    <w:p w:rsidR="00EA3608" w:rsidP="009F769C" w:rsidRDefault="00EA3608" w14:paraId="0CA6DCF3" w14:textId="77777777">
      <w:pPr>
        <w:jc w:val="center"/>
      </w:pPr>
    </w:p>
    <w:p w:rsidR="00645AFD" w:rsidP="009F769C" w:rsidRDefault="00645AFD" w14:paraId="623B4EAF" w14:textId="77777777">
      <w:pPr>
        <w:jc w:val="center"/>
      </w:pPr>
    </w:p>
    <w:p w:rsidR="00645AFD" w:rsidP="009F769C" w:rsidRDefault="00645AFD" w14:paraId="18467F98" w14:textId="77777777">
      <w:pPr>
        <w:jc w:val="center"/>
      </w:pPr>
    </w:p>
    <w:p w:rsidRPr="00A85452" w:rsidR="00645AFD" w:rsidP="009F769C" w:rsidRDefault="00A120CE" w14:paraId="6399B2E6" w14:textId="020A53F8">
      <w:pPr>
        <w:jc w:val="center"/>
      </w:pPr>
      <w:r>
        <w:t>Clean Air Act</w:t>
      </w:r>
    </w:p>
    <w:p w:rsidR="002D5AF9" w:rsidP="00896746" w:rsidRDefault="00645AFD" w14:paraId="0531D76A" w14:textId="4CA6BDB4">
      <w:pPr>
        <w:jc w:val="center"/>
      </w:pPr>
      <w:r w:rsidRPr="002D5AF9">
        <w:t>§ 20</w:t>
      </w:r>
      <w:r w:rsidRPr="002D5AF9" w:rsidR="0077010F">
        <w:t>2</w:t>
      </w:r>
      <w:r w:rsidRPr="002D5AF9" w:rsidR="0023193E">
        <w:t xml:space="preserve">, </w:t>
      </w:r>
      <w:r w:rsidRPr="002D5AF9" w:rsidR="002D5AF9">
        <w:t>§</w:t>
      </w:r>
      <w:r w:rsidRPr="002D5AF9" w:rsidR="0023193E">
        <w:t>203</w:t>
      </w:r>
      <w:r w:rsidRPr="002D5AF9" w:rsidR="00896746">
        <w:t xml:space="preserve">, </w:t>
      </w:r>
      <w:r w:rsidRPr="002D5AF9" w:rsidR="002D5AF9">
        <w:t>§</w:t>
      </w:r>
      <w:r w:rsidRPr="002D5AF9" w:rsidR="00896746">
        <w:t xml:space="preserve">206, </w:t>
      </w:r>
      <w:r w:rsidRPr="002D5AF9" w:rsidR="002D5AF9">
        <w:t>§</w:t>
      </w:r>
      <w:r w:rsidRPr="002D5AF9" w:rsidR="00896746">
        <w:t xml:space="preserve">207, </w:t>
      </w:r>
      <w:r w:rsidRPr="002D5AF9" w:rsidR="002D5AF9">
        <w:t>§</w:t>
      </w:r>
      <w:r w:rsidRPr="002D5AF9" w:rsidR="00896746">
        <w:t>208</w:t>
      </w:r>
      <w:r w:rsidRPr="002D5AF9" w:rsidR="002D5AF9">
        <w:t xml:space="preserve">, </w:t>
      </w:r>
    </w:p>
    <w:p w:rsidRPr="002D5AF9" w:rsidR="00645AFD" w:rsidP="00896746" w:rsidRDefault="002D5AF9" w14:paraId="42730976" w14:textId="33C892C9">
      <w:pPr>
        <w:jc w:val="center"/>
      </w:pPr>
      <w:r w:rsidRPr="002D5AF9">
        <w:t>§</w:t>
      </w:r>
      <w:r w:rsidRPr="002D5AF9" w:rsidR="00645AFD">
        <w:t>213</w:t>
      </w:r>
      <w:r w:rsidRPr="002D5AF9" w:rsidR="0023193E">
        <w:t xml:space="preserve">, </w:t>
      </w:r>
      <w:r w:rsidRPr="002D5AF9">
        <w:t>§</w:t>
      </w:r>
      <w:r w:rsidRPr="002D5AF9" w:rsidR="0023193E">
        <w:t>216</w:t>
      </w:r>
      <w:r w:rsidRPr="002D5AF9" w:rsidR="006D65E0">
        <w:t xml:space="preserve"> and </w:t>
      </w:r>
      <w:r w:rsidRPr="002D5AF9">
        <w:t>§</w:t>
      </w:r>
      <w:r w:rsidRPr="002D5AF9" w:rsidR="006D65E0">
        <w:t>301</w:t>
      </w:r>
    </w:p>
    <w:p w:rsidR="00D03538" w:rsidP="009F769C" w:rsidRDefault="00D03538" w14:paraId="70541BA0" w14:textId="77777777">
      <w:pPr>
        <w:jc w:val="center"/>
      </w:pPr>
      <w:r>
        <w:t>(</w:t>
      </w:r>
      <w:r w:rsidRPr="002D5AF9" w:rsidR="00645AFD">
        <w:t>42 USC</w:t>
      </w:r>
      <w:r w:rsidR="00A120CE">
        <w:t xml:space="preserve"> </w:t>
      </w:r>
      <w:r w:rsidRPr="002D5AF9" w:rsidR="00645AFD">
        <w:t>7521</w:t>
      </w:r>
      <w:r w:rsidRPr="002D5AF9" w:rsidR="006D65E0">
        <w:t>, 7522</w:t>
      </w:r>
      <w:r w:rsidRPr="002D5AF9" w:rsidR="00896746">
        <w:t>,</w:t>
      </w:r>
      <w:r w:rsidR="002D5AF9">
        <w:t xml:space="preserve"> </w:t>
      </w:r>
      <w:r w:rsidRPr="002D5AF9" w:rsidR="00896746">
        <w:t xml:space="preserve">7225, 7541, </w:t>
      </w:r>
    </w:p>
    <w:p w:rsidRPr="006D65E0" w:rsidR="00645AFD" w:rsidP="009F769C" w:rsidRDefault="00896746" w14:paraId="523EC085" w14:textId="6936A490">
      <w:pPr>
        <w:jc w:val="center"/>
      </w:pPr>
      <w:r w:rsidRPr="002D5AF9">
        <w:t>7542, 7547, 7550, and 7601</w:t>
      </w:r>
      <w:r w:rsidR="00D03538">
        <w:t>)</w:t>
      </w:r>
    </w:p>
    <w:p w:rsidRPr="006D65E0" w:rsidR="00645AFD" w:rsidP="009F769C" w:rsidRDefault="00645AFD" w14:paraId="4C6C8130" w14:textId="77777777">
      <w:pPr>
        <w:jc w:val="center"/>
      </w:pPr>
    </w:p>
    <w:p w:rsidRPr="004E70ED" w:rsidR="00CB51D3" w:rsidP="009F769C" w:rsidRDefault="00CB51D3" w14:paraId="5C88E75F" w14:textId="77777777">
      <w:pPr>
        <w:jc w:val="center"/>
        <w:rPr>
          <w:sz w:val="24"/>
          <w:szCs w:val="24"/>
          <w:highlight w:val="yellow"/>
        </w:rPr>
      </w:pPr>
    </w:p>
    <w:p w:rsidRPr="004E70ED" w:rsidR="000362E7" w:rsidP="009F769C" w:rsidRDefault="000362E7" w14:paraId="239D383C" w14:textId="77777777">
      <w:pPr>
        <w:jc w:val="center"/>
        <w:rPr>
          <w:sz w:val="24"/>
          <w:szCs w:val="24"/>
          <w:highlight w:val="yellow"/>
        </w:rPr>
      </w:pPr>
    </w:p>
    <w:p w:rsidRPr="004E70ED" w:rsidR="000362E7" w:rsidP="009F769C" w:rsidRDefault="000362E7" w14:paraId="3266D5E8" w14:textId="77777777">
      <w:pPr>
        <w:jc w:val="center"/>
        <w:rPr>
          <w:sz w:val="24"/>
          <w:szCs w:val="24"/>
          <w:highlight w:val="yellow"/>
        </w:rPr>
      </w:pPr>
    </w:p>
    <w:p w:rsidRPr="00CB51D3" w:rsidR="00CB51D3" w:rsidP="009F769C" w:rsidRDefault="00CB51D3" w14:paraId="574E06A9" w14:textId="77777777">
      <w:pPr>
        <w:jc w:val="center"/>
        <w:rPr>
          <w:sz w:val="24"/>
          <w:szCs w:val="24"/>
        </w:rPr>
      </w:pPr>
    </w:p>
    <w:p w:rsidR="00CB51D3" w:rsidP="009F769C" w:rsidRDefault="00CB51D3" w14:paraId="25FAB77D" w14:textId="77777777">
      <w:pPr>
        <w:jc w:val="center"/>
      </w:pPr>
    </w:p>
    <w:p w:rsidR="00CB51D3" w:rsidP="009F769C" w:rsidRDefault="00CB51D3" w14:paraId="1E5DEA43" w14:textId="77777777">
      <w:pPr>
        <w:jc w:val="center"/>
      </w:pPr>
    </w:p>
    <w:p w:rsidR="00CB51D3" w:rsidP="009F769C" w:rsidRDefault="00CB51D3" w14:paraId="13F0DA7E" w14:textId="77777777">
      <w:pPr>
        <w:jc w:val="center"/>
      </w:pPr>
    </w:p>
    <w:p w:rsidR="00CB51D3" w:rsidP="009F769C" w:rsidRDefault="00CB51D3" w14:paraId="19FAD88F" w14:textId="7C6C611A">
      <w:pPr>
        <w:jc w:val="center"/>
        <w:outlineLvl w:val="0"/>
        <w:rPr>
          <w:sz w:val="24"/>
          <w:szCs w:val="24"/>
        </w:rPr>
      </w:pPr>
    </w:p>
    <w:p w:rsidRPr="00CB51D3" w:rsidR="001E3B80" w:rsidP="009F769C" w:rsidRDefault="001E3B80" w14:paraId="64D62232" w14:textId="77777777">
      <w:pPr>
        <w:jc w:val="center"/>
        <w:outlineLvl w:val="0"/>
        <w:rPr>
          <w:sz w:val="24"/>
          <w:szCs w:val="24"/>
        </w:rPr>
      </w:pPr>
    </w:p>
    <w:p w:rsidRPr="00CB51D3" w:rsidR="00CB51D3" w:rsidP="009F769C" w:rsidRDefault="00CB51D3" w14:paraId="4752B60C" w14:textId="77777777">
      <w:pPr>
        <w:jc w:val="center"/>
        <w:rPr>
          <w:sz w:val="24"/>
          <w:szCs w:val="24"/>
        </w:rPr>
      </w:pPr>
      <w:r w:rsidRPr="00CB51D3">
        <w:rPr>
          <w:sz w:val="24"/>
          <w:szCs w:val="24"/>
        </w:rPr>
        <w:t>Office of Transportation and Air Quality</w:t>
      </w:r>
    </w:p>
    <w:p w:rsidRPr="00CB51D3" w:rsidR="00CB51D3" w:rsidP="009F769C" w:rsidRDefault="00CB51D3" w14:paraId="4B1ECADE" w14:textId="77777777">
      <w:pPr>
        <w:jc w:val="center"/>
        <w:rPr>
          <w:sz w:val="24"/>
          <w:szCs w:val="24"/>
        </w:rPr>
      </w:pPr>
      <w:r w:rsidRPr="00CB51D3">
        <w:rPr>
          <w:sz w:val="24"/>
          <w:szCs w:val="24"/>
        </w:rPr>
        <w:t>Office of Air and Radiation</w:t>
      </w:r>
    </w:p>
    <w:p w:rsidRPr="00CB51D3" w:rsidR="000362E7" w:rsidP="009F769C" w:rsidRDefault="00CB51D3" w14:paraId="2E28E6D8" w14:textId="0FAF7767">
      <w:pPr>
        <w:jc w:val="center"/>
        <w:rPr>
          <w:sz w:val="24"/>
          <w:szCs w:val="24"/>
        </w:rPr>
      </w:pPr>
      <w:r w:rsidRPr="00CB51D3">
        <w:rPr>
          <w:sz w:val="24"/>
          <w:szCs w:val="24"/>
        </w:rPr>
        <w:t>U.S. Environmental Protection Agency</w:t>
      </w:r>
    </w:p>
    <w:p w:rsidR="00CB51D3" w:rsidP="009F769C" w:rsidRDefault="00CB51D3" w14:paraId="50871444" w14:textId="1C1EC347">
      <w:pPr>
        <w:jc w:val="center"/>
      </w:pPr>
    </w:p>
    <w:p w:rsidR="00561BC7" w:rsidP="009F769C" w:rsidRDefault="00561BC7" w14:paraId="633629D9" w14:textId="2FF05D5F">
      <w:pPr>
        <w:widowControl/>
        <w:jc w:val="center"/>
      </w:pPr>
      <w:r>
        <w:br w:type="page"/>
      </w:r>
    </w:p>
    <w:p w:rsidRPr="00CB51D3" w:rsidR="00561BC7" w:rsidP="00CB51D3" w:rsidRDefault="00561BC7" w14:paraId="333AE2CC" w14:textId="77777777">
      <w:pPr>
        <w:jc w:val="center"/>
      </w:pPr>
    </w:p>
    <w:p w:rsidR="000362E7" w:rsidP="004155D9" w:rsidRDefault="00CA3BB6" w14:paraId="7490029E" w14:textId="6C9784C6">
      <w:pPr>
        <w:pStyle w:val="ListParagraph"/>
        <w:numPr>
          <w:ilvl w:val="0"/>
          <w:numId w:val="9"/>
        </w:numPr>
        <w:rPr>
          <w:u w:val="single"/>
        </w:rPr>
      </w:pPr>
      <w:r>
        <w:rPr>
          <w:u w:val="single"/>
        </w:rPr>
        <w:t>Identification of the Collection of Information</w:t>
      </w:r>
    </w:p>
    <w:p w:rsidRPr="00CA3BB6" w:rsidR="00CA3BB6" w:rsidP="00CA3BB6" w:rsidRDefault="00CA3BB6" w14:paraId="0BCD865C" w14:textId="285C2966">
      <w:pPr>
        <w:pStyle w:val="ListParagraph"/>
        <w:rPr>
          <w:u w:val="single"/>
        </w:rPr>
      </w:pPr>
    </w:p>
    <w:p w:rsidRPr="004C2C56" w:rsidR="000362E7" w:rsidP="00834F45" w:rsidRDefault="000362E7" w14:paraId="53C16833" w14:textId="476C6E0B">
      <w:pPr>
        <w:ind w:firstLine="720"/>
        <w:rPr>
          <w:b/>
        </w:rPr>
      </w:pPr>
      <w:r w:rsidRPr="004C2C56">
        <w:rPr>
          <w:b/>
        </w:rPr>
        <w:t>1 (a</w:t>
      </w:r>
      <w:r w:rsidRPr="004C2C56" w:rsidR="003555CE">
        <w:rPr>
          <w:b/>
        </w:rPr>
        <w:t>) Title</w:t>
      </w:r>
      <w:r w:rsidRPr="004C2C56">
        <w:rPr>
          <w:b/>
        </w:rPr>
        <w:t xml:space="preserve"> and Number of the Information Collection</w:t>
      </w:r>
    </w:p>
    <w:p w:rsidRPr="00C208A1" w:rsidR="00D714AE" w:rsidP="00D714AE" w:rsidRDefault="00D714AE" w14:paraId="3DC74FA8" w14:textId="77777777">
      <w:pPr>
        <w:jc w:val="center"/>
      </w:pPr>
    </w:p>
    <w:p w:rsidRPr="00E03071" w:rsidR="00EC5B36" w:rsidP="00741290" w:rsidRDefault="005421EE" w14:paraId="2247C5C9" w14:textId="7DBDB9EE">
      <w:pPr>
        <w:ind w:firstLine="720"/>
        <w:rPr>
          <w:bCs/>
        </w:rPr>
      </w:pPr>
      <w:r>
        <w:rPr>
          <w:bCs/>
        </w:rPr>
        <w:t xml:space="preserve">Heavy-Duty 2027: </w:t>
      </w:r>
      <w:r w:rsidRPr="00D13290" w:rsidR="00D13290">
        <w:rPr>
          <w:bCs/>
        </w:rPr>
        <w:t>Proposed Changes to Certification and Compliance Requirements for Heavy-Duty Engines and Vehicles</w:t>
      </w:r>
      <w:r w:rsidR="002E3F6B">
        <w:rPr>
          <w:bCs/>
        </w:rPr>
        <w:t xml:space="preserve"> (Proposed Rule)</w:t>
      </w:r>
      <w:r w:rsidRPr="00A7584F" w:rsidR="00834F45">
        <w:t xml:space="preserve">, EPA ICR Number </w:t>
      </w:r>
      <w:r w:rsidRPr="00D05186" w:rsidR="00FC0154">
        <w:t>2621</w:t>
      </w:r>
      <w:r w:rsidR="00FC0154">
        <w:t>.01</w:t>
      </w:r>
      <w:r w:rsidRPr="00A7584F" w:rsidR="00834F45">
        <w:t>, OMB Control Number 2060-</w:t>
      </w:r>
      <w:r w:rsidR="00FC0154">
        <w:t>NEW</w:t>
      </w:r>
      <w:r w:rsidRPr="00A7584F" w:rsidR="00834F45">
        <w:t>.</w:t>
      </w:r>
    </w:p>
    <w:p w:rsidRPr="00A7584F" w:rsidR="00677A77" w:rsidP="00EC5B36" w:rsidRDefault="00677A77" w14:paraId="367B7D1F" w14:textId="77777777"/>
    <w:p w:rsidR="00F81A65" w:rsidP="00834F45" w:rsidRDefault="00F81A65" w14:paraId="7D81D444" w14:textId="77777777">
      <w:pPr>
        <w:ind w:firstLine="720"/>
        <w:rPr>
          <w:b/>
        </w:rPr>
      </w:pPr>
    </w:p>
    <w:p w:rsidRPr="004C2C56" w:rsidR="000362E7" w:rsidP="00834F45" w:rsidRDefault="000362E7" w14:paraId="3A7BE494" w14:textId="076309F6">
      <w:pPr>
        <w:ind w:firstLine="720"/>
        <w:rPr>
          <w:b/>
        </w:rPr>
      </w:pPr>
      <w:r w:rsidRPr="004C2C56">
        <w:rPr>
          <w:b/>
        </w:rPr>
        <w:t>1(b)</w:t>
      </w:r>
      <w:r w:rsidRPr="004C2C56">
        <w:rPr>
          <w:b/>
        </w:rPr>
        <w:tab/>
        <w:t>Short Characterization</w:t>
      </w:r>
    </w:p>
    <w:p w:rsidRPr="00C208A1" w:rsidR="000362E7" w:rsidRDefault="000362E7" w14:paraId="3DFCE532" w14:textId="77777777"/>
    <w:p w:rsidR="00F51661" w:rsidP="00741290" w:rsidRDefault="005A4C15" w14:paraId="6841D915" w14:textId="3FC8C7F7">
      <w:pPr>
        <w:widowControl/>
        <w:textAlignment w:val="baseline"/>
      </w:pPr>
      <w:r w:rsidRPr="005A4C15">
        <w:t> </w:t>
      </w:r>
      <w:r w:rsidR="00741290">
        <w:tab/>
      </w:r>
      <w:r w:rsidRPr="005A4C15">
        <w:rPr>
          <w:color w:val="000000"/>
        </w:rPr>
        <w:t xml:space="preserve">With this supporting statement, </w:t>
      </w:r>
      <w:r w:rsidR="00691B0B">
        <w:rPr>
          <w:color w:val="000000"/>
        </w:rPr>
        <w:t>the Environmental Protection Agency (</w:t>
      </w:r>
      <w:r w:rsidRPr="005A4C15">
        <w:rPr>
          <w:color w:val="000000"/>
        </w:rPr>
        <w:t>EPA</w:t>
      </w:r>
      <w:r w:rsidR="00691B0B">
        <w:rPr>
          <w:color w:val="000000"/>
        </w:rPr>
        <w:t>)</w:t>
      </w:r>
      <w:r w:rsidRPr="005A4C15">
        <w:rPr>
          <w:color w:val="000000"/>
        </w:rPr>
        <w:t xml:space="preserve"> requests </w:t>
      </w:r>
      <w:r w:rsidRPr="005A4C15">
        <w:rPr>
          <w:b/>
          <w:bCs/>
          <w:color w:val="000000"/>
        </w:rPr>
        <w:t xml:space="preserve">approval of a new </w:t>
      </w:r>
      <w:r w:rsidRPr="005A4C15">
        <w:rPr>
          <w:color w:val="000000"/>
        </w:rPr>
        <w:t xml:space="preserve">Information Collection Request (ICR). This supporting statement describes activities and burden </w:t>
      </w:r>
      <w:r w:rsidR="00900709">
        <w:rPr>
          <w:color w:val="000000"/>
        </w:rPr>
        <w:t xml:space="preserve">associated with </w:t>
      </w:r>
      <w:r w:rsidR="00000A7E">
        <w:rPr>
          <w:color w:val="000000"/>
        </w:rPr>
        <w:t>the proposed HD2027 rule</w:t>
      </w:r>
      <w:r w:rsidR="004173B1">
        <w:rPr>
          <w:color w:val="000000"/>
        </w:rPr>
        <w:t>making proposal</w:t>
      </w:r>
      <w:r w:rsidR="004148C7">
        <w:rPr>
          <w:color w:val="000000"/>
        </w:rPr>
        <w:t xml:space="preserve">, which </w:t>
      </w:r>
      <w:r w:rsidR="00F527F8">
        <w:rPr>
          <w:color w:val="000000"/>
        </w:rPr>
        <w:t xml:space="preserve">primarily </w:t>
      </w:r>
      <w:r w:rsidR="004148C7">
        <w:rPr>
          <w:color w:val="000000"/>
        </w:rPr>
        <w:t xml:space="preserve">seeks to </w:t>
      </w:r>
      <w:r w:rsidR="0017512F">
        <w:rPr>
          <w:color w:val="000000"/>
        </w:rPr>
        <w:t>update and streamline</w:t>
      </w:r>
      <w:r w:rsidR="00160D00">
        <w:rPr>
          <w:color w:val="000000"/>
        </w:rPr>
        <w:t xml:space="preserve"> emissions certification and compliance provisions for </w:t>
      </w:r>
      <w:r w:rsidR="00000A7E">
        <w:rPr>
          <w:color w:val="000000"/>
        </w:rPr>
        <w:t>highway heavy-duty (HD) engines and vehicles</w:t>
      </w:r>
      <w:r w:rsidR="003B4615">
        <w:rPr>
          <w:color w:val="000000"/>
        </w:rPr>
        <w:t>.</w:t>
      </w:r>
      <w:r w:rsidRPr="005A4C15">
        <w:t xml:space="preserve"> </w:t>
      </w:r>
      <w:r w:rsidR="00456061">
        <w:t xml:space="preserve">The proposal includes some provisions for other industries as well. The proposed </w:t>
      </w:r>
      <w:r w:rsidR="00F51661">
        <w:t xml:space="preserve">changes </w:t>
      </w:r>
      <w:r w:rsidRPr="005A4C15">
        <w:t xml:space="preserve">build on existing </w:t>
      </w:r>
      <w:r w:rsidR="00CE5366">
        <w:t xml:space="preserve">emissions certification and reporting </w:t>
      </w:r>
      <w:r w:rsidRPr="005A4C15">
        <w:t xml:space="preserve">requirements </w:t>
      </w:r>
      <w:r w:rsidR="00F51661">
        <w:t xml:space="preserve">which are already </w:t>
      </w:r>
      <w:r w:rsidRPr="005A4C15">
        <w:t>covered under</w:t>
      </w:r>
      <w:r w:rsidR="0016157C">
        <w:t xml:space="preserve"> </w:t>
      </w:r>
      <w:r w:rsidR="00F51661">
        <w:t>other</w:t>
      </w:r>
      <w:r w:rsidR="0040799C">
        <w:t xml:space="preserve"> ‘programmatic’ </w:t>
      </w:r>
      <w:r w:rsidR="00F51661">
        <w:t>ICRs, primarily:</w:t>
      </w:r>
    </w:p>
    <w:p w:rsidRPr="0016157C" w:rsidR="00FA74B7" w:rsidP="004155D9" w:rsidRDefault="005A4C15" w14:paraId="6BC8DBE4" w14:textId="238CE6D2">
      <w:pPr>
        <w:pStyle w:val="ListParagraph"/>
        <w:widowControl/>
        <w:numPr>
          <w:ilvl w:val="0"/>
          <w:numId w:val="11"/>
        </w:numPr>
        <w:textAlignment w:val="baseline"/>
      </w:pPr>
      <w:r w:rsidRPr="005A4C15">
        <w:t xml:space="preserve">EPA ICR Number 1684.20, OMB Control Number 2060-0287, </w:t>
      </w:r>
      <w:r w:rsidRPr="00F51661">
        <w:rPr>
          <w:i/>
          <w:iCs/>
        </w:rPr>
        <w:t>Emissions Certification and Compliance Requirements for Nonroad Compression-ignition Engines and On-highway Heavy Duty Engines</w:t>
      </w:r>
      <w:r w:rsidRPr="00F51661" w:rsidR="005D334E">
        <w:rPr>
          <w:i/>
          <w:iCs/>
        </w:rPr>
        <w:t xml:space="preserve"> and Vehicles</w:t>
      </w:r>
    </w:p>
    <w:p w:rsidRPr="00A31DA3" w:rsidR="00FA74B7" w:rsidP="004155D9" w:rsidRDefault="00165E41" w14:paraId="46806A12" w14:textId="4A827C63">
      <w:pPr>
        <w:pStyle w:val="ListParagraph"/>
        <w:widowControl/>
        <w:numPr>
          <w:ilvl w:val="0"/>
          <w:numId w:val="11"/>
        </w:numPr>
        <w:textAlignment w:val="baseline"/>
        <w:rPr>
          <w:rFonts w:ascii="Segoe UI" w:hAnsi="Segoe UI" w:cs="Segoe UI"/>
          <w:sz w:val="18"/>
          <w:szCs w:val="18"/>
        </w:rPr>
      </w:pPr>
      <w:r>
        <w:t xml:space="preserve">EPA ICR Number </w:t>
      </w:r>
      <w:r w:rsidRPr="00DF113E">
        <w:t>1695.14</w:t>
      </w:r>
      <w:r>
        <w:t xml:space="preserve">, OMB Control Number </w:t>
      </w:r>
      <w:r w:rsidRPr="00DF113E">
        <w:t>2060-0338</w:t>
      </w:r>
      <w:r>
        <w:t>,</w:t>
      </w:r>
      <w:r w:rsidRPr="00DF113E">
        <w:t xml:space="preserve"> </w:t>
      </w:r>
      <w:r w:rsidRPr="00F51661">
        <w:rPr>
          <w:i/>
          <w:iCs/>
        </w:rPr>
        <w:t>Certification and Compliance Requirements for Nonroad Spark-ignition Engines</w:t>
      </w:r>
    </w:p>
    <w:p w:rsidRPr="00FA74B7" w:rsidR="00A31DA3" w:rsidP="004155D9" w:rsidRDefault="00A31DA3" w14:paraId="348DB06B" w14:textId="6F7FD590">
      <w:pPr>
        <w:pStyle w:val="ListParagraph"/>
        <w:widowControl/>
        <w:numPr>
          <w:ilvl w:val="0"/>
          <w:numId w:val="11"/>
        </w:numPr>
        <w:textAlignment w:val="baseline"/>
        <w:rPr>
          <w:rFonts w:ascii="Segoe UI" w:hAnsi="Segoe UI" w:cs="Segoe UI"/>
          <w:sz w:val="18"/>
          <w:szCs w:val="18"/>
        </w:rPr>
      </w:pPr>
      <w:r>
        <w:t xml:space="preserve">EPA ICR Number </w:t>
      </w:r>
      <w:r w:rsidR="00024C30">
        <w:t>0783.65</w:t>
      </w:r>
      <w:r>
        <w:t xml:space="preserve">, OMB Control Number </w:t>
      </w:r>
      <w:r w:rsidRPr="00097FB0">
        <w:t>2060-0104</w:t>
      </w:r>
      <w:r>
        <w:t xml:space="preserve">, </w:t>
      </w:r>
      <w:r w:rsidRPr="00A31DA3">
        <w:rPr>
          <w:i/>
          <w:iCs/>
        </w:rPr>
        <w:t>Motor Vehicle Emission Certification and Fuel Economy Compliance, 40 CFR Parts 86 and 600</w:t>
      </w:r>
    </w:p>
    <w:p w:rsidRPr="00FA74B7" w:rsidR="005A4C15" w:rsidP="004A226B" w:rsidRDefault="005A4C15" w14:paraId="63241413" w14:textId="13A89C49">
      <w:pPr>
        <w:widowControl/>
        <w:textAlignment w:val="baseline"/>
        <w:rPr>
          <w:rFonts w:ascii="Segoe UI" w:hAnsi="Segoe UI" w:cs="Segoe UI"/>
          <w:sz w:val="18"/>
          <w:szCs w:val="18"/>
        </w:rPr>
      </w:pPr>
      <w:r w:rsidRPr="005A4C15">
        <w:t xml:space="preserve">Therefore, to avoid duplication, this </w:t>
      </w:r>
      <w:r w:rsidR="00C82FBB">
        <w:t>collection request</w:t>
      </w:r>
      <w:r w:rsidRPr="005A4C15">
        <w:t xml:space="preserve"> only covers the incremental burden associated with the proposed rule. </w:t>
      </w:r>
    </w:p>
    <w:p w:rsidR="005A4C15" w:rsidP="005A4C15" w:rsidRDefault="005A4C15" w14:paraId="7A22FDC8" w14:textId="02E749FC">
      <w:pPr>
        <w:widowControl/>
        <w:textAlignment w:val="baseline"/>
        <w:rPr>
          <w:color w:val="000000"/>
        </w:rPr>
      </w:pPr>
      <w:r w:rsidRPr="005A4C15">
        <w:rPr>
          <w:color w:val="000000"/>
        </w:rPr>
        <w:t> </w:t>
      </w:r>
    </w:p>
    <w:p w:rsidR="005A3648" w:rsidP="00461B88" w:rsidRDefault="005A4C15" w14:paraId="3E1DDE21" w14:textId="0938496B">
      <w:pPr>
        <w:widowControl/>
        <w:textAlignment w:val="baseline"/>
      </w:pPr>
      <w:r w:rsidRPr="005A4C15">
        <w:rPr>
          <w:color w:val="000000"/>
        </w:rPr>
        <w:t> </w:t>
      </w:r>
      <w:r w:rsidR="00461B88">
        <w:rPr>
          <w:color w:val="000000"/>
        </w:rPr>
        <w:tab/>
      </w:r>
      <w:r w:rsidRPr="00F33AD2" w:rsidR="007C6876">
        <w:t xml:space="preserve">Under Title II of the Clean Air Act (42 U.S.C. 7521 et seq.; CAA), EPA is charged with issuing certificates of conformity for engine </w:t>
      </w:r>
      <w:r w:rsidR="00C458C9">
        <w:t xml:space="preserve">and vehicle </w:t>
      </w:r>
      <w:r w:rsidRPr="00F33AD2" w:rsidR="007C6876">
        <w:t xml:space="preserve">prototypes that comply with applicable emission standards.  Such a certificate must be issued before engines produced after these prototypes may be legally introduced into </w:t>
      </w:r>
      <w:r w:rsidR="007C6876">
        <w:t xml:space="preserve">US </w:t>
      </w:r>
      <w:r w:rsidRPr="00F33AD2" w:rsidR="007C6876">
        <w:t xml:space="preserve">commerce. </w:t>
      </w:r>
      <w:r w:rsidR="00195688">
        <w:t xml:space="preserve">In 2020, EPA published an </w:t>
      </w:r>
      <w:r w:rsidR="00527FCF">
        <w:t xml:space="preserve">Advanced Notice of </w:t>
      </w:r>
      <w:r w:rsidRPr="00527FCF" w:rsidR="00527FCF">
        <w:t>Proposed Rulemaking</w:t>
      </w:r>
      <w:r w:rsidR="007E6586">
        <w:rPr>
          <w:rStyle w:val="FootnoteReference"/>
        </w:rPr>
        <w:footnoteReference w:id="1"/>
      </w:r>
      <w:r w:rsidRPr="00527FCF" w:rsidR="00527FCF">
        <w:t xml:space="preserve"> (ANPR) </w:t>
      </w:r>
      <w:r w:rsidR="00B1380D">
        <w:t xml:space="preserve">requesting comments on plans to update </w:t>
      </w:r>
      <w:r w:rsidR="00780F25">
        <w:t>NOx emission standards for HD engines.</w:t>
      </w:r>
      <w:r w:rsidR="00794235">
        <w:t xml:space="preserve"> </w:t>
      </w:r>
      <w:r w:rsidR="000B35D7">
        <w:t xml:space="preserve">The Agency was responding to </w:t>
      </w:r>
      <w:r w:rsidR="006F6203">
        <w:t xml:space="preserve">a 2016 petition </w:t>
      </w:r>
      <w:r w:rsidR="00B82DEA">
        <w:t>from</w:t>
      </w:r>
      <w:r w:rsidR="006F6203">
        <w:t xml:space="preserve"> over 20 </w:t>
      </w:r>
      <w:r w:rsidRPr="005A4C15" w:rsidR="006F6203">
        <w:t>organizations</w:t>
      </w:r>
      <w:r w:rsidR="00831A12">
        <w:t>,</w:t>
      </w:r>
      <w:r w:rsidRPr="005A4C15" w:rsidR="006F6203">
        <w:t xml:space="preserve"> including state and local air agencies from across the country</w:t>
      </w:r>
      <w:r w:rsidR="00831A12">
        <w:t>,</w:t>
      </w:r>
      <w:r w:rsidR="006F6203">
        <w:t xml:space="preserve"> to </w:t>
      </w:r>
      <w:r w:rsidR="009A1866">
        <w:t>revise</w:t>
      </w:r>
      <w:r w:rsidR="006F6203">
        <w:t xml:space="preserve"> NOx standards for HD engines</w:t>
      </w:r>
      <w:r w:rsidRPr="005A4C15" w:rsidR="006F6203">
        <w:rPr>
          <w:sz w:val="16"/>
          <w:szCs w:val="16"/>
          <w:vertAlign w:val="superscript"/>
        </w:rPr>
        <w:t>1</w:t>
      </w:r>
      <w:r w:rsidR="006F6203">
        <w:t xml:space="preserve">. The petition cited concerns over </w:t>
      </w:r>
      <w:r w:rsidRPr="005A4C15" w:rsidR="006F6203">
        <w:t xml:space="preserve">adverse health and welfare impacts and </w:t>
      </w:r>
      <w:r w:rsidR="006F6203">
        <w:t xml:space="preserve">the need </w:t>
      </w:r>
      <w:r w:rsidRPr="005A4C15" w:rsidR="006F6203">
        <w:t>to help areas attain the National Ambient Air Quality Standards (NAAQS).</w:t>
      </w:r>
      <w:r w:rsidR="000B35D7">
        <w:t xml:space="preserve"> </w:t>
      </w:r>
      <w:r w:rsidR="00D10CBE">
        <w:t>In August 2021, Executive O</w:t>
      </w:r>
      <w:r w:rsidR="00BD3E64">
        <w:t xml:space="preserve">rder </w:t>
      </w:r>
      <w:r w:rsidRPr="00BD3E64" w:rsidR="00BD3E64">
        <w:t>14037</w:t>
      </w:r>
      <w:r w:rsidR="00BD3E64">
        <w:t xml:space="preserve"> further directed the Agency </w:t>
      </w:r>
      <w:r w:rsidRPr="002F0C59" w:rsidR="00BD3E64">
        <w:t>to (1) set new</w:t>
      </w:r>
      <w:r w:rsidRPr="002F0C59" w:rsidR="002F0C59">
        <w:t xml:space="preserve"> </w:t>
      </w:r>
      <w:r w:rsidRPr="002F0C59" w:rsidR="00BD3E64">
        <w:t>NO</w:t>
      </w:r>
      <w:r w:rsidRPr="002F0C59" w:rsidR="00BD3E64">
        <w:rPr>
          <w:rStyle w:val="Subscript"/>
        </w:rPr>
        <w:t>X</w:t>
      </w:r>
      <w:r w:rsidRPr="002F0C59" w:rsidR="00BD3E64">
        <w:t xml:space="preserve"> emission standards and </w:t>
      </w:r>
      <w:r w:rsidRPr="002F0C59" w:rsidR="002F0C59">
        <w:t xml:space="preserve">(2) </w:t>
      </w:r>
      <w:r w:rsidRPr="002F0C59" w:rsidR="00BD3E64">
        <w:t>update the existing GHG emissions standards for heavy-duty engines and vehicles.</w:t>
      </w:r>
      <w:r w:rsidRPr="002F0C59" w:rsidR="00BD3E64">
        <w:rPr>
          <w:rStyle w:val="FootnoteReference"/>
        </w:rPr>
        <w:footnoteReference w:id="2"/>
      </w:r>
    </w:p>
    <w:p w:rsidR="005A3648" w:rsidP="00461B88" w:rsidRDefault="005A3648" w14:paraId="0A0D38F5" w14:textId="77777777">
      <w:pPr>
        <w:widowControl/>
        <w:textAlignment w:val="baseline"/>
      </w:pPr>
    </w:p>
    <w:p w:rsidR="008171C6" w:rsidP="00D2127C" w:rsidRDefault="008F3A32" w14:paraId="7CD3A97A" w14:textId="753F6724">
      <w:pPr>
        <w:widowControl/>
        <w:ind w:firstLine="720"/>
        <w:textAlignment w:val="baseline"/>
      </w:pPr>
      <w:r w:rsidRPr="000C2D0E">
        <w:t>In response, EPA is proposing changes to HD emission</w:t>
      </w:r>
      <w:r w:rsidRPr="000C2D0E" w:rsidR="00E034B2">
        <w:t xml:space="preserve">s </w:t>
      </w:r>
      <w:r w:rsidRPr="000C2D0E" w:rsidR="00A320C0">
        <w:t>certification and compliance provisions</w:t>
      </w:r>
      <w:r w:rsidR="00277603">
        <w:t xml:space="preserve"> for criteria </w:t>
      </w:r>
      <w:r w:rsidR="000B1D87">
        <w:t>pollutants</w:t>
      </w:r>
      <w:r w:rsidRPr="000C2D0E" w:rsidR="00A320C0">
        <w:t xml:space="preserve"> and</w:t>
      </w:r>
      <w:r w:rsidRPr="000C2D0E" w:rsidR="00E034B2">
        <w:t xml:space="preserve"> targeted </w:t>
      </w:r>
      <w:r w:rsidRPr="000C2D0E" w:rsidR="00342812">
        <w:t xml:space="preserve">changes to </w:t>
      </w:r>
      <w:r w:rsidRPr="000C2D0E" w:rsidR="009C35BA">
        <w:t xml:space="preserve">Phase 2 </w:t>
      </w:r>
      <w:r w:rsidRPr="000C2D0E" w:rsidR="00342812">
        <w:t>GHG standards</w:t>
      </w:r>
      <w:r w:rsidRPr="000C2D0E" w:rsidR="001766E0">
        <w:t xml:space="preserve">. The Agency is also </w:t>
      </w:r>
      <w:r w:rsidRPr="000C2D0E" w:rsidR="00F017FB">
        <w:t xml:space="preserve">proposing to </w:t>
      </w:r>
      <w:r w:rsidR="008C1CC9">
        <w:t>revise</w:t>
      </w:r>
      <w:r w:rsidR="00BE01B7">
        <w:t xml:space="preserve"> </w:t>
      </w:r>
      <w:r w:rsidR="00E97EF9">
        <w:t>provisions related to other</w:t>
      </w:r>
      <w:r w:rsidR="003C0785">
        <w:t xml:space="preserve"> industries</w:t>
      </w:r>
      <w:r w:rsidR="00E97EF9">
        <w:t>, such</w:t>
      </w:r>
      <w:r w:rsidR="003C0785">
        <w:t xml:space="preserve"> as </w:t>
      </w:r>
      <w:r w:rsidR="00CC0F09">
        <w:t>t</w:t>
      </w:r>
      <w:r w:rsidR="003C0785">
        <w:t xml:space="preserve">he marine compression-ignition (Marine CI) and </w:t>
      </w:r>
      <w:r w:rsidR="00E046F3">
        <w:t xml:space="preserve">Small Spark-ignited Engines (Small SI). </w:t>
      </w:r>
    </w:p>
    <w:p w:rsidR="00F70EE8" w:rsidP="005A4C15" w:rsidRDefault="00F70EE8" w14:paraId="53056D70" w14:textId="27339167">
      <w:pPr>
        <w:widowControl/>
        <w:textAlignment w:val="baseline"/>
        <w:rPr>
          <w:rFonts w:ascii="Segoe UI" w:hAnsi="Segoe UI" w:cs="Segoe UI"/>
          <w:sz w:val="18"/>
          <w:szCs w:val="18"/>
        </w:rPr>
      </w:pPr>
    </w:p>
    <w:p w:rsidRPr="005A4C15" w:rsidR="00D96694" w:rsidP="005A4C15" w:rsidRDefault="00D96694" w14:paraId="005DDE22" w14:textId="77777777">
      <w:pPr>
        <w:widowControl/>
        <w:textAlignment w:val="baseline"/>
        <w:rPr>
          <w:rFonts w:ascii="Segoe UI" w:hAnsi="Segoe UI" w:cs="Segoe UI"/>
          <w:sz w:val="18"/>
          <w:szCs w:val="18"/>
        </w:rPr>
      </w:pPr>
    </w:p>
    <w:p w:rsidRPr="005A4C15" w:rsidR="005A4C15" w:rsidP="009A6A6F" w:rsidRDefault="005A4C15" w14:paraId="3510B424" w14:textId="46BCB5A1">
      <w:pPr>
        <w:widowControl/>
        <w:jc w:val="center"/>
        <w:textAlignment w:val="baseline"/>
        <w:rPr>
          <w:rFonts w:ascii="Segoe UI" w:hAnsi="Segoe UI" w:cs="Segoe UI"/>
          <w:sz w:val="18"/>
          <w:szCs w:val="18"/>
        </w:rPr>
      </w:pPr>
      <w:r w:rsidRPr="005A4C15">
        <w:rPr>
          <w:b/>
          <w:bCs/>
        </w:rPr>
        <w:t>Table 1</w:t>
      </w:r>
    </w:p>
    <w:p w:rsidRPr="005A4C15" w:rsidR="005A4C15" w:rsidP="009A6A6F" w:rsidRDefault="005A4C15" w14:paraId="5CDB8758" w14:textId="3EB1C94D">
      <w:pPr>
        <w:widowControl/>
        <w:jc w:val="center"/>
        <w:textAlignment w:val="baseline"/>
        <w:rPr>
          <w:rFonts w:ascii="Segoe UI" w:hAnsi="Segoe UI" w:cs="Segoe UI"/>
          <w:sz w:val="18"/>
          <w:szCs w:val="18"/>
        </w:rPr>
      </w:pPr>
      <w:r w:rsidRPr="005A4C15">
        <w:rPr>
          <w:b/>
          <w:bCs/>
        </w:rPr>
        <w:t xml:space="preserve">Regulations Amended by the </w:t>
      </w:r>
      <w:r w:rsidR="00CC0F09">
        <w:rPr>
          <w:b/>
          <w:bCs/>
        </w:rPr>
        <w:t xml:space="preserve">Main Provisions of the </w:t>
      </w:r>
      <w:r w:rsidR="00FD46C5">
        <w:rPr>
          <w:b/>
          <w:bCs/>
        </w:rPr>
        <w:t xml:space="preserve">HD2027 </w:t>
      </w:r>
      <w:r w:rsidRPr="005A4C15">
        <w:rPr>
          <w:b/>
          <w:bCs/>
        </w:rPr>
        <w:t>Proposed Rule</w:t>
      </w:r>
    </w:p>
    <w:p w:rsidRPr="005A4C15" w:rsidR="005A4C15" w:rsidP="009A6A6F" w:rsidRDefault="005A4C15" w14:paraId="6CE412A2" w14:textId="5B63D7B4">
      <w:pPr>
        <w:widowControl/>
        <w:jc w:val="center"/>
        <w:textAlignment w:val="baseline"/>
        <w:rPr>
          <w:rFonts w:ascii="Segoe UI" w:hAnsi="Segoe UI" w:cs="Segoe UI"/>
          <w:sz w:val="18"/>
          <w:szCs w:val="18"/>
        </w:rPr>
      </w:pPr>
    </w:p>
    <w:tbl>
      <w:tblPr>
        <w:tblW w:w="589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90"/>
        <w:gridCol w:w="1305"/>
      </w:tblGrid>
      <w:tr w:rsidRPr="005A4C15" w:rsidR="005A4C15" w:rsidTr="00197147" w14:paraId="21DE25A3" w14:textId="77777777">
        <w:trPr>
          <w:jc w:val="center"/>
        </w:trPr>
        <w:tc>
          <w:tcPr>
            <w:tcW w:w="4590"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bottom"/>
            <w:hideMark/>
          </w:tcPr>
          <w:p w:rsidRPr="00FF55C0" w:rsidR="005A4C15" w:rsidP="009A6A6F" w:rsidRDefault="005A4C15" w14:paraId="04ABBEA0" w14:textId="6901B84F">
            <w:pPr>
              <w:widowControl/>
              <w:jc w:val="center"/>
              <w:textAlignment w:val="baseline"/>
              <w:rPr>
                <w:sz w:val="24"/>
                <w:szCs w:val="24"/>
              </w:rPr>
            </w:pPr>
            <w:r w:rsidRPr="00FF55C0">
              <w:t>Industry</w:t>
            </w:r>
          </w:p>
        </w:tc>
        <w:tc>
          <w:tcPr>
            <w:tcW w:w="1305" w:type="dxa"/>
            <w:tcBorders>
              <w:top w:val="single" w:color="auto" w:sz="6" w:space="0"/>
              <w:left w:val="single" w:color="auto" w:sz="6" w:space="0"/>
              <w:bottom w:val="single" w:color="auto" w:sz="6" w:space="0"/>
              <w:right w:val="single" w:color="auto" w:sz="6" w:space="0"/>
            </w:tcBorders>
            <w:shd w:val="clear" w:color="auto" w:fill="B4C6E7" w:themeFill="accent1" w:themeFillTint="66"/>
            <w:vAlign w:val="bottom"/>
            <w:hideMark/>
          </w:tcPr>
          <w:p w:rsidRPr="00FF55C0" w:rsidR="005A4C15" w:rsidP="009A6A6F" w:rsidRDefault="005A4C15" w14:paraId="4BBCB7A5" w14:textId="272D4610">
            <w:pPr>
              <w:widowControl/>
              <w:jc w:val="center"/>
              <w:textAlignment w:val="baseline"/>
              <w:rPr>
                <w:sz w:val="24"/>
                <w:szCs w:val="24"/>
              </w:rPr>
            </w:pPr>
            <w:r w:rsidRPr="00FF55C0">
              <w:t>40 CFR</w:t>
            </w:r>
            <w:r w:rsidRPr="00FF55C0" w:rsidR="00DC5640">
              <w:rPr>
                <w:rStyle w:val="FootnoteReference"/>
              </w:rPr>
              <w:footnoteReference w:id="3"/>
            </w:r>
            <w:r w:rsidRPr="00FF55C0">
              <w:t xml:space="preserve"> Part</w:t>
            </w:r>
          </w:p>
        </w:tc>
      </w:tr>
      <w:tr w:rsidRPr="005A4C15" w:rsidR="006D5994" w:rsidTr="003D3AA3" w14:paraId="20211F67" w14:textId="77777777">
        <w:trPr>
          <w:jc w:val="center"/>
        </w:trPr>
        <w:tc>
          <w:tcPr>
            <w:tcW w:w="4590" w:type="dxa"/>
            <w:tcBorders>
              <w:top w:val="single" w:color="auto" w:sz="6" w:space="0"/>
              <w:left w:val="single" w:color="auto" w:sz="6" w:space="0"/>
              <w:bottom w:val="single" w:color="auto" w:sz="6" w:space="0"/>
              <w:right w:val="single" w:color="auto" w:sz="6" w:space="0"/>
            </w:tcBorders>
            <w:shd w:val="clear" w:color="auto" w:fill="auto"/>
            <w:vAlign w:val="bottom"/>
          </w:tcPr>
          <w:p w:rsidRPr="005A4C15" w:rsidR="006D5994" w:rsidP="004962B6" w:rsidRDefault="006D5994" w14:paraId="35995573" w14:textId="052D3DF4">
            <w:pPr>
              <w:widowControl/>
              <w:textAlignment w:val="baseline"/>
            </w:pPr>
            <w:r>
              <w:t>Requirements for HD Engines</w:t>
            </w:r>
            <w:r w:rsidR="00FA2B44">
              <w:t xml:space="preserve"> &amp; Vehicles</w:t>
            </w:r>
          </w:p>
        </w:tc>
        <w:tc>
          <w:tcPr>
            <w:tcW w:w="1305" w:type="dxa"/>
            <w:tcBorders>
              <w:top w:val="single" w:color="auto" w:sz="6" w:space="0"/>
              <w:left w:val="single" w:color="auto" w:sz="6" w:space="0"/>
              <w:bottom w:val="single" w:color="auto" w:sz="6" w:space="0"/>
              <w:right w:val="single" w:color="auto" w:sz="6" w:space="0"/>
            </w:tcBorders>
            <w:shd w:val="clear" w:color="auto" w:fill="auto"/>
            <w:vAlign w:val="bottom"/>
          </w:tcPr>
          <w:p w:rsidR="00DE22AD" w:rsidP="009A6A6F" w:rsidRDefault="00663B0F" w14:paraId="1AC656FE" w14:textId="77777777">
            <w:pPr>
              <w:widowControl/>
              <w:jc w:val="center"/>
              <w:textAlignment w:val="baseline"/>
            </w:pPr>
            <w:r>
              <w:t xml:space="preserve">85, 86, </w:t>
            </w:r>
          </w:p>
          <w:p w:rsidRPr="005A4C15" w:rsidR="006D5994" w:rsidP="009A6A6F" w:rsidRDefault="00663B0F" w14:paraId="566FF544" w14:textId="2F4F92FA">
            <w:pPr>
              <w:widowControl/>
              <w:jc w:val="center"/>
              <w:textAlignment w:val="baseline"/>
            </w:pPr>
            <w:r>
              <w:t>103</w:t>
            </w:r>
            <w:r w:rsidR="00DE22AD">
              <w:t>6</w:t>
            </w:r>
            <w:r>
              <w:t>, 1037</w:t>
            </w:r>
          </w:p>
        </w:tc>
      </w:tr>
      <w:tr w:rsidRPr="005A4C15" w:rsidR="005A4C15" w:rsidTr="003D3AA3" w14:paraId="71DE329A" w14:textId="77777777">
        <w:trPr>
          <w:jc w:val="center"/>
        </w:trPr>
        <w:tc>
          <w:tcPr>
            <w:tcW w:w="45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4962B6" w:rsidRDefault="005A4C15" w14:paraId="01642CD4" w14:textId="728359A6">
            <w:pPr>
              <w:widowControl/>
              <w:textAlignment w:val="baseline"/>
              <w:rPr>
                <w:sz w:val="24"/>
                <w:szCs w:val="24"/>
              </w:rPr>
            </w:pPr>
            <w:r w:rsidRPr="005A4C15">
              <w:t>Evaporative Requirements</w:t>
            </w:r>
          </w:p>
        </w:tc>
        <w:tc>
          <w:tcPr>
            <w:tcW w:w="130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9A6A6F" w:rsidRDefault="005A4C15" w14:paraId="7B1864C1" w14:textId="34133BBA">
            <w:pPr>
              <w:widowControl/>
              <w:jc w:val="center"/>
              <w:textAlignment w:val="baseline"/>
              <w:rPr>
                <w:sz w:val="24"/>
                <w:szCs w:val="24"/>
              </w:rPr>
            </w:pPr>
            <w:r w:rsidRPr="005A4C15">
              <w:t>1060</w:t>
            </w:r>
          </w:p>
        </w:tc>
      </w:tr>
      <w:tr w:rsidRPr="005A4C15" w:rsidR="005A4C15" w:rsidTr="003D3AA3" w14:paraId="7B58032E" w14:textId="77777777">
        <w:trPr>
          <w:jc w:val="center"/>
        </w:trPr>
        <w:tc>
          <w:tcPr>
            <w:tcW w:w="45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4962B6" w:rsidRDefault="005A4C15" w14:paraId="7448384D" w14:textId="60E72350">
            <w:pPr>
              <w:widowControl/>
              <w:textAlignment w:val="baseline"/>
              <w:rPr>
                <w:sz w:val="24"/>
                <w:szCs w:val="24"/>
              </w:rPr>
            </w:pPr>
            <w:r w:rsidRPr="005A4C15">
              <w:t>Engine Testing Procedures</w:t>
            </w:r>
          </w:p>
        </w:tc>
        <w:tc>
          <w:tcPr>
            <w:tcW w:w="130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9A6A6F" w:rsidRDefault="005A4C15" w14:paraId="11A4D3A4" w14:textId="1E429E9D">
            <w:pPr>
              <w:widowControl/>
              <w:jc w:val="center"/>
              <w:textAlignment w:val="baseline"/>
              <w:rPr>
                <w:sz w:val="24"/>
                <w:szCs w:val="24"/>
              </w:rPr>
            </w:pPr>
            <w:r w:rsidRPr="005A4C15">
              <w:t>1065</w:t>
            </w:r>
          </w:p>
        </w:tc>
      </w:tr>
      <w:tr w:rsidRPr="005A4C15" w:rsidR="005A4C15" w:rsidTr="003D3AA3" w14:paraId="707A2B20" w14:textId="77777777">
        <w:trPr>
          <w:jc w:val="center"/>
        </w:trPr>
        <w:tc>
          <w:tcPr>
            <w:tcW w:w="45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4962B6" w:rsidRDefault="005A4C15" w14:paraId="7A7EFC49" w14:textId="7CCBABBF">
            <w:pPr>
              <w:widowControl/>
              <w:textAlignment w:val="baseline"/>
              <w:rPr>
                <w:sz w:val="24"/>
                <w:szCs w:val="24"/>
              </w:rPr>
            </w:pPr>
            <w:r w:rsidRPr="005A4C15">
              <w:lastRenderedPageBreak/>
              <w:t>Vehicle Testing Procedures</w:t>
            </w:r>
          </w:p>
        </w:tc>
        <w:tc>
          <w:tcPr>
            <w:tcW w:w="130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9A6A6F" w:rsidRDefault="005A4C15" w14:paraId="74A17108" w14:textId="2C88BFDD">
            <w:pPr>
              <w:widowControl/>
              <w:jc w:val="center"/>
              <w:textAlignment w:val="baseline"/>
              <w:rPr>
                <w:sz w:val="24"/>
                <w:szCs w:val="24"/>
              </w:rPr>
            </w:pPr>
            <w:r w:rsidRPr="005A4C15">
              <w:t>1066</w:t>
            </w:r>
          </w:p>
        </w:tc>
      </w:tr>
      <w:tr w:rsidRPr="005A4C15" w:rsidR="005A4C15" w:rsidTr="003D3AA3" w14:paraId="048BED23" w14:textId="77777777">
        <w:trPr>
          <w:jc w:val="center"/>
        </w:trPr>
        <w:tc>
          <w:tcPr>
            <w:tcW w:w="45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4962B6" w:rsidRDefault="005A4C15" w14:paraId="19D56822" w14:textId="694D1857">
            <w:pPr>
              <w:widowControl/>
              <w:textAlignment w:val="baseline"/>
              <w:rPr>
                <w:sz w:val="24"/>
                <w:szCs w:val="24"/>
              </w:rPr>
            </w:pPr>
            <w:r w:rsidRPr="005A4C15">
              <w:t xml:space="preserve">General Provisions – apply to most </w:t>
            </w:r>
            <w:r w:rsidR="00500C18">
              <w:t xml:space="preserve">engine </w:t>
            </w:r>
            <w:r w:rsidRPr="005A4C15">
              <w:t>categories</w:t>
            </w:r>
          </w:p>
        </w:tc>
        <w:tc>
          <w:tcPr>
            <w:tcW w:w="130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5A4C15" w:rsidR="005A4C15" w:rsidP="009A6A6F" w:rsidRDefault="005A4C15" w14:paraId="2B089D6B" w14:textId="3A3DB493">
            <w:pPr>
              <w:widowControl/>
              <w:jc w:val="center"/>
              <w:textAlignment w:val="baseline"/>
              <w:rPr>
                <w:sz w:val="24"/>
                <w:szCs w:val="24"/>
              </w:rPr>
            </w:pPr>
            <w:r w:rsidRPr="005A4C15">
              <w:t>1068</w:t>
            </w:r>
          </w:p>
        </w:tc>
      </w:tr>
      <w:tr w:rsidRPr="005A4C15" w:rsidR="00E87DD0" w:rsidTr="00B46F93" w14:paraId="09B6CB20" w14:textId="77777777">
        <w:trPr>
          <w:jc w:val="center"/>
        </w:trPr>
        <w:tc>
          <w:tcPr>
            <w:tcW w:w="4590" w:type="dxa"/>
            <w:tcBorders>
              <w:top w:val="single" w:color="auto" w:sz="6" w:space="0"/>
              <w:left w:val="single" w:color="auto" w:sz="6" w:space="0"/>
              <w:bottom w:val="single" w:color="auto" w:sz="6" w:space="0"/>
              <w:right w:val="single" w:color="auto" w:sz="6" w:space="0"/>
            </w:tcBorders>
            <w:shd w:val="clear" w:color="auto" w:fill="auto"/>
          </w:tcPr>
          <w:p w:rsidRPr="004962B6" w:rsidR="00E87DD0" w:rsidP="00E87DD0" w:rsidRDefault="00E87DD0" w14:paraId="08B6F6EA" w14:textId="12390276">
            <w:pPr>
              <w:widowControl/>
              <w:textAlignment w:val="baseline"/>
            </w:pPr>
            <w:r w:rsidRPr="0093623F">
              <w:t>Marine Compression-Ignition (MCI</w:t>
            </w:r>
            <w:r w:rsidR="00ED78BD">
              <w:t>)</w:t>
            </w:r>
            <w:r w:rsidRPr="0093623F" w:rsidR="00ED78BD">
              <w:t xml:space="preserve"> Engines</w:t>
            </w:r>
            <w:r w:rsidR="00ED78BD">
              <w:t xml:space="preserve"> and Vessels</w:t>
            </w:r>
          </w:p>
        </w:tc>
        <w:tc>
          <w:tcPr>
            <w:tcW w:w="1305" w:type="dxa"/>
            <w:tcBorders>
              <w:top w:val="single" w:color="auto" w:sz="6" w:space="0"/>
              <w:left w:val="single" w:color="auto" w:sz="6" w:space="0"/>
              <w:bottom w:val="single" w:color="auto" w:sz="6" w:space="0"/>
              <w:right w:val="single" w:color="auto" w:sz="6" w:space="0"/>
            </w:tcBorders>
            <w:shd w:val="clear" w:color="auto" w:fill="auto"/>
          </w:tcPr>
          <w:p w:rsidR="00917DB4" w:rsidP="00E87DD0" w:rsidRDefault="00917DB4" w14:paraId="092752F4" w14:textId="77777777">
            <w:pPr>
              <w:widowControl/>
              <w:jc w:val="center"/>
              <w:textAlignment w:val="baseline"/>
            </w:pPr>
          </w:p>
          <w:p w:rsidRPr="005A4C15" w:rsidR="00E87DD0" w:rsidP="00E87DD0" w:rsidRDefault="00E87DD0" w14:paraId="6E2B2EFE" w14:textId="6EC2BD0E">
            <w:pPr>
              <w:widowControl/>
              <w:jc w:val="center"/>
              <w:textAlignment w:val="baseline"/>
            </w:pPr>
            <w:r w:rsidRPr="0093623F">
              <w:t>1042</w:t>
            </w:r>
          </w:p>
        </w:tc>
      </w:tr>
    </w:tbl>
    <w:p w:rsidRPr="005A4C15" w:rsidR="005A4C15" w:rsidP="009A6A6F" w:rsidRDefault="005A4C15" w14:paraId="0215F44C" w14:textId="2056FE44">
      <w:pPr>
        <w:widowControl/>
        <w:ind w:firstLine="720"/>
        <w:jc w:val="center"/>
        <w:textAlignment w:val="baseline"/>
        <w:rPr>
          <w:rFonts w:ascii="Segoe UI" w:hAnsi="Segoe UI" w:cs="Segoe UI"/>
          <w:sz w:val="18"/>
          <w:szCs w:val="18"/>
        </w:rPr>
      </w:pPr>
    </w:p>
    <w:p w:rsidRPr="00811EE7" w:rsidR="005A4C15" w:rsidP="00811EE7" w:rsidRDefault="00CC0F09" w14:paraId="1F49CBB9" w14:textId="5B70A71B">
      <w:pPr>
        <w:pStyle w:val="BodyText"/>
        <w:ind w:firstLine="720"/>
        <w:rPr>
          <w:b/>
          <w:bCs/>
        </w:rPr>
      </w:pPr>
      <w:r>
        <w:t xml:space="preserve">EPA is taking this opportunity to </w:t>
      </w:r>
      <w:r w:rsidRPr="00811EE7" w:rsidR="00811EE7">
        <w:t xml:space="preserve">propose limited amendments </w:t>
      </w:r>
      <w:r w:rsidR="00811EE7">
        <w:t>to other engine and vehicle emissions certification and compliance programs (</w:t>
      </w:r>
      <w:r w:rsidRPr="00811EE7" w:rsidR="00811EE7">
        <w:t xml:space="preserve">e.g., </w:t>
      </w:r>
      <w:r w:rsidRPr="00C3227E" w:rsidR="00811EE7">
        <w:t>marine diesel engines, locomotives, light-duty vehicles, various types of nonroad engines, vehicles, and equipment</w:t>
      </w:r>
      <w:r w:rsidRPr="00811EE7" w:rsidR="00811EE7">
        <w:t>).</w:t>
      </w:r>
      <w:r w:rsidR="00811EE7">
        <w:t xml:space="preserve"> In general, t</w:t>
      </w:r>
      <w:r w:rsidR="00827457">
        <w:t xml:space="preserve">hose changes </w:t>
      </w:r>
      <w:r w:rsidRPr="00590FA6" w:rsidR="00827457">
        <w:t>amend certain credit calculations</w:t>
      </w:r>
      <w:r w:rsidR="00402A29">
        <w:t xml:space="preserve">, correct, </w:t>
      </w:r>
      <w:r w:rsidR="00045098">
        <w:t>streamline,</w:t>
      </w:r>
      <w:r w:rsidR="00402A29">
        <w:t xml:space="preserve"> and</w:t>
      </w:r>
      <w:r w:rsidR="00827457">
        <w:t xml:space="preserve"> clarify existing provisions</w:t>
      </w:r>
      <w:r w:rsidRPr="00811EE7" w:rsidR="00811EE7">
        <w:t xml:space="preserve"> </w:t>
      </w:r>
      <w:r w:rsidR="00811EE7">
        <w:t>as summarized in this supporting statement</w:t>
      </w:r>
      <w:r w:rsidR="00827457">
        <w:t xml:space="preserve">. The agency is also seeking to </w:t>
      </w:r>
      <w:r w:rsidRPr="006E6D5B">
        <w:t>codify certain confidentiality determinations, applicable across a wide range of industries</w:t>
      </w:r>
      <w:r w:rsidR="00124BC7">
        <w:t xml:space="preserve"> subject to emission requirements</w:t>
      </w:r>
      <w:r>
        <w:t xml:space="preserve"> </w:t>
      </w:r>
      <w:r w:rsidRPr="006E6D5B">
        <w:t>to facilitate sharing emissions data with the public</w:t>
      </w:r>
      <w:r w:rsidRPr="00F65E2A">
        <w:t xml:space="preserve">. </w:t>
      </w:r>
      <w:r w:rsidR="00F65E2A">
        <w:t xml:space="preserve">The proposal would establish </w:t>
      </w:r>
      <w:r w:rsidRPr="00F65E2A" w:rsidR="00141A0B">
        <w:t>categories for the information submitted under the standard-setting parts and to determine whether such categories of information are entitled to confidential treatment</w:t>
      </w:r>
      <w:r w:rsidR="00124BC7">
        <w:t xml:space="preserve">. These </w:t>
      </w:r>
      <w:r w:rsidRPr="00F65E2A" w:rsidR="00141A0B">
        <w:t xml:space="preserve">proposed revisions </w:t>
      </w:r>
      <w:r w:rsidR="00124BC7">
        <w:t>would apply to P</w:t>
      </w:r>
      <w:r w:rsidRPr="00F65E2A" w:rsidR="00141A0B">
        <w:t>arts 2, 59, 60, 85, 86, 87, 1030, 1033, 1036, 1037, 1043, 1045, 1048, 1051, 1054, 1060, and 1068.</w:t>
      </w:r>
      <w:r w:rsidRPr="005A4C15" w:rsidR="005A4C15">
        <w:t> </w:t>
      </w:r>
    </w:p>
    <w:p w:rsidRPr="005A4C15" w:rsidR="00E046F3" w:rsidP="005A4C15" w:rsidRDefault="005A4C15" w14:paraId="305D0152" w14:textId="413DE3AB">
      <w:pPr>
        <w:widowControl/>
        <w:ind w:firstLine="720"/>
        <w:textAlignment w:val="baseline"/>
        <w:rPr>
          <w:rFonts w:ascii="Segoe UI" w:hAnsi="Segoe UI" w:cs="Segoe UI"/>
          <w:sz w:val="18"/>
          <w:szCs w:val="18"/>
        </w:rPr>
      </w:pPr>
      <w:r w:rsidRPr="005A4C15">
        <w:rPr>
          <w:color w:val="FF0000"/>
        </w:rPr>
        <w:t> </w:t>
      </w:r>
    </w:p>
    <w:p w:rsidRPr="005A4C15" w:rsidR="005A4C15" w:rsidP="005A4C15" w:rsidRDefault="005A4C15" w14:paraId="517D65D3" w14:textId="29EBB4B1">
      <w:pPr>
        <w:widowControl/>
        <w:ind w:firstLine="720"/>
        <w:textAlignment w:val="baseline"/>
        <w:rPr>
          <w:rFonts w:ascii="Segoe UI" w:hAnsi="Segoe UI" w:cs="Segoe UI"/>
          <w:sz w:val="18"/>
          <w:szCs w:val="18"/>
        </w:rPr>
      </w:pPr>
      <w:r w:rsidRPr="005A4C15">
        <w:t>The information w</w:t>
      </w:r>
      <w:r w:rsidR="002D69D3">
        <w:t xml:space="preserve">ould be </w:t>
      </w:r>
      <w:r w:rsidRPr="005A4C15">
        <w:t>collected by EPA’s Compliance Division (CD) within the Office of Transportation and Air Quality, Office of Air and Radiation. </w:t>
      </w:r>
      <w:r w:rsidR="00D64304">
        <w:t>The</w:t>
      </w:r>
      <w:r w:rsidRPr="005A4C15">
        <w:t xml:space="preserve"> information could be used by EPA and the Department of Justice for enforcement purposes. </w:t>
      </w:r>
      <w:r w:rsidR="00D64304">
        <w:t>Some n</w:t>
      </w:r>
      <w:r w:rsidRPr="005A4C15">
        <w:t xml:space="preserve">on-confidential </w:t>
      </w:r>
      <w:r w:rsidR="00023DE2">
        <w:t xml:space="preserve">certification </w:t>
      </w:r>
      <w:r w:rsidR="00D64304">
        <w:t>data</w:t>
      </w:r>
      <w:r w:rsidRPr="005A4C15">
        <w:t xml:space="preserve"> are disclosed in EPA’s website and may be used by trade associations, environmental groups, and the public.  The information is collected electronically and stored in CD's databases.   </w:t>
      </w:r>
    </w:p>
    <w:p w:rsidRPr="005A4C15" w:rsidR="005A4C15" w:rsidP="005A4C15" w:rsidRDefault="005A4C15" w14:paraId="52B83781" w14:textId="77777777">
      <w:pPr>
        <w:widowControl/>
        <w:textAlignment w:val="baseline"/>
        <w:rPr>
          <w:rFonts w:ascii="Segoe UI" w:hAnsi="Segoe UI" w:cs="Segoe UI"/>
          <w:sz w:val="18"/>
          <w:szCs w:val="18"/>
        </w:rPr>
      </w:pPr>
      <w:r w:rsidRPr="005A4C15">
        <w:t> </w:t>
      </w:r>
    </w:p>
    <w:p w:rsidRPr="003F38DB" w:rsidR="005A4C15" w:rsidP="005A4C15" w:rsidRDefault="005A4C15" w14:paraId="00362044" w14:textId="2CF5D147">
      <w:pPr>
        <w:widowControl/>
        <w:ind w:firstLine="720"/>
        <w:textAlignment w:val="baseline"/>
        <w:rPr>
          <w:rFonts w:ascii="Segoe UI" w:hAnsi="Segoe UI" w:cs="Segoe UI"/>
          <w:sz w:val="18"/>
          <w:szCs w:val="18"/>
        </w:rPr>
      </w:pPr>
      <w:r w:rsidRPr="005A4C15">
        <w:t xml:space="preserve">It has been estimated that a total </w:t>
      </w:r>
      <w:r w:rsidRPr="009D62D7">
        <w:t>of</w:t>
      </w:r>
      <w:r w:rsidR="009D62D7">
        <w:t xml:space="preserve"> 279 HD</w:t>
      </w:r>
      <w:r w:rsidRPr="009D62D7">
        <w:t xml:space="preserve"> engine and vehicle manufacturers will respond to this collection with an approximate annual cost of</w:t>
      </w:r>
      <w:r w:rsidR="009D62D7">
        <w:t xml:space="preserve"> $</w:t>
      </w:r>
      <w:r w:rsidR="009C0185">
        <w:t>5.7 million,</w:t>
      </w:r>
      <w:r w:rsidRPr="009D62D7">
        <w:t xml:space="preserve"> including</w:t>
      </w:r>
      <w:r w:rsidRPr="003F38DB">
        <w:t xml:space="preserve"> an estimated $3</w:t>
      </w:r>
      <w:r w:rsidR="009C0185">
        <w:t>.</w:t>
      </w:r>
      <w:r w:rsidRPr="003F38DB">
        <w:t>7</w:t>
      </w:r>
      <w:r w:rsidR="009C0185">
        <w:t xml:space="preserve"> million </w:t>
      </w:r>
      <w:r w:rsidRPr="003F38DB">
        <w:t>in annualized capital or maintenance and operational costs. </w:t>
      </w:r>
    </w:p>
    <w:p w:rsidRPr="005A4C15" w:rsidR="005A4C15" w:rsidP="005A4C15" w:rsidRDefault="005A4C15" w14:paraId="3780805C" w14:textId="77777777">
      <w:pPr>
        <w:widowControl/>
        <w:textAlignment w:val="baseline"/>
        <w:rPr>
          <w:rFonts w:ascii="Segoe UI" w:hAnsi="Segoe UI" w:cs="Segoe UI"/>
          <w:sz w:val="18"/>
          <w:szCs w:val="18"/>
        </w:rPr>
      </w:pPr>
      <w:r w:rsidRPr="005A4C15">
        <w:t> </w:t>
      </w:r>
    </w:p>
    <w:p w:rsidR="0095754D" w:rsidP="0095754D" w:rsidRDefault="0095754D" w14:paraId="76264E87" w14:textId="77777777"/>
    <w:p w:rsidRPr="009647E5" w:rsidR="0095754D" w:rsidP="0095754D" w:rsidRDefault="0034466B" w14:paraId="369F82A3" w14:textId="125EABED">
      <w:pPr>
        <w:rPr>
          <w:bCs/>
        </w:rPr>
      </w:pPr>
      <w:r w:rsidRPr="009647E5">
        <w:rPr>
          <w:bCs/>
        </w:rPr>
        <w:t>2.</w:t>
      </w:r>
      <w:r w:rsidRPr="009647E5">
        <w:rPr>
          <w:bCs/>
        </w:rPr>
        <w:tab/>
      </w:r>
      <w:r w:rsidRPr="009647E5">
        <w:rPr>
          <w:bCs/>
          <w:u w:val="single"/>
        </w:rPr>
        <w:t>Need f</w:t>
      </w:r>
      <w:r w:rsidRPr="009647E5" w:rsidR="0095754D">
        <w:rPr>
          <w:bCs/>
          <w:u w:val="single"/>
        </w:rPr>
        <w:t>or and Use of the Collection</w:t>
      </w:r>
    </w:p>
    <w:p w:rsidR="0095754D" w:rsidP="0095754D" w:rsidRDefault="0095754D" w14:paraId="206368C8" w14:textId="77777777">
      <w:pPr>
        <w:rPr>
          <w:b/>
          <w:bCs/>
        </w:rPr>
      </w:pPr>
    </w:p>
    <w:p w:rsidR="0095754D" w:rsidP="0095754D" w:rsidRDefault="00B40FEF" w14:paraId="20B771A9" w14:textId="729F0F86">
      <w:pPr>
        <w:ind w:firstLine="720"/>
        <w:rPr>
          <w:b/>
          <w:bCs/>
        </w:rPr>
      </w:pPr>
      <w:r w:rsidRPr="002B0F5E">
        <w:rPr>
          <w:b/>
          <w:bCs/>
        </w:rPr>
        <w:t>2(a)</w:t>
      </w:r>
      <w:r w:rsidRPr="002B0F5E">
        <w:rPr>
          <w:b/>
          <w:bCs/>
        </w:rPr>
        <w:tab/>
      </w:r>
      <w:r w:rsidRPr="002B0F5E" w:rsidR="0095754D">
        <w:rPr>
          <w:b/>
          <w:bCs/>
        </w:rPr>
        <w:t>Need/Authority for the Collection</w:t>
      </w:r>
    </w:p>
    <w:p w:rsidR="0095754D" w:rsidP="0095754D" w:rsidRDefault="0095754D" w14:paraId="3890324B" w14:textId="77777777">
      <w:pPr>
        <w:rPr>
          <w:b/>
          <w:bCs/>
        </w:rPr>
      </w:pPr>
    </w:p>
    <w:p w:rsidRPr="008B3DD0" w:rsidR="0095754D" w:rsidP="00540CCB" w:rsidRDefault="0095754D" w14:paraId="0EE62F2E" w14:textId="4C6DF110">
      <w:pPr>
        <w:ind w:firstLine="720"/>
      </w:pPr>
      <w:r w:rsidRPr="008B3DD0">
        <w:t>EPA</w:t>
      </w:r>
      <w:r>
        <w:t>'</w:t>
      </w:r>
      <w:r w:rsidRPr="008B3DD0">
        <w:t xml:space="preserve">s emission programs are statutorily mandated; the agency does not have discretion to cease these functions.  </w:t>
      </w:r>
      <w:r>
        <w:t>The data required is necessary to comply with Tit</w:t>
      </w:r>
      <w:r w:rsidR="00540CCB">
        <w:t>le II of the Clean Air Act</w:t>
      </w:r>
      <w:r w:rsidRPr="00540CCB" w:rsidR="00540CCB">
        <w:t xml:space="preserve"> </w:t>
      </w:r>
      <w:r w:rsidRPr="00A8079D" w:rsidR="00540CCB">
        <w:t>(42</w:t>
      </w:r>
      <w:r w:rsidR="00540CCB">
        <w:t xml:space="preserve"> U.S.C. 7521 et seq.; “CAA” or “the Act”)</w:t>
      </w:r>
      <w:r>
        <w:t xml:space="preserve">, as amended. </w:t>
      </w:r>
      <w:r w:rsidR="00540CCB">
        <w:t xml:space="preserve">The Act </w:t>
      </w:r>
      <w:r w:rsidRPr="00A8079D" w:rsidR="00A8079D">
        <w:t>charges EPA with developing standards for</w:t>
      </w:r>
      <w:r w:rsidR="00540CCB">
        <w:t xml:space="preserve"> compounds deemed ‘pollutants’ as defined by the CAA itself, and</w:t>
      </w:r>
      <w:r>
        <w:t xml:space="preserve"> </w:t>
      </w:r>
      <w:r w:rsidR="00540CCB">
        <w:t>issue c</w:t>
      </w:r>
      <w:r w:rsidRPr="00A8079D" w:rsidR="00540CCB">
        <w:t xml:space="preserve">ertificates of conformity for those engines and motor vehicle designs that comply with </w:t>
      </w:r>
      <w:r w:rsidR="00540CCB">
        <w:t>those</w:t>
      </w:r>
      <w:r w:rsidRPr="00A8079D" w:rsidR="00540CCB">
        <w:t xml:space="preserve"> standards. Such a certificate must be issued before engines and vehicles may be legally introduced into commerce.</w:t>
      </w:r>
      <w:r w:rsidR="00540CCB">
        <w:t xml:space="preserve"> </w:t>
      </w:r>
      <w:r w:rsidRPr="008B3DD0">
        <w:t>Section 206(a) of the CAA (42 USC 7521)</w:t>
      </w:r>
      <w:r w:rsidR="00540CCB">
        <w:t xml:space="preserve"> states</w:t>
      </w:r>
      <w:r w:rsidRPr="008B3DD0">
        <w:t xml:space="preserve">: </w:t>
      </w:r>
    </w:p>
    <w:p w:rsidRPr="008B3DD0" w:rsidR="0095754D" w:rsidP="0095754D" w:rsidRDefault="0095754D" w14:paraId="2FACB993" w14:textId="77777777"/>
    <w:p w:rsidR="0095754D" w:rsidP="0095754D" w:rsidRDefault="0095754D" w14:paraId="10580948" w14:textId="77777777">
      <w:pPr>
        <w:ind w:left="720" w:right="720"/>
      </w:pPr>
      <w:r>
        <w:t>"</w:t>
      </w:r>
      <w:r w:rsidRPr="008B3DD0">
        <w:t xml:space="preserve">The Administrator shall </w:t>
      </w:r>
      <w:proofErr w:type="gramStart"/>
      <w:r w:rsidRPr="008B3DD0">
        <w:t>test, or</w:t>
      </w:r>
      <w:proofErr w:type="gramEnd"/>
      <w:r w:rsidRPr="008B3DD0">
        <w:t xml:space="preserve">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w:t>
      </w:r>
      <w:proofErr w:type="gramStart"/>
      <w:r w:rsidRPr="008B3DD0">
        <w:t>in excess of</w:t>
      </w:r>
      <w:proofErr w:type="gramEnd"/>
      <w:r w:rsidRPr="008B3DD0">
        <w:t xml:space="preserve"> one year) as he may prescribe.</w:t>
      </w:r>
      <w:r>
        <w:t>"</w:t>
      </w:r>
    </w:p>
    <w:p w:rsidRPr="008B3DD0" w:rsidR="0095754D" w:rsidP="0095754D" w:rsidRDefault="0095754D" w14:paraId="1C68D092" w14:textId="77777777">
      <w:pPr>
        <w:ind w:left="720" w:right="720"/>
      </w:pPr>
    </w:p>
    <w:p w:rsidR="00851D8C" w:rsidP="00851D8C" w:rsidRDefault="0095754D" w14:paraId="22F82A02" w14:textId="730945EB">
      <w:r w:rsidRPr="008B3DD0">
        <w:tab/>
      </w:r>
      <w:r w:rsidR="00851D8C">
        <w:t>It should be noted that t</w:t>
      </w:r>
      <w:r w:rsidRPr="00A8079D" w:rsidR="00851D8C">
        <w:t xml:space="preserve">he Supreme Court’s decision in </w:t>
      </w:r>
      <w:r w:rsidRPr="00A8079D" w:rsidR="00851D8C">
        <w:rPr>
          <w:i/>
          <w:lang w:val="en"/>
        </w:rPr>
        <w:t>Massachusetts v. Environmental Protection Agency</w:t>
      </w:r>
      <w:r w:rsidRPr="00A8079D" w:rsidR="00851D8C">
        <w:rPr>
          <w:lang w:val="en"/>
        </w:rPr>
        <w:t xml:space="preserve">, 549 U.S. 497 (2007), </w:t>
      </w:r>
      <w:r w:rsidRPr="00A8079D" w:rsidR="00851D8C">
        <w:t xml:space="preserve">extended that charge to greenhouse gases (GHGs) when it ruled that GHGs are in fact pollutants </w:t>
      </w:r>
      <w:r w:rsidR="00851D8C">
        <w:t xml:space="preserve">under </w:t>
      </w:r>
      <w:r w:rsidRPr="00A8079D" w:rsidR="00851D8C">
        <w:t>the CAA</w:t>
      </w:r>
      <w:r w:rsidR="00080CFE">
        <w:t>.</w:t>
      </w:r>
      <w:r w:rsidR="00BC75A0">
        <w:t xml:space="preserve"> Furthermore, </w:t>
      </w:r>
      <w:r w:rsidRPr="00BC75A0" w:rsidR="00BC75A0">
        <w:t>Executive Order 14037</w:t>
      </w:r>
      <w:r w:rsidR="00397597">
        <w:t xml:space="preserve"> (86 FR 43583, </w:t>
      </w:r>
      <w:r w:rsidRPr="00B00761" w:rsidR="00397597">
        <w:t>August 2021</w:t>
      </w:r>
      <w:r w:rsidR="00397597">
        <w:t>)</w:t>
      </w:r>
      <w:r w:rsidR="00BC75A0">
        <w:t>,</w:t>
      </w:r>
      <w:r w:rsidRPr="00BC75A0" w:rsidR="00BC75A0">
        <w:t xml:space="preserve"> Strengthening American Leadership in Clean Cars and Trucks, directs EPA to take </w:t>
      </w:r>
      <w:r w:rsidR="00BC75A0">
        <w:t xml:space="preserve">certain </w:t>
      </w:r>
      <w:r w:rsidRPr="00BC75A0" w:rsidR="00BC75A0">
        <w:t xml:space="preserve">steps </w:t>
      </w:r>
      <w:r w:rsidR="006C78F0">
        <w:t xml:space="preserve">aimed at </w:t>
      </w:r>
      <w:r w:rsidRPr="00BC75A0" w:rsidR="00BC75A0">
        <w:t>reduc</w:t>
      </w:r>
      <w:r w:rsidR="006C78F0">
        <w:t>ing</w:t>
      </w:r>
      <w:r w:rsidRPr="00BC75A0" w:rsidR="00BC75A0">
        <w:t xml:space="preserve"> GHG emissions from heavy-duty engines and vehicles.</w:t>
      </w:r>
    </w:p>
    <w:p w:rsidR="00851D8C" w:rsidP="00AD4CF9" w:rsidRDefault="00851D8C" w14:paraId="6DC479CB" w14:textId="257065B8"/>
    <w:p w:rsidR="00055717" w:rsidP="00055717" w:rsidRDefault="0095754D" w14:paraId="008CAED5" w14:textId="1A74A2DB">
      <w:r w:rsidRPr="008B3DD0">
        <w:tab/>
      </w:r>
      <w:r w:rsidRPr="00A85452" w:rsidR="00BE2E92">
        <w:t>Section 206(b)(1) of the Act authorizes EPA to inspect and require testing of new vehicles and engines to: (1) verify that manufacturer</w:t>
      </w:r>
      <w:r w:rsidR="00BE2E92">
        <w:t>'</w:t>
      </w:r>
      <w:r w:rsidRPr="00A85452" w:rsidR="00BE2E92">
        <w:t xml:space="preserve">s final product </w:t>
      </w:r>
      <w:r w:rsidRPr="00A85452" w:rsidR="00540CCB">
        <w:t>complies</w:t>
      </w:r>
      <w:r w:rsidRPr="00A85452" w:rsidR="00BE2E92">
        <w:t xml:space="preserve"> with EPA standards; (2) assure that the correct parts are installed correctly in each engine; and (3) audit the manufacturer</w:t>
      </w:r>
      <w:r w:rsidR="00BE2E92">
        <w:t>'</w:t>
      </w:r>
      <w:r w:rsidRPr="00A85452" w:rsidR="00BE2E92">
        <w:t>s testing process to ensure testin</w:t>
      </w:r>
      <w:r w:rsidR="00BE2E92">
        <w:t xml:space="preserve">g is being done correctly. </w:t>
      </w:r>
      <w:r w:rsidRPr="00A85452" w:rsidR="00055717">
        <w:t>The P</w:t>
      </w:r>
      <w:r w:rsidR="00055717">
        <w:t xml:space="preserve">roduction </w:t>
      </w:r>
      <w:r w:rsidRPr="00A85452" w:rsidR="00055717">
        <w:t>L</w:t>
      </w:r>
      <w:r w:rsidR="00055717">
        <w:t xml:space="preserve">ine </w:t>
      </w:r>
      <w:r w:rsidRPr="00A85452" w:rsidR="00055717">
        <w:t>T</w:t>
      </w:r>
      <w:r w:rsidR="00055717">
        <w:t xml:space="preserve">esting (PLT) </w:t>
      </w:r>
      <w:r w:rsidRPr="00A85452" w:rsidR="00055717">
        <w:t xml:space="preserve">and </w:t>
      </w:r>
      <w:r w:rsidR="00055717">
        <w:t xml:space="preserve">Selective Enforcement </w:t>
      </w:r>
      <w:r w:rsidR="00076231">
        <w:t>Audits (</w:t>
      </w:r>
      <w:r w:rsidRPr="00A85452" w:rsidR="00055717">
        <w:t>SEA</w:t>
      </w:r>
      <w:r w:rsidR="00076231">
        <w:t>)</w:t>
      </w:r>
      <w:r w:rsidR="00055717">
        <w:t xml:space="preserve"> Programs</w:t>
      </w:r>
      <w:r w:rsidRPr="00A85452" w:rsidR="00055717">
        <w:t xml:space="preserve"> fulfill these requirements by inspecting and testing engines taken directly from the assembly line </w:t>
      </w:r>
      <w:r w:rsidR="00055717">
        <w:t xml:space="preserve">and/or existing fleets, </w:t>
      </w:r>
      <w:r w:rsidRPr="00A85452" w:rsidR="00055717">
        <w:t>and by auditing the engine manufacturer</w:t>
      </w:r>
      <w:r w:rsidR="00055717">
        <w:t>'</w:t>
      </w:r>
      <w:r w:rsidRPr="00A85452" w:rsidR="00055717">
        <w:t xml:space="preserve">s testing procedures and facilities. </w:t>
      </w:r>
      <w:r w:rsidRPr="00F33AD2" w:rsidR="00055717">
        <w:t xml:space="preserve">Section 207(b) of the CAA mandates the </w:t>
      </w:r>
      <w:r w:rsidRPr="00F33AD2" w:rsidR="00055717">
        <w:lastRenderedPageBreak/>
        <w:t xml:space="preserve">establishment of methods and testing procedures to ascertain whether certified engines in actual use in fact comply with applicable emission standards throughout their useful lives.  </w:t>
      </w:r>
      <w:r w:rsidR="00055717">
        <w:t>The In-Use Testing and similar programs are implemented in response to that mandate.</w:t>
      </w:r>
    </w:p>
    <w:p w:rsidR="0062482C" w:rsidP="0095754D" w:rsidRDefault="0062482C" w14:paraId="28D3EA12" w14:textId="77777777"/>
    <w:p w:rsidR="0062482C" w:rsidP="00A64710" w:rsidRDefault="00397597" w14:paraId="535DF70F" w14:textId="669A625E">
      <w:pPr>
        <w:ind w:firstLine="720"/>
      </w:pPr>
      <w:r>
        <w:t>In general</w:t>
      </w:r>
      <w:r w:rsidR="002B0F5E">
        <w:t>, t</w:t>
      </w:r>
      <w:r w:rsidR="00966C52">
        <w:t xml:space="preserve">he </w:t>
      </w:r>
      <w:r w:rsidR="002B0F5E">
        <w:t xml:space="preserve">sections of the </w:t>
      </w:r>
      <w:r w:rsidR="00966C52">
        <w:t xml:space="preserve">CAA </w:t>
      </w:r>
      <w:r w:rsidR="00A64710">
        <w:t xml:space="preserve">that offer statutory </w:t>
      </w:r>
      <w:r w:rsidRPr="00A64710" w:rsidR="00A64710">
        <w:t>authority for the requirements proposed in this rulemaking</w:t>
      </w:r>
      <w:r w:rsidR="00A64710">
        <w:t xml:space="preserve"> are </w:t>
      </w:r>
      <w:r w:rsidRPr="00A64710" w:rsidR="00A64710">
        <w:t>202, 203, 206, 207, 208, 213, 216, and 301 (42 U.S.C. 7521, 7522, 7525, 7541, 7542, 7547, 7550, and 7601).</w:t>
      </w:r>
    </w:p>
    <w:p w:rsidR="00A64710" w:rsidP="0095754D" w:rsidRDefault="00A64710" w14:paraId="6746F6AE" w14:textId="77777777"/>
    <w:p w:rsidR="00511AF5" w:rsidP="00050026" w:rsidRDefault="00511AF5" w14:paraId="6F2260B6" w14:textId="4C25E1E4">
      <w:pPr>
        <w:rPr>
          <w:b/>
        </w:rPr>
      </w:pPr>
    </w:p>
    <w:p w:rsidR="00050026" w:rsidP="00050026" w:rsidRDefault="00050026" w14:paraId="5189D6EC" w14:textId="77777777">
      <w:pPr>
        <w:rPr>
          <w:b/>
          <w:bCs/>
        </w:rPr>
      </w:pPr>
    </w:p>
    <w:p w:rsidR="00050026" w:rsidP="009D7472" w:rsidRDefault="00050026" w14:paraId="300701CA" w14:textId="77777777">
      <w:pPr>
        <w:ind w:firstLine="720"/>
        <w:rPr>
          <w:b/>
          <w:bCs/>
        </w:rPr>
      </w:pPr>
      <w:r w:rsidRPr="00EB626D">
        <w:rPr>
          <w:b/>
          <w:bCs/>
        </w:rPr>
        <w:t>2(b)</w:t>
      </w:r>
      <w:r w:rsidRPr="00EB626D">
        <w:t xml:space="preserve"> </w:t>
      </w:r>
      <w:r w:rsidRPr="00EB626D">
        <w:tab/>
      </w:r>
      <w:r w:rsidRPr="00EB626D">
        <w:rPr>
          <w:b/>
        </w:rPr>
        <w:t>Practical Utility/Users of the Data</w:t>
      </w:r>
    </w:p>
    <w:p w:rsidR="00511AF5" w:rsidP="00050026" w:rsidRDefault="009D7472" w14:paraId="2C000719" w14:textId="0F5F1FCF">
      <w:pPr>
        <w:ind w:firstLine="360"/>
      </w:pPr>
      <w:r>
        <w:tab/>
      </w:r>
    </w:p>
    <w:p w:rsidR="00476BA8" w:rsidP="00476BA8" w:rsidRDefault="00476BA8" w14:paraId="5D6AB83D" w14:textId="607FC426">
      <w:pPr>
        <w:pStyle w:val="paragraph"/>
        <w:spacing w:before="0" w:beforeAutospacing="0" w:after="0" w:afterAutospacing="0"/>
        <w:ind w:firstLine="720"/>
        <w:textAlignment w:val="baseline"/>
        <w:rPr>
          <w:rFonts w:ascii="Segoe UI" w:hAnsi="Segoe UI" w:cs="Segoe UI"/>
          <w:sz w:val="18"/>
          <w:szCs w:val="18"/>
        </w:rPr>
      </w:pPr>
      <w:r>
        <w:rPr>
          <w:rStyle w:val="normaltextrun"/>
          <w:sz w:val="20"/>
          <w:szCs w:val="20"/>
        </w:rPr>
        <w:t>EPA will use the information requested under this collection to verify and support a three-stage compliance assurance system envisioned in the CAA.  First, certification information</w:t>
      </w:r>
      <w:r w:rsidR="002B0F5E">
        <w:rPr>
          <w:rStyle w:val="normaltextrun"/>
          <w:sz w:val="20"/>
          <w:szCs w:val="20"/>
        </w:rPr>
        <w:t>, including test data,</w:t>
      </w:r>
      <w:r>
        <w:rPr>
          <w:rStyle w:val="normaltextrun"/>
          <w:sz w:val="20"/>
          <w:szCs w:val="20"/>
        </w:rPr>
        <w:t xml:space="preserve"> is needed to verify that the proper prototype engines have been selected to represent each engine/vehicle family (group of engines/vehicles expected to have similar emission characteristics), and that the necessary testing has been performed. Based on this information, EPA issues a certificate of conformity.  However, prototypes are often hand-built and not typical of assembly line engines. </w:t>
      </w:r>
      <w:r>
        <w:rPr>
          <w:rStyle w:val="eop"/>
          <w:sz w:val="20"/>
          <w:szCs w:val="20"/>
        </w:rPr>
        <w:t> </w:t>
      </w:r>
    </w:p>
    <w:p w:rsidR="00476BA8" w:rsidP="00476BA8" w:rsidRDefault="00476BA8" w14:paraId="622AD446" w14:textId="77777777">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00476BA8" w:rsidP="00213241" w:rsidRDefault="00213241" w14:paraId="4E5834F0" w14:textId="0CA2F189">
      <w:pPr>
        <w:pStyle w:val="paragraph"/>
        <w:spacing w:before="0" w:beforeAutospacing="0" w:after="0" w:afterAutospacing="0"/>
        <w:ind w:firstLine="720"/>
        <w:textAlignment w:val="baseline"/>
        <w:rPr>
          <w:rFonts w:ascii="Segoe UI" w:hAnsi="Segoe UI" w:cs="Segoe UI"/>
          <w:sz w:val="18"/>
          <w:szCs w:val="18"/>
        </w:rPr>
      </w:pPr>
      <w:r>
        <w:rPr>
          <w:rStyle w:val="normaltextrun"/>
          <w:sz w:val="20"/>
          <w:szCs w:val="20"/>
        </w:rPr>
        <w:t xml:space="preserve">Data collected under the </w:t>
      </w:r>
      <w:r w:rsidRPr="00213241" w:rsidR="00476BA8">
        <w:rPr>
          <w:rStyle w:val="normaltextrun"/>
          <w:sz w:val="20"/>
          <w:szCs w:val="20"/>
        </w:rPr>
        <w:t xml:space="preserve">Production Line Testing </w:t>
      </w:r>
      <w:r>
        <w:rPr>
          <w:rStyle w:val="normaltextrun"/>
          <w:sz w:val="20"/>
          <w:szCs w:val="20"/>
        </w:rPr>
        <w:t xml:space="preserve">(PLT) </w:t>
      </w:r>
      <w:r w:rsidRPr="00213241" w:rsidR="00476BA8">
        <w:rPr>
          <w:rStyle w:val="normaltextrun"/>
          <w:sz w:val="20"/>
          <w:szCs w:val="20"/>
        </w:rPr>
        <w:t>Program is used to verify that manufacturers have successfully translated their prototypes into mass-produced engines. Lastly, in-use testing is</w:t>
      </w:r>
      <w:r w:rsidR="00476BA8">
        <w:rPr>
          <w:rStyle w:val="normaltextrun"/>
          <w:sz w:val="20"/>
          <w:szCs w:val="20"/>
        </w:rPr>
        <w:t xml:space="preserve"> designed to determine if engines and vehicles maintained in accordance with the manufacturer's instructions still emit at acceptable levels after a prescribed number of years of actual use.  If a family of engines or vehicles is found </w:t>
      </w:r>
      <w:r>
        <w:rPr>
          <w:rStyle w:val="normaltextrun"/>
          <w:sz w:val="20"/>
          <w:szCs w:val="20"/>
        </w:rPr>
        <w:t>in noncompliance</w:t>
      </w:r>
      <w:r w:rsidR="00476BA8">
        <w:rPr>
          <w:rStyle w:val="normaltextrun"/>
          <w:sz w:val="20"/>
          <w:szCs w:val="20"/>
        </w:rPr>
        <w:t>, manufacturers are required to recall the family.  </w:t>
      </w:r>
      <w:r w:rsidR="00476BA8">
        <w:rPr>
          <w:rStyle w:val="eop"/>
          <w:sz w:val="20"/>
          <w:szCs w:val="20"/>
        </w:rPr>
        <w:t> </w:t>
      </w:r>
    </w:p>
    <w:p w:rsidR="00476BA8" w:rsidP="00476BA8" w:rsidRDefault="00476BA8" w14:paraId="28F3AB36" w14:textId="77777777">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00476BA8" w:rsidP="00476BA8" w:rsidRDefault="00476BA8" w14:paraId="26FC1029" w14:textId="4410D88E">
      <w:pPr>
        <w:pStyle w:val="paragraph"/>
        <w:spacing w:before="0" w:beforeAutospacing="0" w:after="0" w:afterAutospacing="0"/>
        <w:ind w:firstLine="720"/>
        <w:textAlignment w:val="baseline"/>
        <w:rPr>
          <w:rFonts w:ascii="Segoe UI" w:hAnsi="Segoe UI" w:cs="Segoe UI"/>
          <w:sz w:val="18"/>
          <w:szCs w:val="18"/>
        </w:rPr>
      </w:pPr>
      <w:r>
        <w:rPr>
          <w:rStyle w:val="normaltextrun"/>
          <w:sz w:val="20"/>
          <w:szCs w:val="20"/>
        </w:rPr>
        <w:t>The information will be received and used by various divisions within OTAQ</w:t>
      </w:r>
      <w:r w:rsidR="00C80D46">
        <w:rPr>
          <w:rStyle w:val="normaltextrun"/>
          <w:sz w:val="20"/>
          <w:szCs w:val="20"/>
        </w:rPr>
        <w:t xml:space="preserve"> that implement CAA requirements</w:t>
      </w:r>
      <w:r>
        <w:rPr>
          <w:rStyle w:val="normaltextrun"/>
          <w:sz w:val="20"/>
          <w:szCs w:val="20"/>
        </w:rPr>
        <w:t>. In instances of noncompliance, the information may be used by EPA’s enforcement office and the Department of Justice.  Non-confidential portions of the information submitted to DECC are available to and used by importers, environmental groups, members of the public and state and local government organizations. </w:t>
      </w:r>
      <w:r>
        <w:rPr>
          <w:rStyle w:val="eop"/>
          <w:sz w:val="20"/>
          <w:szCs w:val="20"/>
        </w:rPr>
        <w:t> </w:t>
      </w:r>
    </w:p>
    <w:p w:rsidR="00476BA8" w:rsidP="00476BA8" w:rsidRDefault="00476BA8" w14:paraId="2F04AAB2" w14:textId="77777777">
      <w:pPr>
        <w:pStyle w:val="paragraph"/>
        <w:spacing w:before="0" w:beforeAutospacing="0" w:after="0" w:afterAutospacing="0"/>
        <w:textAlignment w:val="baseline"/>
        <w:rPr>
          <w:rFonts w:ascii="Segoe UI" w:hAnsi="Segoe UI" w:cs="Segoe UI"/>
          <w:sz w:val="18"/>
          <w:szCs w:val="18"/>
        </w:rPr>
      </w:pPr>
      <w:r>
        <w:rPr>
          <w:rStyle w:val="eop"/>
          <w:sz w:val="20"/>
          <w:szCs w:val="20"/>
        </w:rPr>
        <w:t> </w:t>
      </w:r>
    </w:p>
    <w:p w:rsidR="00050026" w:rsidP="00050026" w:rsidRDefault="00050026" w14:paraId="7FA6F948" w14:textId="77777777"/>
    <w:p w:rsidRPr="004C2C56" w:rsidR="000362E7" w:rsidP="005B74A9" w:rsidRDefault="000362E7" w14:paraId="608DF01E" w14:textId="126F3601">
      <w:r w:rsidRPr="004C2C56">
        <w:t>3.</w:t>
      </w:r>
      <w:r w:rsidRPr="004C2C56" w:rsidR="005B74A9">
        <w:t xml:space="preserve"> </w:t>
      </w:r>
      <w:r w:rsidRPr="004C2C56" w:rsidR="004C2C56">
        <w:tab/>
      </w:r>
      <w:r w:rsidRPr="004C2C56">
        <w:rPr>
          <w:u w:val="single"/>
        </w:rPr>
        <w:t>Nonduplication, Consultations and Other Collection Criteria</w:t>
      </w:r>
    </w:p>
    <w:p w:rsidRPr="00C208A1" w:rsidR="000362E7" w:rsidRDefault="000362E7" w14:paraId="40418CDC" w14:textId="77777777"/>
    <w:p w:rsidRPr="004C2C56" w:rsidR="000362E7" w:rsidP="005B74A9" w:rsidRDefault="000362E7" w14:paraId="2DC5A538" w14:textId="77777777">
      <w:pPr>
        <w:ind w:firstLine="720"/>
        <w:rPr>
          <w:b/>
        </w:rPr>
      </w:pPr>
      <w:r w:rsidRPr="004C2C56">
        <w:rPr>
          <w:b/>
        </w:rPr>
        <w:t>3(a)</w:t>
      </w:r>
      <w:r w:rsidRPr="004C2C56">
        <w:rPr>
          <w:b/>
        </w:rPr>
        <w:tab/>
        <w:t>Nonduplication</w:t>
      </w:r>
    </w:p>
    <w:p w:rsidRPr="005B74A9" w:rsidR="00371184" w:rsidP="005B74A9" w:rsidRDefault="00371184" w14:paraId="2193753D" w14:textId="77777777">
      <w:pPr>
        <w:ind w:firstLine="720"/>
        <w:rPr>
          <w:b/>
        </w:rPr>
      </w:pPr>
    </w:p>
    <w:p w:rsidR="00050026" w:rsidP="00050026" w:rsidRDefault="00050026" w14:paraId="58EA9BE8" w14:textId="12FD3F90">
      <w:pPr>
        <w:ind w:firstLine="720"/>
      </w:pPr>
      <w:r w:rsidRPr="00770165">
        <w:t xml:space="preserve">The information requested under this ICR is required by statute.  Because of its specialized nature, and the fact that most of it must be submitted to EPA before </w:t>
      </w:r>
      <w:r>
        <w:t>HD engines and vehicles</w:t>
      </w:r>
      <w:r w:rsidRPr="00770165">
        <w:t xml:space="preserve"> can be sold, the information collected is not available from any other source.  </w:t>
      </w:r>
      <w:r w:rsidRPr="00890E2E">
        <w:t xml:space="preserve">Furthermore, some of the data requested, such as sales volumes or certain engine designs, may be </w:t>
      </w:r>
      <w:r>
        <w:t xml:space="preserve">proprietary in nature, and thus </w:t>
      </w:r>
      <w:r w:rsidRPr="00890E2E">
        <w:t>claimed as confidential business information (CBI) by manufacturers</w:t>
      </w:r>
      <w:r>
        <w:t>.  Therefore</w:t>
      </w:r>
      <w:r w:rsidRPr="00890E2E">
        <w:t xml:space="preserve">, EPA can only obtain the </w:t>
      </w:r>
      <w:r>
        <w:t>information</w:t>
      </w:r>
      <w:r w:rsidRPr="00890E2E">
        <w:t xml:space="preserve"> if it is submitted by </w:t>
      </w:r>
      <w:r>
        <w:t>its owners, the engine manufacturers</w:t>
      </w:r>
      <w:r w:rsidRPr="00890E2E">
        <w:t xml:space="preserve">. </w:t>
      </w:r>
    </w:p>
    <w:p w:rsidRPr="00C653A6" w:rsidR="002A4D86" w:rsidRDefault="002A4D86" w14:paraId="0F74CA72" w14:textId="77777777"/>
    <w:p w:rsidR="00FB56AA" w:rsidP="00FB56AA" w:rsidRDefault="00FB56AA" w14:paraId="0E87414C" w14:textId="77777777"/>
    <w:p w:rsidRPr="004C2C56" w:rsidR="00FB56AA" w:rsidP="005B74A9" w:rsidRDefault="00FB56AA" w14:paraId="75E0B7D4" w14:textId="77777777">
      <w:pPr>
        <w:ind w:firstLine="720"/>
        <w:rPr>
          <w:b/>
        </w:rPr>
      </w:pPr>
      <w:r w:rsidRPr="009662AF">
        <w:rPr>
          <w:b/>
        </w:rPr>
        <w:t>3(b)</w:t>
      </w:r>
      <w:r w:rsidRPr="009662AF" w:rsidR="006E6BED">
        <w:rPr>
          <w:b/>
        </w:rPr>
        <w:tab/>
      </w:r>
      <w:r w:rsidRPr="009662AF">
        <w:rPr>
          <w:b/>
        </w:rPr>
        <w:t>Public Notice Required Prior to ICR Submission to OMB</w:t>
      </w:r>
    </w:p>
    <w:p w:rsidR="00336DF0" w:rsidP="00FB56AA" w:rsidRDefault="00336DF0" w14:paraId="48F93B33" w14:textId="77777777">
      <w:pPr>
        <w:ind w:firstLine="720"/>
      </w:pPr>
    </w:p>
    <w:p w:rsidR="000F549D" w:rsidP="00506B74" w:rsidRDefault="00506B74" w14:paraId="5E9F045F" w14:textId="495BF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3DD0">
        <w:tab/>
      </w:r>
      <w:r w:rsidRPr="000B0F5C">
        <w:t xml:space="preserve">An </w:t>
      </w:r>
      <w:r w:rsidRPr="000F549D" w:rsidR="00E44327">
        <w:t>Advance Notice of Proposed Rule (ANPR) soliciting pre-proposal comments on a rulemaking effort</w:t>
      </w:r>
      <w:r w:rsidR="00E44327">
        <w:t xml:space="preserve"> then</w:t>
      </w:r>
      <w:r w:rsidRPr="000F549D" w:rsidR="00E44327">
        <w:t xml:space="preserve"> known as the Cleaner Trucks Initiative (CTI)</w:t>
      </w:r>
      <w:r w:rsidR="00E44327">
        <w:t xml:space="preserve"> </w:t>
      </w:r>
      <w:r w:rsidRPr="000B0F5C">
        <w:t xml:space="preserve">was published in </w:t>
      </w:r>
      <w:r w:rsidRPr="008E2446">
        <w:t xml:space="preserve">the </w:t>
      </w:r>
      <w:r w:rsidRPr="008E2446">
        <w:rPr>
          <w:u w:val="single"/>
        </w:rPr>
        <w:t>Federal Register</w:t>
      </w:r>
      <w:r w:rsidRPr="008E2446">
        <w:t xml:space="preserve"> </w:t>
      </w:r>
      <w:r w:rsidRPr="00C97038">
        <w:t>(</w:t>
      </w:r>
      <w:r>
        <w:t>8</w:t>
      </w:r>
      <w:r w:rsidR="00E44327">
        <w:t>5</w:t>
      </w:r>
      <w:r w:rsidRPr="008072C9">
        <w:t xml:space="preserve"> FR </w:t>
      </w:r>
      <w:r w:rsidR="00A254DD">
        <w:rPr>
          <w:color w:val="000000" w:themeColor="text1"/>
        </w:rPr>
        <w:t>3306</w:t>
      </w:r>
      <w:r w:rsidRPr="00C97038">
        <w:t xml:space="preserve">) on </w:t>
      </w:r>
      <w:r w:rsidRPr="000F549D" w:rsidR="00E44327">
        <w:t>January 6, 2020</w:t>
      </w:r>
      <w:r w:rsidRPr="000B0F5C">
        <w:t>. This document may be accessed through the Federal Register</w:t>
      </w:r>
      <w:r>
        <w:t>'</w:t>
      </w:r>
      <w:r w:rsidRPr="000B0F5C">
        <w:t xml:space="preserve">s website </w:t>
      </w:r>
      <w:r w:rsidRPr="008E2446">
        <w:t xml:space="preserve">at </w:t>
      </w:r>
      <w:hyperlink w:history="1" r:id="rId12">
        <w:r w:rsidRPr="00AA44E4" w:rsidR="00E96682">
          <w:rPr>
            <w:rStyle w:val="Hyperlink"/>
          </w:rPr>
          <w:t>https://www.govinfo.gov/content/pkg/FR-2020-01-21/pdf/2020-00542.pdf</w:t>
        </w:r>
      </w:hyperlink>
      <w:r>
        <w:t xml:space="preserve">.  </w:t>
      </w:r>
      <w:r w:rsidR="00E96682">
        <w:t xml:space="preserve">The </w:t>
      </w:r>
      <w:r w:rsidRPr="000F549D" w:rsidR="000F549D">
        <w:t xml:space="preserve">Notice of Proposed Rule (ANPR) </w:t>
      </w:r>
      <w:r w:rsidR="00230EC1">
        <w:t xml:space="preserve">on which this collection request is based is </w:t>
      </w:r>
      <w:r w:rsidR="00E96682">
        <w:t>pending publication</w:t>
      </w:r>
      <w:r w:rsidR="00230EC1">
        <w:t>.</w:t>
      </w:r>
    </w:p>
    <w:p w:rsidR="002E783D" w:rsidP="00506B74" w:rsidRDefault="002E783D" w14:paraId="69039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208A1" w:rsidR="002425CA" w:rsidP="00230EC1" w:rsidRDefault="00E82D84" w14:paraId="74D0B52B" w14:textId="1C47A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4C2C56" w:rsidR="00853D67" w:rsidP="005B74A9" w:rsidRDefault="00853D67" w14:paraId="2E663F1C" w14:textId="77777777">
      <w:pPr>
        <w:ind w:firstLine="720"/>
        <w:rPr>
          <w:b/>
          <w:spacing w:val="6"/>
        </w:rPr>
      </w:pPr>
      <w:r w:rsidRPr="004C2C56">
        <w:rPr>
          <w:b/>
          <w:spacing w:val="6"/>
        </w:rPr>
        <w:t>3(c)</w:t>
      </w:r>
      <w:r w:rsidRPr="004C2C56" w:rsidR="006E6BED">
        <w:rPr>
          <w:b/>
          <w:spacing w:val="6"/>
        </w:rPr>
        <w:tab/>
      </w:r>
      <w:r w:rsidRPr="004C2C56">
        <w:rPr>
          <w:b/>
          <w:spacing w:val="6"/>
        </w:rPr>
        <w:t xml:space="preserve"> Consultations</w:t>
      </w:r>
    </w:p>
    <w:p w:rsidRPr="005379F3" w:rsidR="00853D67" w:rsidP="00853D67" w:rsidRDefault="00853D67" w14:paraId="238FE6B2" w14:textId="77777777">
      <w:pPr>
        <w:rPr>
          <w:spacing w:val="6"/>
        </w:rPr>
      </w:pPr>
    </w:p>
    <w:p w:rsidR="00422E43" w:rsidP="0084260F" w:rsidRDefault="00BB6A97" w14:paraId="6292061D" w14:textId="2F86585C">
      <w:pPr>
        <w:ind w:firstLine="720"/>
      </w:pPr>
      <w:r>
        <w:t xml:space="preserve">EPA </w:t>
      </w:r>
      <w:r w:rsidR="00343992">
        <w:t>used</w:t>
      </w:r>
      <w:r w:rsidR="003D2A41">
        <w:t xml:space="preserve"> </w:t>
      </w:r>
      <w:r w:rsidR="005B43F6">
        <w:t>data gathered in consultations with the regulated industry</w:t>
      </w:r>
      <w:r w:rsidR="00B2425B">
        <w:t xml:space="preserve"> </w:t>
      </w:r>
      <w:r w:rsidR="003710C5">
        <w:t>during the development of burden estimates for</w:t>
      </w:r>
      <w:r w:rsidR="00CF2F53">
        <w:t xml:space="preserve"> current programs</w:t>
      </w:r>
      <w:r w:rsidR="0040799C">
        <w:t xml:space="preserve"> (programmatic ICRs)</w:t>
      </w:r>
      <w:r w:rsidR="00505FD9">
        <w:t xml:space="preserve"> </w:t>
      </w:r>
      <w:r w:rsidR="00B2425B">
        <w:t xml:space="preserve">and </w:t>
      </w:r>
      <w:r w:rsidR="009921ED">
        <w:t xml:space="preserve">its own experience implementing the programs that this </w:t>
      </w:r>
      <w:r w:rsidR="009921ED">
        <w:lastRenderedPageBreak/>
        <w:t xml:space="preserve">proposed rule seeks to amend. </w:t>
      </w:r>
    </w:p>
    <w:p w:rsidR="000A4574" w:rsidP="0084260F" w:rsidRDefault="000A4574" w14:paraId="1EF8BCAA" w14:textId="77777777">
      <w:pPr>
        <w:ind w:firstLine="720"/>
        <w:rPr>
          <w:spacing w:val="6"/>
        </w:rPr>
      </w:pPr>
    </w:p>
    <w:p w:rsidR="00063F55" w:rsidP="005B74A9" w:rsidRDefault="00063F55" w14:paraId="5772366F" w14:textId="77777777">
      <w:pPr>
        <w:ind w:firstLine="720"/>
        <w:rPr>
          <w:b/>
        </w:rPr>
      </w:pPr>
    </w:p>
    <w:p w:rsidRPr="004C2C56" w:rsidR="000362E7" w:rsidP="005B74A9" w:rsidRDefault="000362E7" w14:paraId="5C234330" w14:textId="30EEE273">
      <w:pPr>
        <w:ind w:firstLine="720"/>
        <w:rPr>
          <w:b/>
        </w:rPr>
      </w:pPr>
      <w:r w:rsidRPr="004C2C56">
        <w:rPr>
          <w:b/>
        </w:rPr>
        <w:t>3(d)</w:t>
      </w:r>
      <w:r w:rsidRPr="004C2C56">
        <w:rPr>
          <w:b/>
        </w:rPr>
        <w:tab/>
        <w:t>Effects of Less Frequent Collection</w:t>
      </w:r>
    </w:p>
    <w:p w:rsidRPr="00C208A1" w:rsidR="000362E7" w:rsidRDefault="000362E7" w14:paraId="4FD56C2B" w14:textId="77777777">
      <w:r w:rsidRPr="00C208A1">
        <w:tab/>
      </w:r>
      <w:r w:rsidRPr="00C208A1">
        <w:tab/>
      </w:r>
      <w:r w:rsidRPr="00C208A1">
        <w:tab/>
      </w:r>
      <w:r w:rsidRPr="00C208A1">
        <w:tab/>
      </w:r>
      <w:r w:rsidRPr="00C208A1">
        <w:tab/>
      </w:r>
      <w:r w:rsidRPr="00C208A1">
        <w:tab/>
      </w:r>
      <w:r w:rsidRPr="00C208A1">
        <w:tab/>
      </w:r>
      <w:r w:rsidRPr="00C208A1">
        <w:tab/>
      </w:r>
      <w:r w:rsidRPr="00C208A1">
        <w:tab/>
      </w:r>
      <w:r w:rsidRPr="00C208A1">
        <w:tab/>
      </w:r>
    </w:p>
    <w:p w:rsidR="00D86602" w:rsidRDefault="000362E7" w14:paraId="49A37E65" w14:textId="25BC828B">
      <w:r w:rsidRPr="00C208A1">
        <w:tab/>
        <w:t>The CAA states that emission certification must be done on a yearly basis (CAA 206(a)(1)), coinciding with the industry's ‘model year’.  Major product changes typically occur at the start of a model year.  For these reasons, a collection frequency of less than a model year is not possible.  However,</w:t>
      </w:r>
      <w:r w:rsidR="00063F55">
        <w:t xml:space="preserve"> it should be noted that </w:t>
      </w:r>
      <w:r w:rsidRPr="00C208A1">
        <w:t xml:space="preserve">when an engine </w:t>
      </w:r>
      <w:r w:rsidR="00264BE3">
        <w:t xml:space="preserve">or vehicle </w:t>
      </w:r>
      <w:r w:rsidRPr="00C208A1">
        <w:t>design is "carried over" to a subsequent model year, the amount of new information requ</w:t>
      </w:r>
      <w:r w:rsidRPr="00C208A1" w:rsidR="008A7221">
        <w:t xml:space="preserve">ired </w:t>
      </w:r>
      <w:r w:rsidR="00910A22">
        <w:t>is</w:t>
      </w:r>
      <w:r w:rsidR="002718CD">
        <w:t xml:space="preserve"> </w:t>
      </w:r>
      <w:r w:rsidRPr="00C208A1" w:rsidR="008A7221">
        <w:t>substantially reduced</w:t>
      </w:r>
      <w:r w:rsidR="00910A22">
        <w:t xml:space="preserve">.  </w:t>
      </w:r>
    </w:p>
    <w:p w:rsidR="00CC420F" w:rsidRDefault="00CC420F" w14:paraId="2034BB31" w14:textId="3BEDE619"/>
    <w:p w:rsidR="00063F55" w:rsidRDefault="00063F55" w14:paraId="30A12400" w14:textId="77777777"/>
    <w:p w:rsidRPr="004C2C56" w:rsidR="000362E7" w:rsidP="005B74A9" w:rsidRDefault="000362E7" w14:paraId="21FDF9C1" w14:textId="77777777">
      <w:pPr>
        <w:ind w:firstLine="720"/>
        <w:rPr>
          <w:b/>
        </w:rPr>
      </w:pPr>
      <w:r w:rsidRPr="004C2C56">
        <w:rPr>
          <w:b/>
        </w:rPr>
        <w:t>3(e)</w:t>
      </w:r>
      <w:r w:rsidRPr="004C2C56">
        <w:rPr>
          <w:b/>
        </w:rPr>
        <w:tab/>
        <w:t>General Guidelines</w:t>
      </w:r>
    </w:p>
    <w:p w:rsidR="00D12F9A" w:rsidP="00D12F9A" w:rsidRDefault="000362E7" w14:paraId="2763285F" w14:textId="77777777">
      <w:r w:rsidRPr="00C208A1">
        <w:tab/>
      </w:r>
    </w:p>
    <w:p w:rsidRPr="00802F8A" w:rsidR="005E5ECD" w:rsidP="00D12F9A" w:rsidRDefault="00D12F9A" w14:paraId="22109463" w14:textId="475BF911">
      <w:pPr>
        <w:rPr>
          <w:rFonts w:ascii="Arial" w:hAnsi="Arial" w:cs="Arial"/>
          <w:sz w:val="18"/>
          <w:szCs w:val="18"/>
        </w:rPr>
      </w:pPr>
      <w:r>
        <w:tab/>
      </w:r>
      <w:r w:rsidR="00C96B70">
        <w:t xml:space="preserve">Under 40 </w:t>
      </w:r>
      <w:r w:rsidR="00802F8A">
        <w:t>CFR Parts</w:t>
      </w:r>
      <w:r w:rsidRPr="00802F8A" w:rsidR="00B65BA3">
        <w:t xml:space="preserve"> 1036.250 and 1037.250</w:t>
      </w:r>
      <w:r w:rsidRPr="00802F8A" w:rsidR="00802F8A">
        <w:t>, copies of</w:t>
      </w:r>
      <w:r w:rsidRPr="00802F8A" w:rsidR="00B65BA3">
        <w:t xml:space="preserve"> </w:t>
      </w:r>
      <w:r w:rsidRPr="00802F8A" w:rsidR="00AD0DB7">
        <w:t>documents</w:t>
      </w:r>
      <w:r w:rsidRPr="00802F8A" w:rsidR="00802F8A">
        <w:t xml:space="preserve"> sent to EPA including</w:t>
      </w:r>
      <w:r w:rsidRPr="00802F8A" w:rsidR="00B65BA3">
        <w:t xml:space="preserve"> </w:t>
      </w:r>
      <w:r w:rsidRPr="00802F8A" w:rsidR="00AD0DB7">
        <w:t xml:space="preserve">pre-model reports, </w:t>
      </w:r>
      <w:r w:rsidRPr="00802F8A" w:rsidR="000362E7">
        <w:t>certification</w:t>
      </w:r>
      <w:r w:rsidRPr="00802F8A" w:rsidR="00AD0DB7">
        <w:t xml:space="preserve"> applications</w:t>
      </w:r>
      <w:r w:rsidRPr="00802F8A" w:rsidR="000362E7">
        <w:t xml:space="preserve">, </w:t>
      </w:r>
      <w:r w:rsidRPr="00802F8A" w:rsidR="00C548DC">
        <w:t>ABT,</w:t>
      </w:r>
      <w:r w:rsidRPr="00802F8A" w:rsidR="00802F8A">
        <w:t xml:space="preserve"> emissions test data</w:t>
      </w:r>
      <w:r w:rsidRPr="00802F8A" w:rsidR="00C548DC">
        <w:t xml:space="preserve"> </w:t>
      </w:r>
      <w:r w:rsidRPr="00802F8A" w:rsidR="00B65BA3">
        <w:t xml:space="preserve">and </w:t>
      </w:r>
      <w:r w:rsidRPr="00802F8A" w:rsidR="000362E7">
        <w:t>end-of-the-year report</w:t>
      </w:r>
      <w:r w:rsidRPr="00802F8A" w:rsidR="00C548DC">
        <w:t>s</w:t>
      </w:r>
      <w:r w:rsidRPr="00802F8A" w:rsidR="00B65BA3">
        <w:t xml:space="preserve">, must be kept and maintained </w:t>
      </w:r>
      <w:r w:rsidRPr="00802F8A" w:rsidR="000362E7">
        <w:t>for eight years</w:t>
      </w:r>
      <w:r w:rsidRPr="00802F8A" w:rsidR="00802F8A">
        <w:t xml:space="preserve"> after a certificate of conformity is issued</w:t>
      </w:r>
      <w:r w:rsidRPr="00802F8A" w:rsidR="000362E7">
        <w:t xml:space="preserve">.  </w:t>
      </w:r>
      <w:r w:rsidRPr="00802F8A" w:rsidR="00B65BA3">
        <w:t>These records may be stored in any format and on any med</w:t>
      </w:r>
      <w:r w:rsidRPr="00802F8A" w:rsidR="00802F8A">
        <w:t>ia if</w:t>
      </w:r>
      <w:r w:rsidRPr="00802F8A" w:rsidR="00B65BA3">
        <w:t xml:space="preserve"> they are organized and can be sent promptly to EPA</w:t>
      </w:r>
      <w:r w:rsidRPr="00802F8A" w:rsidR="00802F8A">
        <w:t xml:space="preserve"> upon request</w:t>
      </w:r>
      <w:r w:rsidRPr="00802F8A" w:rsidR="00B65BA3">
        <w:t xml:space="preserve">.  </w:t>
      </w:r>
      <w:r w:rsidRPr="00802F8A" w:rsidR="000362E7">
        <w:t>These recordkeeping requirements stem, in part, from the statutory requirement to warrant some items for long periods of time</w:t>
      </w:r>
      <w:r w:rsidRPr="00802F8A" w:rsidR="00953317">
        <w:t>.</w:t>
      </w:r>
      <w:r w:rsidRPr="00802F8A" w:rsidR="00802F8A">
        <w:t xml:space="preserve"> </w:t>
      </w:r>
      <w:bookmarkStart w:name="_Hlk520658383" w:id="2"/>
      <w:r w:rsidRPr="00802F8A" w:rsidR="00802F8A">
        <w:t xml:space="preserve">However, data related to </w:t>
      </w:r>
      <w:r w:rsidRPr="00802F8A" w:rsidR="00B65BA3">
        <w:t xml:space="preserve">routine </w:t>
      </w:r>
      <w:r w:rsidRPr="00802F8A" w:rsidR="00802F8A">
        <w:t xml:space="preserve">testing such as </w:t>
      </w:r>
      <w:r w:rsidRPr="00802F8A" w:rsidR="00B65BA3">
        <w:t>test cell temperatures and r</w:t>
      </w:r>
      <w:r w:rsidRPr="00802F8A" w:rsidR="00802F8A">
        <w:t xml:space="preserve">elative humidity readings, must only </w:t>
      </w:r>
      <w:r w:rsidRPr="00802F8A" w:rsidR="00B65BA3">
        <w:t xml:space="preserve">be kept for one year after a certificate of conformity is issued.  </w:t>
      </w:r>
    </w:p>
    <w:bookmarkEnd w:id="2"/>
    <w:p w:rsidRPr="00063F55" w:rsidR="00D12F9A" w:rsidRDefault="00D12F9A" w14:paraId="71196591" w14:textId="77777777">
      <w:pPr>
        <w:rPr>
          <w:highlight w:val="green"/>
        </w:rPr>
      </w:pPr>
    </w:p>
    <w:p w:rsidR="004526AD" w:rsidP="00C548DC" w:rsidRDefault="00C548DC" w14:paraId="79F1791D" w14:textId="4D061CAC">
      <w:r w:rsidRPr="00802F8A">
        <w:tab/>
        <w:t xml:space="preserve">Manufacturers are required to submit confidential business information such as sales projections and certain sensitive technical descriptions </w:t>
      </w:r>
      <w:r w:rsidR="00A86FF6">
        <w:t>[</w:t>
      </w:r>
      <w:r w:rsidRPr="00802F8A">
        <w:t>see section 4(b)(</w:t>
      </w:r>
      <w:proofErr w:type="spellStart"/>
      <w:r w:rsidRPr="00802F8A">
        <w:t>i</w:t>
      </w:r>
      <w:proofErr w:type="spellEnd"/>
      <w:r w:rsidRPr="00802F8A">
        <w:t>)</w:t>
      </w:r>
      <w:r w:rsidR="00A86FF6">
        <w:t>]</w:t>
      </w:r>
      <w:r w:rsidRPr="00802F8A">
        <w:t>. This information is kept confidential in accordance with the Freedom of Information Act, EPA regulations at 40 CFR Part 2, and class determinations issued by EPA's Office of General Counsel. Also, non-proprietary information submitted by manufacturers is held as confidential until the specific vehicle or engine to which it pertains is available for purchase.</w:t>
      </w:r>
      <w:r w:rsidRPr="00802F8A" w:rsidR="005B74A9">
        <w:t xml:space="preserve"> </w:t>
      </w:r>
    </w:p>
    <w:p w:rsidR="004526AD" w:rsidP="00C548DC" w:rsidRDefault="004526AD" w14:paraId="51058B4D" w14:textId="77777777"/>
    <w:p w:rsidRPr="00C208A1" w:rsidR="00C548DC" w:rsidP="004526AD" w:rsidRDefault="00C548DC" w14:paraId="765A5014" w14:textId="3FC0583A">
      <w:pPr>
        <w:ind w:firstLine="720"/>
      </w:pPr>
      <w:r w:rsidRPr="00802F8A">
        <w:t>No other general guideline is exceeded by this information collection.</w:t>
      </w:r>
      <w:r>
        <w:t xml:space="preserve">  </w:t>
      </w:r>
    </w:p>
    <w:p w:rsidRPr="00C208A1" w:rsidR="000362E7" w:rsidRDefault="000362E7" w14:paraId="01BEF865" w14:textId="77777777">
      <w:r w:rsidRPr="00C208A1">
        <w:tab/>
      </w:r>
    </w:p>
    <w:p w:rsidR="00063F55" w:rsidP="005B74A9" w:rsidRDefault="00063F55" w14:paraId="4F0C5EFB" w14:textId="77777777">
      <w:pPr>
        <w:ind w:firstLine="720"/>
        <w:rPr>
          <w:b/>
        </w:rPr>
      </w:pPr>
    </w:p>
    <w:p w:rsidRPr="005B74A9" w:rsidR="000362E7" w:rsidP="005B74A9" w:rsidRDefault="000362E7" w14:paraId="164BE82D" w14:textId="38953483">
      <w:pPr>
        <w:ind w:firstLine="720"/>
        <w:rPr>
          <w:b/>
        </w:rPr>
      </w:pPr>
      <w:r w:rsidRPr="005B74A9">
        <w:rPr>
          <w:b/>
        </w:rPr>
        <w:t>3(f)</w:t>
      </w:r>
      <w:r w:rsidRPr="005B74A9">
        <w:rPr>
          <w:b/>
        </w:rPr>
        <w:tab/>
      </w:r>
      <w:r w:rsidRPr="005B74A9">
        <w:rPr>
          <w:b/>
          <w:u w:val="single"/>
        </w:rPr>
        <w:t>Confidentiality</w:t>
      </w:r>
    </w:p>
    <w:p w:rsidR="006D7B81" w:rsidRDefault="006D7B81" w14:paraId="7916C3A3" w14:textId="77777777"/>
    <w:p w:rsidR="000362E7" w:rsidP="00336DF0" w:rsidRDefault="000362E7" w14:paraId="795C4B62" w14:textId="71A741D3">
      <w:r w:rsidRPr="00C208A1">
        <w:tab/>
        <w:t xml:space="preserve">Manufacturers </w:t>
      </w:r>
      <w:r w:rsidR="00063F55">
        <w:t>may</w:t>
      </w:r>
      <w:r w:rsidRPr="00C208A1">
        <w:t xml:space="preserve"> assert a claim of confidentiality over information provided to EPA.  Confidentiality is provided in accordance with the Freedom of Information Act and EPA regulations at 40 CFR Part 2.</w:t>
      </w:r>
      <w:r w:rsidR="006D7B81">
        <w:t xml:space="preserve">  </w:t>
      </w:r>
      <w:r w:rsidR="00C548DC">
        <w:t xml:space="preserve">For further detail, refer to section 3(e), above.  </w:t>
      </w:r>
    </w:p>
    <w:p w:rsidRPr="00C208A1" w:rsidR="00336DF0" w:rsidP="00336DF0" w:rsidRDefault="00336DF0" w14:paraId="64C4E284" w14:textId="77777777"/>
    <w:p w:rsidR="00063F55" w:rsidRDefault="005B74A9" w14:paraId="4C6B34E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Pr="005B74A9" w:rsidR="000362E7" w:rsidRDefault="00063F55" w14:paraId="7032BBCA" w14:textId="47D927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rsidRPr="005B74A9" w:rsidR="000362E7">
        <w:rPr>
          <w:b/>
        </w:rPr>
        <w:t>3(g)</w:t>
      </w:r>
      <w:r w:rsidRPr="005B74A9" w:rsidR="000362E7">
        <w:rPr>
          <w:b/>
        </w:rPr>
        <w:tab/>
      </w:r>
      <w:r w:rsidRPr="005B74A9" w:rsidR="000362E7">
        <w:rPr>
          <w:b/>
          <w:u w:val="single"/>
        </w:rPr>
        <w:t>Sensitive Questions</w:t>
      </w:r>
    </w:p>
    <w:p w:rsidRPr="00C208A1" w:rsidR="000362E7" w:rsidRDefault="000362E7" w14:paraId="655B2C6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D5102" w:rsidR="00775B7A" w:rsidP="00775B7A" w:rsidRDefault="000362E7" w14:paraId="75C3DE68" w14:textId="77777777">
      <w:pPr>
        <w:pStyle w:val="Style6"/>
        <w:jc w:val="left"/>
        <w:rPr>
          <w:spacing w:val="6"/>
        </w:rPr>
      </w:pPr>
      <w:r w:rsidRPr="00C208A1">
        <w:tab/>
        <w:t xml:space="preserve">No sensitive questions are asked in this information collection. </w:t>
      </w:r>
      <w:r w:rsidRPr="004D5102" w:rsidR="00775B7A">
        <w:rPr>
          <w:spacing w:val="6"/>
        </w:rPr>
        <w:t>This collection complies with the Privacy Act and OMB Circular A-</w:t>
      </w:r>
      <w:r w:rsidR="00775B7A">
        <w:rPr>
          <w:spacing w:val="6"/>
        </w:rPr>
        <w:t>1</w:t>
      </w:r>
      <w:r w:rsidRPr="004D5102" w:rsidR="00775B7A">
        <w:rPr>
          <w:spacing w:val="6"/>
        </w:rPr>
        <w:t>08.</w:t>
      </w:r>
    </w:p>
    <w:p w:rsidRPr="00C208A1" w:rsidR="000362E7" w:rsidRDefault="000362E7" w14:paraId="76383E4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63F55" w:rsidRDefault="00063F55" w14:paraId="3A08E5E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9647E5" w:rsidR="000362E7" w:rsidP="009D7472" w:rsidRDefault="009D7472" w14:paraId="66BB205C" w14:textId="6AE4730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647E5">
        <w:t>4.</w:t>
      </w:r>
      <w:r w:rsidRPr="009647E5">
        <w:tab/>
      </w:r>
      <w:r w:rsidRPr="009647E5" w:rsidR="000362E7">
        <w:rPr>
          <w:u w:val="single"/>
        </w:rPr>
        <w:t>Respondents and Information Requested</w:t>
      </w:r>
    </w:p>
    <w:p w:rsidR="000362E7" w:rsidRDefault="000362E7" w14:paraId="33D54429" w14:textId="69F42C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C208A1" w:rsidR="007541E7" w:rsidRDefault="007541E7" w14:paraId="5762FEA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5B74A9" w:rsidR="000362E7" w:rsidRDefault="005B74A9" w14:paraId="17A4B176" w14:textId="38C5E4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rsidRPr="00523B49" w:rsidR="000362E7">
        <w:rPr>
          <w:b/>
        </w:rPr>
        <w:t>4(a)</w:t>
      </w:r>
      <w:r w:rsidRPr="00523B49" w:rsidR="000362E7">
        <w:rPr>
          <w:b/>
        </w:rPr>
        <w:tab/>
      </w:r>
      <w:r w:rsidRPr="00523B49" w:rsidR="000362E7">
        <w:rPr>
          <w:b/>
          <w:u w:val="single"/>
        </w:rPr>
        <w:t>Respondents/</w:t>
      </w:r>
      <w:r w:rsidRPr="00523B49" w:rsidR="00D86602">
        <w:rPr>
          <w:b/>
          <w:u w:val="single"/>
        </w:rPr>
        <w:t>NAICS</w:t>
      </w:r>
      <w:r w:rsidRPr="00523B49" w:rsidR="00294CEB">
        <w:rPr>
          <w:rStyle w:val="FootnoteReference"/>
          <w:b/>
          <w:u w:val="single"/>
        </w:rPr>
        <w:footnoteReference w:id="4"/>
      </w:r>
      <w:r w:rsidRPr="00523B49" w:rsidR="000362E7">
        <w:rPr>
          <w:b/>
          <w:u w:val="single"/>
        </w:rPr>
        <w:t xml:space="preserve"> Codes</w:t>
      </w:r>
    </w:p>
    <w:p w:rsidRPr="00C208A1" w:rsidR="000362E7" w:rsidRDefault="000362E7" w14:paraId="2438CA2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r>
    </w:p>
    <w:p w:rsidR="00402A29" w:rsidP="00CB2133" w:rsidRDefault="00ED419D" w14:paraId="2EB079D2" w14:textId="6E9B35B4">
      <w:pPr>
        <w:pStyle w:val="BodyText"/>
        <w:ind w:firstLine="720"/>
      </w:pPr>
      <w:bookmarkStart w:name="_Hlk520658585" w:id="3"/>
      <w:r>
        <w:t>R</w:t>
      </w:r>
      <w:r w:rsidRPr="00226015" w:rsidR="00154B6A">
        <w:t xml:space="preserve">espondents </w:t>
      </w:r>
      <w:r w:rsidR="00CB2133">
        <w:t xml:space="preserve">to the </w:t>
      </w:r>
      <w:r>
        <w:t xml:space="preserve">primary provisions of the </w:t>
      </w:r>
      <w:r w:rsidR="00CB2133">
        <w:t xml:space="preserve">proposed rule </w:t>
      </w:r>
      <w:r w:rsidRPr="00226015" w:rsidR="00154B6A">
        <w:t xml:space="preserve">are </w:t>
      </w:r>
      <w:r w:rsidRPr="00402063" w:rsidR="0098023C">
        <w:rPr>
          <w:rFonts w:hint="eastAsia"/>
        </w:rPr>
        <w:t>entities</w:t>
      </w:r>
      <w:r w:rsidRPr="00226015" w:rsidR="0098023C">
        <w:t xml:space="preserve"> </w:t>
      </w:r>
      <w:r w:rsidRPr="00226015" w:rsidR="004855EA">
        <w:t>that manufacture, sell, or import into the United States new heavy-duty highway engines</w:t>
      </w:r>
      <w:r w:rsidRPr="00226015" w:rsidR="00154B6A">
        <w:t xml:space="preserve"> and vehicles</w:t>
      </w:r>
      <w:r w:rsidR="00A90E7C">
        <w:t xml:space="preserve">. </w:t>
      </w:r>
      <w:r w:rsidRPr="00226015" w:rsidR="00A90E7C">
        <w:t xml:space="preserve">Additional </w:t>
      </w:r>
      <w:r w:rsidR="00A90E7C">
        <w:t xml:space="preserve">proposed </w:t>
      </w:r>
      <w:r w:rsidRPr="00226015" w:rsidR="00A90E7C">
        <w:t>amendments apply for gasoline refueling facilities and for manufacturers of all sizes and types of motor vehicles, stationary engines, aircraft and aircraft engines, and various types of nonroad engines, vehicles, and equipment</w:t>
      </w:r>
      <w:r w:rsidR="00A90E7C">
        <w:t xml:space="preserve">. In general, potential respondents to this proposed rule </w:t>
      </w:r>
      <w:r w:rsidR="00815DFE">
        <w:t xml:space="preserve">are classified in </w:t>
      </w:r>
      <w:r w:rsidR="003F2959">
        <w:t xml:space="preserve">the </w:t>
      </w:r>
      <w:r w:rsidRPr="00E47A0B" w:rsidR="003F2959">
        <w:t>North American Industry Classification System</w:t>
      </w:r>
      <w:r w:rsidR="003F2959">
        <w:t xml:space="preserve"> </w:t>
      </w:r>
      <w:r w:rsidR="008B4DC8">
        <w:t>c</w:t>
      </w:r>
      <w:r w:rsidR="003F2959">
        <w:t>ode</w:t>
      </w:r>
      <w:r w:rsidR="008B4DC8">
        <w:t xml:space="preserve">s </w:t>
      </w:r>
      <w:r w:rsidR="008B4DC8">
        <w:lastRenderedPageBreak/>
        <w:t>(NAICS)</w:t>
      </w:r>
      <w:r w:rsidR="00624FEE">
        <w:t xml:space="preserve"> listed </w:t>
      </w:r>
      <w:r w:rsidR="003B57F0">
        <w:t>in Table 2</w:t>
      </w:r>
      <w:r w:rsidR="00624FEE">
        <w:t>.</w:t>
      </w:r>
      <w:r w:rsidRPr="00226015" w:rsidR="004855EA">
        <w:t xml:space="preserve"> </w:t>
      </w:r>
    </w:p>
    <w:p w:rsidR="001E61CD" w:rsidP="00CB2133" w:rsidRDefault="001E61CD" w14:paraId="627BC931" w14:textId="41E23F55">
      <w:pPr>
        <w:pStyle w:val="BodyText"/>
        <w:ind w:firstLine="720"/>
        <w:rPr>
          <w:b/>
          <w:bCs/>
        </w:rPr>
      </w:pPr>
    </w:p>
    <w:p w:rsidRPr="00781C52" w:rsidR="001E61CD" w:rsidP="001E61CD" w:rsidRDefault="001E61CD" w14:paraId="030C82F6" w14:textId="77777777">
      <w:pPr>
        <w:jc w:val="center"/>
        <w:rPr>
          <w:b/>
          <w:bCs/>
        </w:rPr>
      </w:pPr>
      <w:r w:rsidRPr="00781C52">
        <w:rPr>
          <w:b/>
          <w:bCs/>
        </w:rPr>
        <w:t>Table 2</w:t>
      </w:r>
    </w:p>
    <w:p w:rsidR="001E61CD" w:rsidP="001E61CD" w:rsidRDefault="001E61CD" w14:paraId="1208C454" w14:textId="17F93451">
      <w:pPr>
        <w:jc w:val="center"/>
        <w:rPr>
          <w:b/>
          <w:bCs/>
        </w:rPr>
      </w:pPr>
      <w:r>
        <w:rPr>
          <w:b/>
          <w:bCs/>
        </w:rPr>
        <w:t>Respondent’s</w:t>
      </w:r>
      <w:r w:rsidRPr="00781C52">
        <w:rPr>
          <w:b/>
          <w:bCs/>
        </w:rPr>
        <w:t xml:space="preserve"> North American Industry Classification Codes</w:t>
      </w:r>
    </w:p>
    <w:p w:rsidR="00325E86" w:rsidP="001E61CD" w:rsidRDefault="00325E86" w14:paraId="4E58C697" w14:textId="12D339BF">
      <w:pPr>
        <w:jc w:val="center"/>
        <w:rPr>
          <w:b/>
          <w:bCs/>
        </w:rPr>
      </w:pPr>
    </w:p>
    <w:tbl>
      <w:tblPr>
        <w:tblW w:w="0" w:type="auto"/>
        <w:jc w:val="center"/>
        <w:tblLook w:val="04A0" w:firstRow="1" w:lastRow="0" w:firstColumn="1" w:lastColumn="0" w:noHBand="0" w:noVBand="1"/>
      </w:tblPr>
      <w:tblGrid>
        <w:gridCol w:w="1411"/>
        <w:gridCol w:w="5093"/>
      </w:tblGrid>
      <w:tr w:rsidRPr="007F70E3" w:rsidR="007F70E3" w:rsidTr="005C7329" w14:paraId="4604AA83" w14:textId="77777777">
        <w:trPr>
          <w:trHeight w:val="330"/>
          <w:jc w:val="center"/>
        </w:trPr>
        <w:tc>
          <w:tcPr>
            <w:tcW w:w="0" w:type="auto"/>
            <w:tcBorders>
              <w:top w:val="single" w:color="auto" w:sz="4" w:space="0"/>
              <w:left w:val="single" w:color="auto" w:sz="4" w:space="0"/>
              <w:bottom w:val="single" w:color="auto" w:sz="4" w:space="0"/>
              <w:right w:val="single" w:color="auto" w:sz="4" w:space="0"/>
            </w:tcBorders>
            <w:shd w:val="clear" w:color="000000" w:fill="D9E1F2"/>
            <w:vAlign w:val="bottom"/>
            <w:hideMark/>
          </w:tcPr>
          <w:p w:rsidRPr="007F70E3" w:rsidR="007F70E3" w:rsidP="007F70E3" w:rsidRDefault="007F70E3" w14:paraId="1564AF0B" w14:textId="77777777">
            <w:pPr>
              <w:widowControl/>
              <w:jc w:val="center"/>
              <w:rPr>
                <w:b/>
                <w:bCs/>
              </w:rPr>
            </w:pPr>
            <w:r w:rsidRPr="007F70E3">
              <w:rPr>
                <w:b/>
                <w:bCs/>
              </w:rPr>
              <w:t>NAICS Codes</w:t>
            </w:r>
          </w:p>
        </w:tc>
        <w:tc>
          <w:tcPr>
            <w:tcW w:w="0" w:type="auto"/>
            <w:tcBorders>
              <w:top w:val="single" w:color="auto" w:sz="4" w:space="0"/>
              <w:left w:val="nil"/>
              <w:bottom w:val="single" w:color="auto" w:sz="4" w:space="0"/>
              <w:right w:val="single" w:color="auto" w:sz="4" w:space="0"/>
            </w:tcBorders>
            <w:shd w:val="clear" w:color="000000" w:fill="D9E1F2"/>
            <w:vAlign w:val="bottom"/>
            <w:hideMark/>
          </w:tcPr>
          <w:p w:rsidRPr="007F70E3" w:rsidR="007F70E3" w:rsidP="007F70E3" w:rsidRDefault="007F70E3" w14:paraId="529C01FA" w14:textId="77777777">
            <w:pPr>
              <w:widowControl/>
              <w:jc w:val="center"/>
              <w:rPr>
                <w:b/>
                <w:bCs/>
              </w:rPr>
            </w:pPr>
            <w:r w:rsidRPr="007F70E3">
              <w:rPr>
                <w:b/>
                <w:bCs/>
              </w:rPr>
              <w:t>NAICS Title</w:t>
            </w:r>
          </w:p>
        </w:tc>
      </w:tr>
      <w:tr w:rsidRPr="007F70E3" w:rsidR="007F70E3" w:rsidTr="005C7329" w14:paraId="5FB67F62"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3C0E4380" w14:textId="77777777">
            <w:pPr>
              <w:widowControl/>
              <w:jc w:val="center"/>
            </w:pPr>
            <w:r w:rsidRPr="007F70E3">
              <w:t>326199</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0A404C29" w14:textId="77777777">
            <w:pPr>
              <w:widowControl/>
            </w:pPr>
            <w:r w:rsidRPr="007F70E3">
              <w:t>All Other Plastics Product Manufacturing</w:t>
            </w:r>
          </w:p>
        </w:tc>
      </w:tr>
      <w:tr w:rsidRPr="007F70E3" w:rsidR="007F70E3" w:rsidTr="005C7329" w14:paraId="02C6C744"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7741BF2B" w14:textId="77777777">
            <w:pPr>
              <w:widowControl/>
              <w:jc w:val="center"/>
            </w:pPr>
            <w:r w:rsidRPr="007F70E3">
              <w:t>332431</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304FDC64" w14:textId="77777777">
            <w:pPr>
              <w:widowControl/>
            </w:pPr>
            <w:r w:rsidRPr="007F70E3">
              <w:t>Metal Can Manufacturing</w:t>
            </w:r>
          </w:p>
        </w:tc>
      </w:tr>
      <w:tr w:rsidRPr="007F70E3" w:rsidR="007F70E3" w:rsidTr="005C7329" w14:paraId="1977033C"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1ED73480" w14:textId="77777777">
            <w:pPr>
              <w:widowControl/>
              <w:jc w:val="center"/>
            </w:pPr>
            <w:r w:rsidRPr="007F70E3">
              <w:t>335312</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4105E034" w14:textId="77777777">
            <w:pPr>
              <w:widowControl/>
            </w:pPr>
            <w:r w:rsidRPr="007F70E3">
              <w:t>Motor and Generator Manufacturing</w:t>
            </w:r>
          </w:p>
        </w:tc>
      </w:tr>
      <w:tr w:rsidRPr="007F70E3" w:rsidR="007F70E3" w:rsidTr="005C7329" w14:paraId="395D2733"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05C3CE32" w14:textId="77777777">
            <w:pPr>
              <w:widowControl/>
              <w:jc w:val="center"/>
            </w:pPr>
            <w:r w:rsidRPr="007F70E3">
              <w:t>336111</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43CA0CE3" w14:textId="77777777">
            <w:pPr>
              <w:widowControl/>
            </w:pPr>
            <w:r w:rsidRPr="007F70E3">
              <w:t>Automobile Manufacturing</w:t>
            </w:r>
          </w:p>
        </w:tc>
      </w:tr>
      <w:tr w:rsidRPr="007F70E3" w:rsidR="007F70E3" w:rsidTr="005C7329" w14:paraId="37D26B6B" w14:textId="77777777">
        <w:trPr>
          <w:trHeight w:val="525"/>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45B594FC" w14:textId="77777777">
            <w:pPr>
              <w:widowControl/>
              <w:jc w:val="center"/>
            </w:pPr>
            <w:r w:rsidRPr="007F70E3">
              <w:t>336112</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62216FFF" w14:textId="77777777">
            <w:pPr>
              <w:widowControl/>
            </w:pPr>
            <w:r w:rsidRPr="007F70E3">
              <w:t>Light Truck and Utility Vehicle Manufacturing</w:t>
            </w:r>
          </w:p>
        </w:tc>
      </w:tr>
      <w:tr w:rsidRPr="007F70E3" w:rsidR="007F70E3" w:rsidTr="005C7329" w14:paraId="5E27B27A"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1E6FC349" w14:textId="77777777">
            <w:pPr>
              <w:widowControl/>
              <w:jc w:val="center"/>
            </w:pPr>
            <w:r w:rsidRPr="007F70E3">
              <w:t>336120</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40A39213" w14:textId="77777777">
            <w:pPr>
              <w:widowControl/>
            </w:pPr>
            <w:r w:rsidRPr="007F70E3">
              <w:t>Heavy Duty Truck Manufacturing</w:t>
            </w:r>
          </w:p>
        </w:tc>
      </w:tr>
      <w:tr w:rsidRPr="007F70E3" w:rsidR="007F70E3" w:rsidTr="005C7329" w14:paraId="6D2B6F88"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33F6C86A" w14:textId="77777777">
            <w:pPr>
              <w:widowControl/>
              <w:jc w:val="center"/>
            </w:pPr>
            <w:r w:rsidRPr="007F70E3">
              <w:t>336211</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1D735909" w14:textId="77777777">
            <w:pPr>
              <w:widowControl/>
            </w:pPr>
            <w:r w:rsidRPr="007F70E3">
              <w:t>Motor Vehicle Body Manufacturing</w:t>
            </w:r>
          </w:p>
        </w:tc>
      </w:tr>
      <w:tr w:rsidRPr="007F70E3" w:rsidR="007F70E3" w:rsidTr="005C7329" w14:paraId="3FAFC162"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36629643" w14:textId="77777777">
            <w:pPr>
              <w:widowControl/>
              <w:jc w:val="center"/>
            </w:pPr>
            <w:r w:rsidRPr="007F70E3">
              <w:t>336212</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7F2B6ADE" w14:textId="77777777">
            <w:pPr>
              <w:widowControl/>
            </w:pPr>
            <w:r w:rsidRPr="007F70E3">
              <w:t>Truck Trailer Manufacturing</w:t>
            </w:r>
          </w:p>
        </w:tc>
      </w:tr>
      <w:tr w:rsidRPr="007F70E3" w:rsidR="007F70E3" w:rsidTr="005C7329" w14:paraId="716E62D6"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549A9475" w14:textId="77777777">
            <w:pPr>
              <w:widowControl/>
              <w:jc w:val="center"/>
            </w:pPr>
            <w:r w:rsidRPr="007F70E3">
              <w:t>336213</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493E2DC3" w14:textId="77777777">
            <w:pPr>
              <w:widowControl/>
            </w:pPr>
            <w:r w:rsidRPr="007F70E3">
              <w:t>Motor Home Manufacturing</w:t>
            </w:r>
          </w:p>
        </w:tc>
      </w:tr>
      <w:tr w:rsidRPr="007F70E3" w:rsidR="007F70E3" w:rsidTr="005C7329" w14:paraId="34B24E13"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32D29325" w14:textId="77777777">
            <w:pPr>
              <w:widowControl/>
              <w:jc w:val="center"/>
            </w:pPr>
            <w:r w:rsidRPr="007F70E3">
              <w:t>336411</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5363BF64" w14:textId="77777777">
            <w:pPr>
              <w:widowControl/>
            </w:pPr>
            <w:r w:rsidRPr="007F70E3">
              <w:t>Manufacturers of new aircraft.</w:t>
            </w:r>
          </w:p>
        </w:tc>
      </w:tr>
      <w:tr w:rsidRPr="007F70E3" w:rsidR="007F70E3" w:rsidTr="005C7329" w14:paraId="54EE5A03"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3769F436" w14:textId="77777777">
            <w:pPr>
              <w:widowControl/>
              <w:jc w:val="center"/>
            </w:pPr>
            <w:r w:rsidRPr="007F70E3">
              <w:t>336412</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76CA9621" w14:textId="77777777">
            <w:pPr>
              <w:widowControl/>
            </w:pPr>
            <w:r w:rsidRPr="007F70E3">
              <w:t>Manufacturers of new aircraft engines.</w:t>
            </w:r>
          </w:p>
        </w:tc>
      </w:tr>
      <w:tr w:rsidRPr="007F70E3" w:rsidR="007F70E3" w:rsidTr="005C7329" w14:paraId="28E8626E"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56FFFFD4" w14:textId="77777777">
            <w:pPr>
              <w:widowControl/>
              <w:jc w:val="center"/>
            </w:pPr>
            <w:r w:rsidRPr="007F70E3">
              <w:t>333618</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36064095" w14:textId="77777777">
            <w:pPr>
              <w:widowControl/>
            </w:pPr>
            <w:r w:rsidRPr="007F70E3">
              <w:t>Other Engine Equipment Manufacturing</w:t>
            </w:r>
          </w:p>
        </w:tc>
      </w:tr>
      <w:tr w:rsidRPr="007F70E3" w:rsidR="007F70E3" w:rsidTr="005C7329" w14:paraId="0020E24C" w14:textId="77777777">
        <w:trPr>
          <w:trHeight w:val="525"/>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7614E8AE" w14:textId="77777777">
            <w:pPr>
              <w:widowControl/>
              <w:jc w:val="center"/>
            </w:pPr>
            <w:r w:rsidRPr="007F70E3">
              <w:t>336999</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1B2F496F" w14:textId="77777777">
            <w:pPr>
              <w:widowControl/>
            </w:pPr>
            <w:r w:rsidRPr="007F70E3">
              <w:t>All Other Transportation Equipment Manufacturing</w:t>
            </w:r>
          </w:p>
        </w:tc>
      </w:tr>
      <w:tr w:rsidRPr="007F70E3" w:rsidR="007F70E3" w:rsidTr="005C7329" w14:paraId="3E880C42" w14:textId="77777777">
        <w:trPr>
          <w:trHeight w:val="525"/>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08962F37" w14:textId="77777777">
            <w:pPr>
              <w:widowControl/>
              <w:jc w:val="center"/>
            </w:pPr>
            <w:r w:rsidRPr="007F70E3">
              <w:t>423110</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049E0DE7" w14:textId="77777777">
            <w:pPr>
              <w:widowControl/>
            </w:pPr>
            <w:r w:rsidRPr="007F70E3">
              <w:t>Automotive and Other Motor Vehicle Merchant Wholesalers</w:t>
            </w:r>
          </w:p>
        </w:tc>
      </w:tr>
      <w:tr w:rsidRPr="007F70E3" w:rsidR="007F70E3" w:rsidTr="005C7329" w14:paraId="263DFE9A"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044B1726" w14:textId="77777777">
            <w:pPr>
              <w:widowControl/>
              <w:jc w:val="center"/>
            </w:pPr>
            <w:r w:rsidRPr="007F70E3">
              <w:t>447110</w:t>
            </w:r>
          </w:p>
        </w:tc>
        <w:tc>
          <w:tcPr>
            <w:tcW w:w="0" w:type="auto"/>
            <w:tcBorders>
              <w:top w:val="nil"/>
              <w:left w:val="nil"/>
              <w:bottom w:val="single" w:color="auto" w:sz="4" w:space="0"/>
              <w:right w:val="single" w:color="auto" w:sz="4" w:space="0"/>
            </w:tcBorders>
            <w:shd w:val="clear" w:color="auto" w:fill="auto"/>
            <w:vAlign w:val="center"/>
            <w:hideMark/>
          </w:tcPr>
          <w:p w:rsidRPr="007F70E3" w:rsidR="007F70E3" w:rsidP="005C7329" w:rsidRDefault="007F70E3" w14:paraId="4FC3D137" w14:textId="77777777">
            <w:pPr>
              <w:widowControl/>
              <w:jc w:val="center"/>
            </w:pPr>
            <w:r w:rsidRPr="007F70E3">
              <w:t>Gasoline Stations with Convenience Stores</w:t>
            </w:r>
          </w:p>
        </w:tc>
      </w:tr>
      <w:tr w:rsidRPr="007F70E3" w:rsidR="007F70E3" w:rsidTr="005C7329" w14:paraId="487F62DF"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335D28B2" w14:textId="77777777">
            <w:pPr>
              <w:widowControl/>
              <w:jc w:val="center"/>
            </w:pPr>
            <w:r w:rsidRPr="007F70E3">
              <w:t>447190</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17EF0AD6" w14:textId="77777777">
            <w:pPr>
              <w:widowControl/>
            </w:pPr>
            <w:r w:rsidRPr="007F70E3">
              <w:t>Other Gasoline Stations</w:t>
            </w:r>
          </w:p>
        </w:tc>
      </w:tr>
      <w:tr w:rsidRPr="007F70E3" w:rsidR="007F70E3" w:rsidTr="005C7329" w14:paraId="3D2BD3EF"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5A00E884" w14:textId="77777777">
            <w:pPr>
              <w:widowControl/>
              <w:jc w:val="center"/>
            </w:pPr>
            <w:r w:rsidRPr="007F70E3">
              <w:t>454310</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6FE4F22E" w14:textId="77777777">
            <w:pPr>
              <w:widowControl/>
            </w:pPr>
            <w:r w:rsidRPr="007F70E3">
              <w:t>Fuel dealers</w:t>
            </w:r>
          </w:p>
        </w:tc>
      </w:tr>
      <w:tr w:rsidRPr="007F70E3" w:rsidR="007F70E3" w:rsidTr="005C7329" w14:paraId="7E12E789"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556E502A" w14:textId="77777777">
            <w:pPr>
              <w:widowControl/>
              <w:jc w:val="center"/>
            </w:pPr>
            <w:r w:rsidRPr="007F70E3">
              <w:t>811111</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04063B05" w14:textId="77777777">
            <w:pPr>
              <w:widowControl/>
            </w:pPr>
            <w:r w:rsidRPr="007F70E3">
              <w:t>General Automotive Repair</w:t>
            </w:r>
          </w:p>
        </w:tc>
      </w:tr>
      <w:tr w:rsidRPr="007F70E3" w:rsidR="007F70E3" w:rsidTr="005C7329" w14:paraId="7C052D41" w14:textId="77777777">
        <w:trPr>
          <w:trHeight w:val="263"/>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36495FDE" w14:textId="77777777">
            <w:pPr>
              <w:widowControl/>
              <w:jc w:val="center"/>
            </w:pPr>
            <w:r w:rsidRPr="007F70E3">
              <w:t>811112</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37EF8D1C" w14:textId="77777777">
            <w:pPr>
              <w:widowControl/>
            </w:pPr>
            <w:r w:rsidRPr="007F70E3">
              <w:t>Automotive Exhaust System Repair</w:t>
            </w:r>
          </w:p>
        </w:tc>
      </w:tr>
      <w:tr w:rsidRPr="007F70E3" w:rsidR="007F70E3" w:rsidTr="005C7329" w14:paraId="502E7C54" w14:textId="77777777">
        <w:trPr>
          <w:trHeight w:val="525"/>
          <w:jc w:val="center"/>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F70E3" w:rsidR="007F70E3" w:rsidP="007F70E3" w:rsidRDefault="007F70E3" w14:paraId="6DA61EC1" w14:textId="77777777">
            <w:pPr>
              <w:widowControl/>
              <w:jc w:val="center"/>
            </w:pPr>
            <w:r w:rsidRPr="007F70E3">
              <w:t>811198</w:t>
            </w:r>
          </w:p>
        </w:tc>
        <w:tc>
          <w:tcPr>
            <w:tcW w:w="0" w:type="auto"/>
            <w:tcBorders>
              <w:top w:val="nil"/>
              <w:left w:val="nil"/>
              <w:bottom w:val="single" w:color="auto" w:sz="4" w:space="0"/>
              <w:right w:val="single" w:color="auto" w:sz="4" w:space="0"/>
            </w:tcBorders>
            <w:shd w:val="clear" w:color="auto" w:fill="auto"/>
            <w:vAlign w:val="bottom"/>
            <w:hideMark/>
          </w:tcPr>
          <w:p w:rsidRPr="007F70E3" w:rsidR="007F70E3" w:rsidP="007F70E3" w:rsidRDefault="007F70E3" w14:paraId="18F6D3F7" w14:textId="77777777">
            <w:pPr>
              <w:widowControl/>
            </w:pPr>
            <w:r w:rsidRPr="007F70E3">
              <w:t>All Other Automotive Repair and Maintenance</w:t>
            </w:r>
          </w:p>
        </w:tc>
      </w:tr>
    </w:tbl>
    <w:p w:rsidRPr="00781C52" w:rsidR="00325E86" w:rsidP="001E61CD" w:rsidRDefault="00325E86" w14:paraId="4C5B13DA" w14:textId="3105AC92">
      <w:pPr>
        <w:jc w:val="center"/>
        <w:rPr>
          <w:b/>
          <w:bCs/>
        </w:rPr>
      </w:pPr>
    </w:p>
    <w:p w:rsidR="00402A29" w:rsidP="00CB2133" w:rsidRDefault="00402A29" w14:paraId="72F08EEE" w14:textId="77777777">
      <w:pPr>
        <w:pStyle w:val="BodyText"/>
        <w:ind w:firstLine="720"/>
      </w:pPr>
    </w:p>
    <w:p w:rsidRPr="004855EA" w:rsidR="004855EA" w:rsidP="00CB2133" w:rsidRDefault="004855EA" w14:paraId="6EFDF4B2" w14:textId="29BD9432">
      <w:pPr>
        <w:pStyle w:val="BodyText"/>
        <w:ind w:firstLine="720"/>
        <w:rPr>
          <w:highlight w:val="yellow"/>
        </w:rPr>
      </w:pPr>
      <w:r w:rsidRPr="00226015">
        <w:t xml:space="preserve">Additional </w:t>
      </w:r>
      <w:r w:rsidR="00CB2133">
        <w:t xml:space="preserve">proposed </w:t>
      </w:r>
      <w:r w:rsidRPr="00226015">
        <w:t>amendments apply for gasoline refueling facilities and for manufacturers of all sizes and types of motor vehicles, stationary engines, aircraft and aircraft engines, and various types of nonroad engines, vehicles, and equipment</w:t>
      </w:r>
      <w:r w:rsidR="00BB03CC">
        <w:t xml:space="preserve"> within the NAI</w:t>
      </w:r>
      <w:r w:rsidR="008B4DC8">
        <w:t>C</w:t>
      </w:r>
      <w:r w:rsidR="00BB03CC">
        <w:t>S</w:t>
      </w:r>
      <w:r w:rsidRPr="00226015">
        <w:t xml:space="preserve">. </w:t>
      </w:r>
    </w:p>
    <w:p w:rsidR="004855EA" w:rsidP="004855EA" w:rsidRDefault="004855EA" w14:paraId="1FA15178" w14:textId="6D4F9BBA">
      <w:pPr>
        <w:rPr>
          <w:highlight w:val="yellow"/>
        </w:rPr>
      </w:pPr>
    </w:p>
    <w:bookmarkEnd w:id="3"/>
    <w:p w:rsidR="005A2255" w:rsidRDefault="005A2255" w14:paraId="1585ED7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98228E" w:rsidR="000362E7" w:rsidRDefault="005B74A9" w14:paraId="168590EA" w14:textId="456382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8228E">
        <w:rPr>
          <w:b/>
        </w:rPr>
        <w:tab/>
      </w:r>
      <w:r w:rsidRPr="0098228E" w:rsidR="000362E7">
        <w:rPr>
          <w:b/>
        </w:rPr>
        <w:t>4(b)</w:t>
      </w:r>
      <w:r w:rsidRPr="0098228E" w:rsidR="000362E7">
        <w:rPr>
          <w:b/>
        </w:rPr>
        <w:tab/>
        <w:t>Information Requested</w:t>
      </w:r>
    </w:p>
    <w:p w:rsidR="008A7221" w:rsidRDefault="008A7221" w14:paraId="1D150BA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311B8" w:rsidP="003F2F37" w:rsidRDefault="00833DF3" w14:paraId="7E4C7E3E" w14:textId="1A798974">
      <w:pPr>
        <w:ind w:firstLine="720"/>
      </w:pPr>
      <w:bookmarkStart w:name="_Hlk520658834" w:id="4"/>
      <w:r>
        <w:t>This section</w:t>
      </w:r>
      <w:r w:rsidR="000F208C">
        <w:t xml:space="preserve"> briefly lists</w:t>
      </w:r>
      <w:r w:rsidR="00E92C64">
        <w:t xml:space="preserve"> proposed changes to</w:t>
      </w:r>
      <w:r>
        <w:t xml:space="preserve"> various</w:t>
      </w:r>
      <w:r w:rsidR="00E92C64">
        <w:t xml:space="preserve"> emissions certification and </w:t>
      </w:r>
      <w:r w:rsidR="00294A95">
        <w:t>compliance</w:t>
      </w:r>
      <w:r>
        <w:t xml:space="preserve"> programs. </w:t>
      </w:r>
      <w:r w:rsidR="00414BCF">
        <w:t xml:space="preserve">The </w:t>
      </w:r>
      <w:r w:rsidR="007D00AD">
        <w:t>proposed provisions</w:t>
      </w:r>
      <w:r w:rsidR="00EC4D17">
        <w:t xml:space="preserve"> </w:t>
      </w:r>
      <w:r w:rsidR="00F24099">
        <w:t xml:space="preserve">largely apply to </w:t>
      </w:r>
      <w:r w:rsidR="002B620B">
        <w:t xml:space="preserve">the </w:t>
      </w:r>
      <w:r w:rsidR="007D00AD">
        <w:t xml:space="preserve">HD engine and vehicle </w:t>
      </w:r>
      <w:r w:rsidR="00763FD4">
        <w:t xml:space="preserve">manufacturers </w:t>
      </w:r>
      <w:r w:rsidR="00806EE9">
        <w:t xml:space="preserve">and </w:t>
      </w:r>
      <w:r w:rsidRPr="002F36DB" w:rsidR="00BD7C37">
        <w:t>build on existing</w:t>
      </w:r>
      <w:r w:rsidR="00972323">
        <w:t>, long</w:t>
      </w:r>
      <w:r w:rsidR="007D00AD">
        <w:t>-</w:t>
      </w:r>
      <w:r w:rsidR="00972323">
        <w:t>established</w:t>
      </w:r>
      <w:r w:rsidRPr="002F36DB" w:rsidR="00BD7C37">
        <w:t xml:space="preserve"> programs</w:t>
      </w:r>
      <w:r w:rsidR="0098340B">
        <w:t>. The burden for those programs</w:t>
      </w:r>
      <w:r w:rsidRPr="002F36DB" w:rsidR="00BD7C37">
        <w:t xml:space="preserve"> </w:t>
      </w:r>
      <w:r w:rsidRPr="002F36DB" w:rsidR="006B5C1B">
        <w:t>is</w:t>
      </w:r>
      <w:r w:rsidRPr="002F36DB" w:rsidR="00BD7C37">
        <w:t xml:space="preserve"> already </w:t>
      </w:r>
      <w:r w:rsidRPr="002F36DB" w:rsidR="00DE15F2">
        <w:t>c</w:t>
      </w:r>
      <w:r w:rsidRPr="002F36DB" w:rsidR="00EE03CA">
        <w:t>overed</w:t>
      </w:r>
      <w:r w:rsidRPr="002F36DB" w:rsidR="00DE15F2">
        <w:t xml:space="preserve"> </w:t>
      </w:r>
      <w:r w:rsidR="00972323">
        <w:t>under</w:t>
      </w:r>
      <w:r w:rsidRPr="002F36DB" w:rsidR="00DE15F2">
        <w:t xml:space="preserve"> </w:t>
      </w:r>
      <w:r w:rsidRPr="002F36DB" w:rsidR="00E550CF">
        <w:t>EPA ICR Number 1684.20</w:t>
      </w:r>
      <w:r w:rsidR="00601B8F">
        <w:t>,</w:t>
      </w:r>
      <w:r w:rsidRPr="002F36DB" w:rsidR="00E550CF">
        <w:t xml:space="preserve"> OMB Control Number 2060-0287</w:t>
      </w:r>
      <w:r w:rsidRPr="002F36DB" w:rsidR="00DE15F2">
        <w:t>. Therefore</w:t>
      </w:r>
      <w:r w:rsidR="00DE15F2">
        <w:t xml:space="preserve">, to avoid duplication, this </w:t>
      </w:r>
      <w:r w:rsidR="0027476E">
        <w:t xml:space="preserve">ICR </w:t>
      </w:r>
      <w:r w:rsidR="00601B8F">
        <w:t xml:space="preserve">only </w:t>
      </w:r>
      <w:r w:rsidR="002E510B">
        <w:t>accounts for</w:t>
      </w:r>
      <w:r w:rsidR="00353DD7">
        <w:t xml:space="preserve"> the incremental changes </w:t>
      </w:r>
      <w:r w:rsidR="003F2F37">
        <w:t>in</w:t>
      </w:r>
      <w:r w:rsidR="0027476E">
        <w:t xml:space="preserve"> reporti</w:t>
      </w:r>
      <w:r w:rsidR="003F2F37">
        <w:t>n</w:t>
      </w:r>
      <w:r w:rsidR="0027476E">
        <w:t xml:space="preserve">g and recordkeeping </w:t>
      </w:r>
      <w:r w:rsidR="007D00AD">
        <w:t xml:space="preserve">burden </w:t>
      </w:r>
      <w:r w:rsidR="0027476E">
        <w:t xml:space="preserve">associated with the proposed rulemaking. </w:t>
      </w:r>
      <w:r w:rsidR="007D00AD">
        <w:t>To facilitate comparison, this document follows the structure of ICR 1684.2</w:t>
      </w:r>
      <w:r w:rsidR="003F2F37">
        <w:t xml:space="preserve">0. </w:t>
      </w:r>
      <w:r w:rsidR="00914C13">
        <w:t>ICRs</w:t>
      </w:r>
      <w:r w:rsidR="00BA6FE0">
        <w:t xml:space="preserve"> 1695.</w:t>
      </w:r>
      <w:r w:rsidR="0072716D">
        <w:t xml:space="preserve">14 and 0783.65 </w:t>
      </w:r>
      <w:r w:rsidR="00914C13">
        <w:t>cover p</w:t>
      </w:r>
      <w:r w:rsidR="003D63E5">
        <w:t xml:space="preserve">rograms related to small SI, </w:t>
      </w:r>
      <w:r w:rsidR="006D2FFF">
        <w:t xml:space="preserve">light-duty </w:t>
      </w:r>
      <w:r w:rsidR="002C4D53">
        <w:t>vehicles,</w:t>
      </w:r>
      <w:r w:rsidR="003D63E5">
        <w:t xml:space="preserve"> and other categories</w:t>
      </w:r>
      <w:r w:rsidR="00914C13">
        <w:t xml:space="preserve"> of respondents.</w:t>
      </w:r>
    </w:p>
    <w:p w:rsidR="003311B8" w:rsidP="003F2F37" w:rsidRDefault="003311B8" w14:paraId="671E9835" w14:textId="77777777">
      <w:pPr>
        <w:ind w:firstLine="720"/>
      </w:pPr>
    </w:p>
    <w:p w:rsidR="006F1304" w:rsidP="003311B8" w:rsidRDefault="008B119D" w14:paraId="17BFB0C0" w14:textId="09022384">
      <w:pPr>
        <w:ind w:firstLine="720"/>
      </w:pPr>
      <w:r>
        <w:t xml:space="preserve">It should be noted that not all </w:t>
      </w:r>
      <w:r w:rsidR="001260EF">
        <w:t xml:space="preserve">the proposed </w:t>
      </w:r>
      <w:r>
        <w:t xml:space="preserve">regulatory changes </w:t>
      </w:r>
      <w:r w:rsidR="001260EF">
        <w:t>impact</w:t>
      </w:r>
      <w:r>
        <w:t xml:space="preserve"> reporting and recordkeeping requirements</w:t>
      </w:r>
      <w:r w:rsidR="0082634D">
        <w:t xml:space="preserve"> and </w:t>
      </w:r>
      <w:r w:rsidR="0055782B">
        <w:t xml:space="preserve">the </w:t>
      </w:r>
      <w:r w:rsidR="0082634D">
        <w:t>burden associated with them</w:t>
      </w:r>
      <w:r>
        <w:t xml:space="preserve">. </w:t>
      </w:r>
      <w:r w:rsidR="0055782B">
        <w:t xml:space="preserve">For example, while </w:t>
      </w:r>
      <w:r w:rsidR="00762A18">
        <w:t xml:space="preserve">the </w:t>
      </w:r>
      <w:r w:rsidR="006D24F9">
        <w:t xml:space="preserve">addition of a </w:t>
      </w:r>
      <w:r w:rsidR="00762A18">
        <w:t xml:space="preserve">new test </w:t>
      </w:r>
      <w:r w:rsidR="006D24F9">
        <w:t>cycle</w:t>
      </w:r>
      <w:r w:rsidR="00DF126D">
        <w:t xml:space="preserve"> </w:t>
      </w:r>
      <w:r w:rsidR="00E54891">
        <w:t>directly</w:t>
      </w:r>
      <w:r w:rsidR="0055782B">
        <w:t xml:space="preserve"> </w:t>
      </w:r>
      <w:r w:rsidR="0055782B">
        <w:lastRenderedPageBreak/>
        <w:t>impact</w:t>
      </w:r>
      <w:r w:rsidR="00E54891">
        <w:t>s</w:t>
      </w:r>
      <w:r w:rsidR="00DF126D">
        <w:t xml:space="preserve"> </w:t>
      </w:r>
      <w:r w:rsidR="00D76198">
        <w:t xml:space="preserve">the </w:t>
      </w:r>
      <w:r w:rsidR="00DF126D">
        <w:t>burden and expense</w:t>
      </w:r>
      <w:r w:rsidR="00D76198">
        <w:t xml:space="preserve"> </w:t>
      </w:r>
      <w:r w:rsidR="00E144F3">
        <w:t xml:space="preserve">associated with </w:t>
      </w:r>
      <w:r w:rsidR="004D69C6">
        <w:t xml:space="preserve">compiling and submitting a </w:t>
      </w:r>
      <w:r w:rsidR="0086456A">
        <w:t xml:space="preserve">certification </w:t>
      </w:r>
      <w:r w:rsidR="004D69C6">
        <w:t>application</w:t>
      </w:r>
      <w:r w:rsidR="00DF126D">
        <w:t xml:space="preserve">, </w:t>
      </w:r>
      <w:r w:rsidR="00910C5E">
        <w:t>a change</w:t>
      </w:r>
      <w:r w:rsidR="0099786E">
        <w:t xml:space="preserve"> in </w:t>
      </w:r>
      <w:r w:rsidR="00762A18">
        <w:t xml:space="preserve">the </w:t>
      </w:r>
      <w:r w:rsidR="0099786E">
        <w:t xml:space="preserve">numeric value of </w:t>
      </w:r>
      <w:r w:rsidR="00BF3E4F">
        <w:t xml:space="preserve">an existing </w:t>
      </w:r>
      <w:r w:rsidR="0099786E">
        <w:t xml:space="preserve">standard </w:t>
      </w:r>
      <w:r w:rsidR="00195CB9">
        <w:t>is</w:t>
      </w:r>
      <w:r w:rsidR="00385925">
        <w:t xml:space="preserve"> </w:t>
      </w:r>
      <w:r w:rsidR="00B32B55">
        <w:t>not</w:t>
      </w:r>
      <w:r w:rsidR="000A71E5">
        <w:t xml:space="preserve"> likely to</w:t>
      </w:r>
      <w:r w:rsidR="0099786E">
        <w:t xml:space="preserve">. </w:t>
      </w:r>
      <w:r w:rsidR="00AC7055">
        <w:t>Likewise, t</w:t>
      </w:r>
      <w:r w:rsidR="00B32B55">
        <w:t xml:space="preserve">here are </w:t>
      </w:r>
      <w:r w:rsidR="00B156E8">
        <w:t xml:space="preserve">also </w:t>
      </w:r>
      <w:r w:rsidR="006F1304">
        <w:t>several</w:t>
      </w:r>
      <w:r w:rsidR="00B32B55">
        <w:t xml:space="preserve"> provisions in the proposal tha</w:t>
      </w:r>
      <w:r w:rsidR="005E08AF">
        <w:t xml:space="preserve">t </w:t>
      </w:r>
      <w:r w:rsidR="006F1304">
        <w:t xml:space="preserve">seek to </w:t>
      </w:r>
      <w:r w:rsidR="005C7C9C">
        <w:t xml:space="preserve">clarify </w:t>
      </w:r>
      <w:r w:rsidR="000B1E56">
        <w:t xml:space="preserve">definitions or </w:t>
      </w:r>
      <w:r w:rsidR="00C10185">
        <w:t>correct omissions</w:t>
      </w:r>
      <w:r w:rsidR="000B1E56">
        <w:t xml:space="preserve">. Those provisions that have no impact </w:t>
      </w:r>
      <w:r w:rsidR="00454CD1">
        <w:t>on</w:t>
      </w:r>
      <w:r w:rsidR="005E08AF">
        <w:t xml:space="preserve"> </w:t>
      </w:r>
      <w:r w:rsidR="003A5F4E">
        <w:t xml:space="preserve">reporting or </w:t>
      </w:r>
      <w:r w:rsidR="005E08AF">
        <w:t>recordkeeping requirements or the method</w:t>
      </w:r>
      <w:r w:rsidR="000A71E5">
        <w:t>s</w:t>
      </w:r>
      <w:r w:rsidR="005E08AF">
        <w:t xml:space="preserve"> used to collect </w:t>
      </w:r>
      <w:r w:rsidR="00454CD1">
        <w:t xml:space="preserve">the </w:t>
      </w:r>
      <w:r w:rsidR="005E08AF">
        <w:t>information</w:t>
      </w:r>
      <w:r w:rsidR="00454CD1">
        <w:t xml:space="preserve"> have been </w:t>
      </w:r>
      <w:r w:rsidR="00944F9E">
        <w:t>described in broad terms or omitted</w:t>
      </w:r>
      <w:r w:rsidR="00B42738">
        <w:t xml:space="preserve">. </w:t>
      </w:r>
    </w:p>
    <w:p w:rsidR="006F1304" w:rsidP="003311B8" w:rsidRDefault="006F1304" w14:paraId="1EE64135" w14:textId="77777777">
      <w:pPr>
        <w:ind w:firstLine="720"/>
      </w:pPr>
    </w:p>
    <w:p w:rsidR="004024D5" w:rsidP="003311B8" w:rsidRDefault="000C712E" w14:paraId="737897A4" w14:textId="6C3D27D6">
      <w:pPr>
        <w:ind w:firstLine="720"/>
      </w:pPr>
      <w:r>
        <w:t>The</w:t>
      </w:r>
      <w:r w:rsidR="00B74591">
        <w:t xml:space="preserve"> </w:t>
      </w:r>
      <w:r w:rsidR="004D0DAE">
        <w:t xml:space="preserve">data </w:t>
      </w:r>
      <w:r w:rsidR="00B74591">
        <w:t xml:space="preserve">related to the proposed rule </w:t>
      </w:r>
      <w:bookmarkStart w:name="_Hlk520658921" w:id="5"/>
      <w:bookmarkEnd w:id="4"/>
      <w:r w:rsidR="004A41DA">
        <w:t>would</w:t>
      </w:r>
      <w:r w:rsidR="00766D65">
        <w:t xml:space="preserve"> be </w:t>
      </w:r>
      <w:r w:rsidR="00FF7683">
        <w:t xml:space="preserve">collected </w:t>
      </w:r>
      <w:r w:rsidRPr="00366674" w:rsidR="00FF7683">
        <w:t>electronically</w:t>
      </w:r>
      <w:r w:rsidR="00B74591">
        <w:t xml:space="preserve"> in very much the same manner as it is now</w:t>
      </w:r>
      <w:r w:rsidR="003D2FB3">
        <w:t xml:space="preserve">, </w:t>
      </w:r>
      <w:r w:rsidR="00B74591">
        <w:t xml:space="preserve">through the </w:t>
      </w:r>
      <w:r w:rsidRPr="00366674" w:rsidR="00FF7683">
        <w:t xml:space="preserve">EPA’s </w:t>
      </w:r>
      <w:r w:rsidRPr="00366674" w:rsidR="005276B0">
        <w:rPr>
          <w:lang w:val="en"/>
        </w:rPr>
        <w:t>Engines and Vehicles Compliance Inform</w:t>
      </w:r>
      <w:r w:rsidR="00366674">
        <w:rPr>
          <w:lang w:val="en"/>
        </w:rPr>
        <w:t>ation System (EV-CIS), formerly known as VERIFY</w:t>
      </w:r>
      <w:r w:rsidR="005276B0">
        <w:rPr>
          <w:lang w:val="en"/>
        </w:rPr>
        <w:t xml:space="preserve">. </w:t>
      </w:r>
      <w:r w:rsidR="009C07D1">
        <w:t xml:space="preserve">More information on the </w:t>
      </w:r>
      <w:r w:rsidR="00FE087F">
        <w:t xml:space="preserve">existing </w:t>
      </w:r>
      <w:r w:rsidR="009C07D1">
        <w:t xml:space="preserve">certification process and data requirements can be found at </w:t>
      </w:r>
      <w:hyperlink w:history="1" r:id="rId13">
        <w:r w:rsidRPr="00CD1AEC" w:rsidR="009C07D1">
          <w:rPr>
            <w:rStyle w:val="Hyperlink"/>
          </w:rPr>
          <w:t>https://www.epa.gov/vehicle-and-engine-certification/certification-heavy-duty-hd-commercial-trucks-and-buses-and-onroad</w:t>
        </w:r>
      </w:hyperlink>
      <w:r w:rsidR="009C07D1">
        <w:t>.</w:t>
      </w:r>
      <w:r w:rsidR="00B74591">
        <w:t xml:space="preserve"> </w:t>
      </w:r>
    </w:p>
    <w:bookmarkEnd w:id="5"/>
    <w:p w:rsidR="009D6DF8" w:rsidP="00407228" w:rsidRDefault="009D6DF8" w14:paraId="5ED0A1CA" w14:textId="4505D03A"/>
    <w:p w:rsidR="00F7671E" w:rsidP="00F7671E" w:rsidRDefault="00F7671E" w14:paraId="6423FAD0" w14:textId="1689C154">
      <w:pPr>
        <w:ind w:firstLine="720"/>
      </w:pPr>
      <w:r>
        <w:t xml:space="preserve">To clarify and better organize HD requirements, both existing and proposed, the agency is proposing to migrate HD criteria pollutant regulations from </w:t>
      </w:r>
      <w:r w:rsidRPr="008E27C1">
        <w:t xml:space="preserve">40 CFR Part 86 </w:t>
      </w:r>
      <w:r w:rsidRPr="008E27C1" w:rsidR="00B4072B">
        <w:t xml:space="preserve">Subpart A </w:t>
      </w:r>
      <w:r w:rsidRPr="008E27C1">
        <w:t>to Parts 1036,</w:t>
      </w:r>
      <w:r>
        <w:t xml:space="preserve"> as applicable. The proposed rule also updates other CFR Parts as necessary. Regulatory citations offered throughout this document generally refer to the proposal. However, the proposal does follow the existing structure of the CFR, so it should be easy for the reader to find its place in either document. </w:t>
      </w:r>
    </w:p>
    <w:p w:rsidR="00F7671E" w:rsidP="00407228" w:rsidRDefault="00F7671E" w14:paraId="0B122CE5" w14:textId="77777777"/>
    <w:p w:rsidR="00FE087F" w:rsidP="0028680A" w:rsidRDefault="00FE087F" w14:paraId="7EF97A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p>
    <w:p w:rsidRPr="00B130EC" w:rsidR="0028680A" w:rsidP="0028680A" w:rsidRDefault="0028680A" w14:paraId="1509BBA4" w14:textId="7E6B8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b/>
          <w:bCs/>
        </w:rPr>
      </w:pPr>
      <w:r w:rsidRPr="00B130EC">
        <w:rPr>
          <w:b/>
          <w:bCs/>
        </w:rPr>
        <w:t>(</w:t>
      </w:r>
      <w:r w:rsidR="0098228E">
        <w:rPr>
          <w:b/>
          <w:bCs/>
        </w:rPr>
        <w:t>4)(b)(</w:t>
      </w:r>
      <w:proofErr w:type="spellStart"/>
      <w:r w:rsidR="0098228E">
        <w:rPr>
          <w:b/>
          <w:bCs/>
        </w:rPr>
        <w:t>i</w:t>
      </w:r>
      <w:proofErr w:type="spellEnd"/>
      <w:r w:rsidR="0098228E">
        <w:rPr>
          <w:b/>
          <w:bCs/>
        </w:rPr>
        <w:t>)</w:t>
      </w:r>
      <w:r w:rsidR="0098228E">
        <w:rPr>
          <w:b/>
          <w:bCs/>
        </w:rPr>
        <w:tab/>
      </w:r>
      <w:r w:rsidRPr="00B130EC">
        <w:rPr>
          <w:b/>
          <w:bCs/>
        </w:rPr>
        <w:t xml:space="preserve">Data Items </w:t>
      </w:r>
    </w:p>
    <w:p w:rsidR="00CB5688" w:rsidP="00CB5688" w:rsidRDefault="00CB5688" w14:paraId="01B8691B" w14:textId="295D44E1"/>
    <w:p w:rsidRPr="00B4072B" w:rsidR="00CB5688" w:rsidP="00CC6C50" w:rsidRDefault="00CB5688" w14:paraId="7BE3394E" w14:textId="2C97DC5D">
      <w:pPr>
        <w:rPr>
          <w:i/>
        </w:rPr>
      </w:pPr>
      <w:bookmarkStart w:name="OLE_LINK6" w:id="6"/>
      <w:r>
        <w:tab/>
      </w:r>
      <w:r w:rsidRPr="00B130EC">
        <w:tab/>
      </w:r>
      <w:r w:rsidRPr="00B130EC">
        <w:tab/>
      </w:r>
      <w:r w:rsidRPr="00F1594D">
        <w:rPr>
          <w:i/>
        </w:rPr>
        <w:t>(4)(b)</w:t>
      </w:r>
      <w:r w:rsidR="00CC6C50">
        <w:rPr>
          <w:i/>
        </w:rPr>
        <w:t>(</w:t>
      </w:r>
      <w:proofErr w:type="spellStart"/>
      <w:r w:rsidR="00CC6C50">
        <w:rPr>
          <w:i/>
        </w:rPr>
        <w:t>i</w:t>
      </w:r>
      <w:proofErr w:type="spellEnd"/>
      <w:r w:rsidR="00CC6C50">
        <w:rPr>
          <w:i/>
        </w:rPr>
        <w:t>)(</w:t>
      </w:r>
      <w:r w:rsidR="005C1A98">
        <w:rPr>
          <w:i/>
        </w:rPr>
        <w:t>1</w:t>
      </w:r>
      <w:r w:rsidRPr="00B130EC">
        <w:rPr>
          <w:i/>
        </w:rPr>
        <w:t>) Certification</w:t>
      </w:r>
      <w:bookmarkStart w:name="_Hlk520665710" w:id="7"/>
      <w:bookmarkEnd w:id="6"/>
      <w:r w:rsidR="00B4072B">
        <w:rPr>
          <w:i/>
        </w:rPr>
        <w:t xml:space="preserve"> - </w:t>
      </w:r>
      <w:r w:rsidRPr="0084726E">
        <w:rPr>
          <w:i/>
        </w:rPr>
        <w:t>Summary of</w:t>
      </w:r>
      <w:r w:rsidR="00CC6C50">
        <w:rPr>
          <w:i/>
        </w:rPr>
        <w:t xml:space="preserve"> </w:t>
      </w:r>
      <w:r w:rsidR="007403CC">
        <w:rPr>
          <w:i/>
        </w:rPr>
        <w:t>changes</w:t>
      </w:r>
      <w:r>
        <w:rPr>
          <w:i/>
        </w:rPr>
        <w:t xml:space="preserve">  </w:t>
      </w:r>
    </w:p>
    <w:p w:rsidR="00882399" w:rsidP="00882399" w:rsidRDefault="00882399" w14:paraId="2A899F59" w14:textId="6A48172C">
      <w:pPr>
        <w:ind w:firstLine="360"/>
        <w:rPr>
          <w:bCs/>
        </w:rPr>
      </w:pPr>
    </w:p>
    <w:p w:rsidRPr="00D42CE2" w:rsidR="00B840EE" w:rsidP="0079344A" w:rsidRDefault="00D8396E" w14:paraId="62DC84E2" w14:textId="07424F6B">
      <w:pPr>
        <w:ind w:firstLine="360"/>
        <w:rPr>
          <w:bCs/>
        </w:rPr>
      </w:pPr>
      <w:r>
        <w:rPr>
          <w:bCs/>
        </w:rPr>
        <w:t>The p</w:t>
      </w:r>
      <w:r w:rsidR="00D42CE2">
        <w:rPr>
          <w:bCs/>
        </w:rPr>
        <w:t>roposed provisions</w:t>
      </w:r>
      <w:r w:rsidR="00F30B97">
        <w:rPr>
          <w:bCs/>
        </w:rPr>
        <w:t xml:space="preserve"> </w:t>
      </w:r>
      <w:r w:rsidR="00F3076E">
        <w:rPr>
          <w:bCs/>
        </w:rPr>
        <w:t xml:space="preserve">that would impact certification reporting and recordkeeping requirements include </w:t>
      </w:r>
      <w:r w:rsidR="00D42CE2">
        <w:rPr>
          <w:bCs/>
        </w:rPr>
        <w:t>changes to</w:t>
      </w:r>
      <w:r w:rsidRPr="00661893" w:rsidR="00661893">
        <w:rPr>
          <w:bCs/>
        </w:rPr>
        <w:t xml:space="preserve"> the standards, test procedures, regulatory useful life, </w:t>
      </w:r>
      <w:r w:rsidR="00550FC4">
        <w:rPr>
          <w:bCs/>
        </w:rPr>
        <w:t xml:space="preserve">and </w:t>
      </w:r>
      <w:r w:rsidRPr="00661893" w:rsidR="00661893">
        <w:rPr>
          <w:bCs/>
        </w:rPr>
        <w:t>emission-related warranty</w:t>
      </w:r>
      <w:r w:rsidR="004727EA">
        <w:rPr>
          <w:bCs/>
        </w:rPr>
        <w:t xml:space="preserve"> </w:t>
      </w:r>
      <w:r w:rsidRPr="00661893" w:rsidR="00661893">
        <w:rPr>
          <w:bCs/>
        </w:rPr>
        <w:t>requirements</w:t>
      </w:r>
      <w:r w:rsidR="00600634">
        <w:rPr>
          <w:bCs/>
        </w:rPr>
        <w:t>,</w:t>
      </w:r>
      <w:r w:rsidR="00F3076E">
        <w:rPr>
          <w:bCs/>
        </w:rPr>
        <w:t xml:space="preserve"> briefly summarized here</w:t>
      </w:r>
      <w:r>
        <w:rPr>
          <w:bCs/>
        </w:rPr>
        <w:t xml:space="preserve">, along with those that do not </w:t>
      </w:r>
      <w:r w:rsidR="00534B4B">
        <w:rPr>
          <w:bCs/>
        </w:rPr>
        <w:t>impact burden estimates</w:t>
      </w:r>
      <w:r w:rsidR="00F3076E">
        <w:rPr>
          <w:bCs/>
        </w:rPr>
        <w:t>.</w:t>
      </w:r>
      <w:r w:rsidR="001F410A">
        <w:rPr>
          <w:bCs/>
        </w:rPr>
        <w:t xml:space="preserve"> </w:t>
      </w:r>
      <w:r w:rsidR="0096461A">
        <w:rPr>
          <w:bCs/>
        </w:rPr>
        <w:t>EPA is proposing</w:t>
      </w:r>
      <w:r w:rsidR="00FC7040">
        <w:rPr>
          <w:bCs/>
        </w:rPr>
        <w:t xml:space="preserve"> the following</w:t>
      </w:r>
      <w:r w:rsidR="003B4BC3">
        <w:rPr>
          <w:bCs/>
        </w:rPr>
        <w:t>:</w:t>
      </w:r>
    </w:p>
    <w:p w:rsidRPr="00F30F8F" w:rsidR="00B840EE" w:rsidP="00F30F8F" w:rsidRDefault="00B840EE" w14:paraId="53106C8A" w14:textId="77777777">
      <w:pPr>
        <w:pStyle w:val="ListParagraph"/>
        <w:ind w:left="2160"/>
        <w:rPr>
          <w:bCs/>
        </w:rPr>
      </w:pPr>
    </w:p>
    <w:p w:rsidR="0099440F" w:rsidP="004E0315" w:rsidRDefault="006802D6" w14:paraId="267A0848" w14:textId="2708FBD4">
      <w:pPr>
        <w:ind w:left="360"/>
        <w:rPr>
          <w:bCs/>
        </w:rPr>
      </w:pPr>
      <w:r w:rsidRPr="00F67A81">
        <w:rPr>
          <w:bCs/>
          <w:u w:val="single"/>
        </w:rPr>
        <w:t xml:space="preserve">HD </w:t>
      </w:r>
      <w:r w:rsidRPr="00F67A81" w:rsidR="00882399">
        <w:rPr>
          <w:bCs/>
          <w:u w:val="single"/>
        </w:rPr>
        <w:t xml:space="preserve">Engine </w:t>
      </w:r>
      <w:r w:rsidRPr="00F67A81" w:rsidR="002A7462">
        <w:rPr>
          <w:bCs/>
          <w:u w:val="single"/>
        </w:rPr>
        <w:t xml:space="preserve">&amp; Vehicle </w:t>
      </w:r>
      <w:r w:rsidRPr="00F67A81" w:rsidR="00882399">
        <w:rPr>
          <w:bCs/>
          <w:u w:val="single"/>
        </w:rPr>
        <w:t>Certification</w:t>
      </w:r>
      <w:r w:rsidR="004E0315">
        <w:rPr>
          <w:bCs/>
          <w:u w:val="single"/>
        </w:rPr>
        <w:t xml:space="preserve"> Program</w:t>
      </w:r>
      <w:r w:rsidR="002A7462">
        <w:rPr>
          <w:bCs/>
          <w:u w:val="single"/>
        </w:rPr>
        <w:t>s</w:t>
      </w:r>
      <w:r w:rsidR="00996363">
        <w:rPr>
          <w:bCs/>
        </w:rPr>
        <w:t xml:space="preserve"> </w:t>
      </w:r>
      <w:r w:rsidR="008B04D7">
        <w:rPr>
          <w:bCs/>
        </w:rPr>
        <w:t xml:space="preserve">– </w:t>
      </w:r>
    </w:p>
    <w:p w:rsidR="00D14F00" w:rsidP="004155D9" w:rsidRDefault="003B4BC3" w14:paraId="5BF84817" w14:textId="13BC6EEC">
      <w:pPr>
        <w:pStyle w:val="ListParagraph"/>
        <w:numPr>
          <w:ilvl w:val="0"/>
          <w:numId w:val="10"/>
        </w:numPr>
        <w:rPr>
          <w:bCs/>
        </w:rPr>
      </w:pPr>
      <w:r>
        <w:rPr>
          <w:bCs/>
        </w:rPr>
        <w:t>To</w:t>
      </w:r>
      <w:r w:rsidR="00383B2A">
        <w:rPr>
          <w:bCs/>
        </w:rPr>
        <w:t xml:space="preserve"> m</w:t>
      </w:r>
      <w:r w:rsidRPr="0099440F" w:rsidR="00197A63">
        <w:rPr>
          <w:bCs/>
        </w:rPr>
        <w:t>igrate</w:t>
      </w:r>
      <w:r w:rsidRPr="0099440F" w:rsidR="003A5544">
        <w:rPr>
          <w:bCs/>
        </w:rPr>
        <w:t xml:space="preserve"> criteria</w:t>
      </w:r>
      <w:r w:rsidRPr="0099440F" w:rsidR="00135183">
        <w:rPr>
          <w:bCs/>
        </w:rPr>
        <w:t xml:space="preserve"> </w:t>
      </w:r>
      <w:r w:rsidRPr="0099440F" w:rsidR="003A5544">
        <w:rPr>
          <w:bCs/>
        </w:rPr>
        <w:t xml:space="preserve">pollutant </w:t>
      </w:r>
      <w:r w:rsidRPr="0099440F" w:rsidR="00197A63">
        <w:rPr>
          <w:bCs/>
        </w:rPr>
        <w:t xml:space="preserve">emissions </w:t>
      </w:r>
      <w:r w:rsidRPr="0099440F" w:rsidR="00135183">
        <w:rPr>
          <w:bCs/>
        </w:rPr>
        <w:t xml:space="preserve">requirements </w:t>
      </w:r>
      <w:r w:rsidRPr="0099440F" w:rsidR="003A5544">
        <w:rPr>
          <w:bCs/>
        </w:rPr>
        <w:t xml:space="preserve">currently found in Part 86, Section A </w:t>
      </w:r>
      <w:r w:rsidRPr="0099440F" w:rsidR="00EE7C8F">
        <w:rPr>
          <w:bCs/>
        </w:rPr>
        <w:t xml:space="preserve">into </w:t>
      </w:r>
      <w:r w:rsidRPr="00534B4B" w:rsidR="00081AC9">
        <w:rPr>
          <w:bCs/>
        </w:rPr>
        <w:t xml:space="preserve">Part </w:t>
      </w:r>
      <w:r w:rsidRPr="00534B4B" w:rsidR="00EE7C8F">
        <w:rPr>
          <w:bCs/>
        </w:rPr>
        <w:t>1036</w:t>
      </w:r>
      <w:r w:rsidRPr="00534B4B" w:rsidR="00CC5A5F">
        <w:rPr>
          <w:bCs/>
        </w:rPr>
        <w:t>,</w:t>
      </w:r>
      <w:r w:rsidRPr="0099440F" w:rsidR="00CC5A5F">
        <w:rPr>
          <w:bCs/>
        </w:rPr>
        <w:t xml:space="preserve"> applicable to MY2027 and beyond</w:t>
      </w:r>
    </w:p>
    <w:p w:rsidRPr="00D93BC0" w:rsidR="00D93BC0" w:rsidP="00D93BC0" w:rsidRDefault="00D93BC0" w14:paraId="620B69D0" w14:textId="77777777">
      <w:pPr>
        <w:pStyle w:val="ListParagraph"/>
        <w:numPr>
          <w:ilvl w:val="1"/>
          <w:numId w:val="10"/>
        </w:numPr>
        <w:rPr>
          <w:bCs/>
        </w:rPr>
      </w:pPr>
      <w:r w:rsidRPr="00D93BC0">
        <w:rPr>
          <w:bCs/>
        </w:rPr>
        <w:t xml:space="preserve">Alternate Standards for Specialty Vehicles - </w:t>
      </w:r>
      <w:r w:rsidRPr="00D93BC0">
        <w:t>proposing to migrate these alternate standards from Parts 86.007-11 and 86.008-10 into 1036.605 without modification</w:t>
      </w:r>
      <w:r>
        <w:t>. However, we may therefore consider revising the alternate standards, or discontinuing the alternate standards entirely. We might make those changes in this rule or in a future rule.</w:t>
      </w:r>
    </w:p>
    <w:p w:rsidRPr="0097420D" w:rsidR="0099440F" w:rsidP="004155D9" w:rsidRDefault="001F3D8F" w14:paraId="2344A6AB" w14:textId="18025974">
      <w:pPr>
        <w:pStyle w:val="ListParagraph"/>
        <w:numPr>
          <w:ilvl w:val="1"/>
          <w:numId w:val="10"/>
        </w:numPr>
        <w:rPr>
          <w:bCs/>
        </w:rPr>
      </w:pPr>
      <w:r w:rsidRPr="0097420D">
        <w:rPr>
          <w:bCs/>
        </w:rPr>
        <w:t>Includes v</w:t>
      </w:r>
      <w:r w:rsidRPr="0097420D" w:rsidR="0099440F">
        <w:rPr>
          <w:bCs/>
        </w:rPr>
        <w:t xml:space="preserve">arious </w:t>
      </w:r>
      <w:r w:rsidRPr="0097420D" w:rsidR="0049560F">
        <w:rPr>
          <w:bCs/>
        </w:rPr>
        <w:t xml:space="preserve">terms </w:t>
      </w:r>
      <w:r w:rsidRPr="0097420D" w:rsidR="003738F9">
        <w:rPr>
          <w:bCs/>
        </w:rPr>
        <w:t xml:space="preserve">and applicability </w:t>
      </w:r>
      <w:r w:rsidRPr="0097420D" w:rsidR="0049560F">
        <w:rPr>
          <w:bCs/>
        </w:rPr>
        <w:t>clarifications</w:t>
      </w:r>
      <w:r w:rsidRPr="0097420D">
        <w:rPr>
          <w:bCs/>
        </w:rPr>
        <w:t xml:space="preserve"> </w:t>
      </w:r>
    </w:p>
    <w:p w:rsidRPr="00E02DAA" w:rsidR="00E02DAA" w:rsidP="004155D9" w:rsidRDefault="00E02DAA" w14:paraId="03931E26" w14:textId="2DEF2A33">
      <w:pPr>
        <w:pStyle w:val="ListParagraph"/>
        <w:numPr>
          <w:ilvl w:val="0"/>
          <w:numId w:val="4"/>
        </w:numPr>
        <w:rPr>
          <w:bCs/>
        </w:rPr>
      </w:pPr>
      <w:r>
        <w:t>Emission standards</w:t>
      </w:r>
      <w:r w:rsidR="007828F7">
        <w:t xml:space="preserve"> (changes to the numerical values)</w:t>
      </w:r>
      <w:r>
        <w:t xml:space="preserve">: </w:t>
      </w:r>
    </w:p>
    <w:p w:rsidRPr="00BD2536" w:rsidR="00BD2536" w:rsidP="004155D9" w:rsidRDefault="0097420D" w14:paraId="69F0BE5F" w14:textId="64A1F7C0">
      <w:pPr>
        <w:pStyle w:val="ListParagraph"/>
        <w:numPr>
          <w:ilvl w:val="1"/>
          <w:numId w:val="4"/>
        </w:numPr>
        <w:rPr>
          <w:bCs/>
        </w:rPr>
      </w:pPr>
      <w:r>
        <w:t>Unit change: s</w:t>
      </w:r>
      <w:r w:rsidRPr="00BD2536" w:rsidR="00BD2536">
        <w:t>tandards</w:t>
      </w:r>
      <w:r>
        <w:t xml:space="preserve"> </w:t>
      </w:r>
      <w:r w:rsidRPr="00BD2536" w:rsidR="00BD2536">
        <w:t>expressed in units of milligrams per kilowatt-hour</w:t>
      </w:r>
      <w:r w:rsidR="00BD2536">
        <w:t xml:space="preserve"> </w:t>
      </w:r>
      <w:r w:rsidRPr="00BD2536" w:rsidR="00BD2536">
        <w:t>as for the HD nonroad and locomotive standards.</w:t>
      </w:r>
    </w:p>
    <w:p w:rsidRPr="00BD7EDA" w:rsidR="00D63E10" w:rsidP="004155D9" w:rsidRDefault="005A0739" w14:paraId="14770BC2" w14:textId="6E6CF752">
      <w:pPr>
        <w:pStyle w:val="ListParagraph"/>
        <w:numPr>
          <w:ilvl w:val="1"/>
          <w:numId w:val="4"/>
        </w:numPr>
        <w:rPr>
          <w:bCs/>
        </w:rPr>
      </w:pPr>
      <w:r>
        <w:t xml:space="preserve">Lower </w:t>
      </w:r>
      <w:r w:rsidR="00F014CA">
        <w:t xml:space="preserve">HD </w:t>
      </w:r>
      <w:r w:rsidR="00C12662">
        <w:t xml:space="preserve">NOx </w:t>
      </w:r>
      <w:r w:rsidR="0069650F">
        <w:t>e</w:t>
      </w:r>
      <w:r w:rsidR="00C6197C">
        <w:t xml:space="preserve">mission standards </w:t>
      </w:r>
      <w:r w:rsidR="00BD7EDA">
        <w:t>–</w:t>
      </w:r>
      <w:r w:rsidR="008F6356">
        <w:t xml:space="preserve"> </w:t>
      </w:r>
      <w:r w:rsidR="00733C91">
        <w:t>EPA is requesting comment on two proposed options</w:t>
      </w:r>
      <w:r w:rsidRPr="005A0739">
        <w:t xml:space="preserve"> </w:t>
      </w:r>
      <w:r w:rsidR="002C31A9">
        <w:t>with</w:t>
      </w:r>
      <w:r w:rsidRPr="005A0739">
        <w:t xml:space="preserve"> different numeric levels of the </w:t>
      </w:r>
      <w:r w:rsidR="00F014CA">
        <w:t xml:space="preserve">HD </w:t>
      </w:r>
      <w:r w:rsidRPr="005A0739">
        <w:t>standards and lengths of useful life and warranty periods.</w:t>
      </w:r>
      <w:r>
        <w:t xml:space="preserve"> </w:t>
      </w:r>
      <w:r w:rsidR="0097420D">
        <w:t>Please refer to the pr</w:t>
      </w:r>
      <w:r w:rsidR="00E82A2A">
        <w:t>oposed rule for details</w:t>
      </w:r>
    </w:p>
    <w:p w:rsidRPr="00F4127E" w:rsidR="00A32E48" w:rsidP="004155D9" w:rsidRDefault="00626DF1" w14:paraId="22348D26" w14:textId="170AACE7">
      <w:pPr>
        <w:pStyle w:val="ListParagraph"/>
        <w:numPr>
          <w:ilvl w:val="2"/>
          <w:numId w:val="4"/>
        </w:numPr>
        <w:rPr>
          <w:bCs/>
        </w:rPr>
      </w:pPr>
      <w:r w:rsidRPr="00F4127E">
        <w:t xml:space="preserve">Option 1 </w:t>
      </w:r>
      <w:r w:rsidRPr="00F4127E" w:rsidR="00665543">
        <w:t xml:space="preserve">would </w:t>
      </w:r>
      <w:r w:rsidRPr="00F4127E" w:rsidR="006465B6">
        <w:t xml:space="preserve">have </w:t>
      </w:r>
      <w:r w:rsidRPr="00471F54" w:rsidR="0017283B">
        <w:t>lower</w:t>
      </w:r>
      <w:r w:rsidRPr="00F4127E" w:rsidR="006465B6">
        <w:t xml:space="preserve"> standards</w:t>
      </w:r>
      <w:r w:rsidRPr="00F4127E" w:rsidR="00AD7ED7">
        <w:t xml:space="preserve">, longer useful </w:t>
      </w:r>
      <w:proofErr w:type="gramStart"/>
      <w:r w:rsidRPr="00F4127E" w:rsidR="00AD7ED7">
        <w:t>live</w:t>
      </w:r>
      <w:r w:rsidRPr="00F4127E" w:rsidR="00292A76">
        <w:t>s</w:t>
      </w:r>
      <w:proofErr w:type="gramEnd"/>
      <w:r w:rsidRPr="00F4127E" w:rsidR="00292A76">
        <w:t xml:space="preserve"> and warranty periods to be implemented in two </w:t>
      </w:r>
      <w:r w:rsidRPr="00F4127E" w:rsidR="00C9706F">
        <w:t>st</w:t>
      </w:r>
      <w:r w:rsidRPr="00F4127E" w:rsidR="00A32E48">
        <w:t>eps</w:t>
      </w:r>
      <w:r w:rsidRPr="00F4127E" w:rsidR="00292A76">
        <w:t xml:space="preserve"> </w:t>
      </w:r>
      <w:r w:rsidRPr="00F4127E" w:rsidR="00A32E48">
        <w:t xml:space="preserve">from </w:t>
      </w:r>
      <w:r w:rsidRPr="00F4127E" w:rsidR="006465B6">
        <w:t>MY</w:t>
      </w:r>
      <w:r w:rsidRPr="00F4127E" w:rsidR="00A32E48">
        <w:t>202</w:t>
      </w:r>
      <w:r w:rsidRPr="00F4127E" w:rsidR="00F25C53">
        <w:t xml:space="preserve">7-2030 and </w:t>
      </w:r>
      <w:r w:rsidRPr="00F4127E" w:rsidR="00FA0715">
        <w:t>after M</w:t>
      </w:r>
      <w:r w:rsidRPr="00F4127E" w:rsidR="006465B6">
        <w:t>Y</w:t>
      </w:r>
      <w:r w:rsidRPr="00F4127E" w:rsidR="00F25C53">
        <w:t xml:space="preserve">2030 </w:t>
      </w:r>
    </w:p>
    <w:p w:rsidRPr="00364F03" w:rsidR="0081016D" w:rsidP="004155D9" w:rsidRDefault="00F25C53" w14:paraId="31FCC3D7" w14:textId="04E84939">
      <w:pPr>
        <w:pStyle w:val="ListParagraph"/>
        <w:numPr>
          <w:ilvl w:val="2"/>
          <w:numId w:val="4"/>
        </w:numPr>
        <w:rPr>
          <w:bCs/>
        </w:rPr>
      </w:pPr>
      <w:r w:rsidRPr="00F4127E">
        <w:t xml:space="preserve">Option </w:t>
      </w:r>
      <w:r w:rsidRPr="00F4127E" w:rsidR="00925601">
        <w:t>2</w:t>
      </w:r>
      <w:r w:rsidRPr="00F4127E">
        <w:t xml:space="preserve"> </w:t>
      </w:r>
      <w:r w:rsidRPr="00F4127E" w:rsidR="0017283B">
        <w:t>would</w:t>
      </w:r>
      <w:r w:rsidRPr="00F4127E" w:rsidR="006465B6">
        <w:t xml:space="preserve"> </w:t>
      </w:r>
      <w:r w:rsidRPr="00F4127E" w:rsidR="00E77F17">
        <w:t xml:space="preserve">have </w:t>
      </w:r>
      <w:r w:rsidR="005E2F1C">
        <w:t>less stringent s</w:t>
      </w:r>
      <w:r w:rsidRPr="00F4127E" w:rsidR="006465B6">
        <w:t xml:space="preserve">tandards but </w:t>
      </w:r>
      <w:r w:rsidRPr="00F4127E">
        <w:t xml:space="preserve">would apply </w:t>
      </w:r>
      <w:r w:rsidRPr="00F4127E" w:rsidR="00925601">
        <w:t>starting on 2027</w:t>
      </w:r>
      <w:r w:rsidRPr="00F4127E" w:rsidR="00FA0715">
        <w:t xml:space="preserve"> (one step)</w:t>
      </w:r>
    </w:p>
    <w:p w:rsidR="00B20118" w:rsidP="004155D9" w:rsidRDefault="003B4BC3" w14:paraId="36EDDCB4" w14:textId="75C1BB94">
      <w:pPr>
        <w:pStyle w:val="ListParagraph"/>
        <w:numPr>
          <w:ilvl w:val="1"/>
          <w:numId w:val="4"/>
        </w:numPr>
        <w:rPr>
          <w:bCs/>
        </w:rPr>
      </w:pPr>
      <w:bookmarkStart w:name="_Hlk78719235" w:id="8"/>
      <w:r>
        <w:t>S</w:t>
      </w:r>
      <w:r w:rsidRPr="00D1120A" w:rsidR="00B20118">
        <w:t>eparate duty cycle standards at an intermediate useful life for MY 2031 and later Heavy</w:t>
      </w:r>
      <w:r w:rsidR="00E50EF0">
        <w:t xml:space="preserve">-duty </w:t>
      </w:r>
      <w:r w:rsidR="00F0443C">
        <w:t>Engines (</w:t>
      </w:r>
      <w:r w:rsidRPr="00D1120A" w:rsidR="00B20118">
        <w:t>HDE</w:t>
      </w:r>
      <w:r w:rsidR="00F0443C">
        <w:t>)</w:t>
      </w:r>
      <w:r w:rsidRPr="00D1120A" w:rsidR="00B20118">
        <w:t xml:space="preserve"> </w:t>
      </w:r>
    </w:p>
    <w:p w:rsidRPr="004660E1" w:rsidR="00E826FC" w:rsidP="004155D9" w:rsidRDefault="006C7707" w14:paraId="534B1AFD" w14:textId="412259AC">
      <w:pPr>
        <w:pStyle w:val="ListParagraph"/>
        <w:numPr>
          <w:ilvl w:val="1"/>
          <w:numId w:val="4"/>
        </w:numPr>
        <w:rPr>
          <w:bCs/>
        </w:rPr>
      </w:pPr>
      <w:r>
        <w:t xml:space="preserve">CI </w:t>
      </w:r>
      <w:r w:rsidR="00F0443C">
        <w:t>HD</w:t>
      </w:r>
      <w:r>
        <w:t xml:space="preserve">E: </w:t>
      </w:r>
      <w:r w:rsidR="00F0443C">
        <w:t>engin</w:t>
      </w:r>
      <w:r>
        <w:t xml:space="preserve">es: </w:t>
      </w:r>
      <w:r w:rsidRPr="005D6C00" w:rsidR="004046FA">
        <w:t>New NO</w:t>
      </w:r>
      <w:r w:rsidRPr="005D6C00" w:rsidR="004046FA">
        <w:rPr>
          <w:vertAlign w:val="subscript"/>
        </w:rPr>
        <w:t>X</w:t>
      </w:r>
      <w:r w:rsidRPr="005D6C00" w:rsidR="004046FA">
        <w:t xml:space="preserve">, PM, HC, and CO emission standards </w:t>
      </w:r>
      <w:bookmarkEnd w:id="8"/>
      <w:r w:rsidRPr="005D6C00" w:rsidR="005D6C00">
        <w:t>based on a new low-load test cycle (LLC)</w:t>
      </w:r>
    </w:p>
    <w:p w:rsidRPr="0096461A" w:rsidR="00AC0977" w:rsidP="0096461A" w:rsidRDefault="00CC21E9" w14:paraId="74C4243D" w14:textId="52097AA2">
      <w:pPr>
        <w:pStyle w:val="ListParagraph"/>
        <w:numPr>
          <w:ilvl w:val="1"/>
          <w:numId w:val="4"/>
        </w:numPr>
        <w:rPr>
          <w:bCs/>
        </w:rPr>
      </w:pPr>
      <w:r w:rsidRPr="0096461A">
        <w:t>SI HDE</w:t>
      </w:r>
      <w:r w:rsidRPr="0096461A" w:rsidR="00F54AAC">
        <w:t>: Adopt the</w:t>
      </w:r>
      <w:r w:rsidRPr="0096461A">
        <w:t xml:space="preserve"> Supplemental Emission Test (SET) standards</w:t>
      </w:r>
      <w:r w:rsidRPr="0096461A" w:rsidR="00F54AAC">
        <w:t xml:space="preserve"> </w:t>
      </w:r>
      <w:r w:rsidRPr="0096461A" w:rsidR="0096461A">
        <w:t>(and the SET duty cycle)</w:t>
      </w:r>
      <w:r w:rsidRPr="0096461A">
        <w:t xml:space="preserve"> for NO</w:t>
      </w:r>
      <w:r w:rsidRPr="0096461A">
        <w:rPr>
          <w:vertAlign w:val="subscript"/>
        </w:rPr>
        <w:t>X</w:t>
      </w:r>
      <w:r w:rsidRPr="0096461A">
        <w:t xml:space="preserve"> and PM emissions. The proposed Options 1 and 2 S</w:t>
      </w:r>
      <w:r w:rsidRPr="0096461A" w:rsidR="0096461A">
        <w:t>I</w:t>
      </w:r>
      <w:r w:rsidRPr="0096461A">
        <w:t xml:space="preserve"> HDE standards for HC and CO emissions on the SET cycle are numerically equivalent to the respective proposed FTP standards</w:t>
      </w:r>
    </w:p>
    <w:p w:rsidR="00CD7A19" w:rsidP="00CD7A19" w:rsidRDefault="00CD7A19" w14:paraId="6B6FC74B" w14:textId="77777777">
      <w:pPr>
        <w:pStyle w:val="ListParagraph"/>
        <w:numPr>
          <w:ilvl w:val="1"/>
          <w:numId w:val="4"/>
        </w:numPr>
        <w:rPr>
          <w:bCs/>
        </w:rPr>
      </w:pPr>
      <w:r>
        <w:rPr>
          <w:bCs/>
        </w:rPr>
        <w:t>Targeted revisions to the GHG Phase 2 standards and credit calculations</w:t>
      </w:r>
    </w:p>
    <w:p w:rsidRPr="00592D85" w:rsidR="00CD7A19" w:rsidP="00CD7A19" w:rsidRDefault="00CD7A19" w14:paraId="3A3D78B7" w14:textId="77777777">
      <w:pPr>
        <w:pStyle w:val="ListParagraph"/>
        <w:numPr>
          <w:ilvl w:val="2"/>
          <w:numId w:val="4"/>
        </w:numPr>
        <w:rPr>
          <w:bCs/>
        </w:rPr>
      </w:pPr>
      <w:r>
        <w:rPr>
          <w:bCs/>
        </w:rPr>
        <w:t>Lower</w:t>
      </w:r>
      <w:r w:rsidRPr="00B74150">
        <w:t xml:space="preserve"> Phase 2 CO</w:t>
      </w:r>
      <w:r w:rsidRPr="00B74150">
        <w:rPr>
          <w:vertAlign w:val="subscript"/>
        </w:rPr>
        <w:t>2</w:t>
      </w:r>
      <w:r w:rsidRPr="00B74150">
        <w:t xml:space="preserve"> emission standards </w:t>
      </w:r>
      <w:r>
        <w:t>applicable to a subset of</w:t>
      </w:r>
      <w:r w:rsidRPr="00B74150">
        <w:t xml:space="preserve"> </w:t>
      </w:r>
      <w:r>
        <w:t xml:space="preserve">HD </w:t>
      </w:r>
      <w:r w:rsidRPr="00B74150">
        <w:t>vehicle</w:t>
      </w:r>
      <w:r>
        <w:t xml:space="preserve">s. </w:t>
      </w:r>
    </w:p>
    <w:p w:rsidRPr="00B74150" w:rsidR="00CD7A19" w:rsidP="00CD7A19" w:rsidRDefault="00CD7A19" w14:paraId="634CD0AE" w14:textId="77777777">
      <w:pPr>
        <w:pStyle w:val="ListParagraph"/>
        <w:numPr>
          <w:ilvl w:val="2"/>
          <w:numId w:val="4"/>
        </w:numPr>
        <w:rPr>
          <w:bCs/>
        </w:rPr>
      </w:pPr>
      <w:r w:rsidRPr="00F30F8F">
        <w:t xml:space="preserve">Reduce the number of incentive credits </w:t>
      </w:r>
      <w:r>
        <w:t>generated</w:t>
      </w:r>
      <w:r w:rsidRPr="00F30F8F">
        <w:t xml:space="preserve"> by electric vehicles </w:t>
      </w:r>
      <w:r>
        <w:t>(</w:t>
      </w:r>
      <w:r w:rsidRPr="00F30F8F">
        <w:t>using the advance technology multiplier</w:t>
      </w:r>
      <w:r>
        <w:t>)</w:t>
      </w:r>
      <w:r w:rsidRPr="00F30F8F">
        <w:t xml:space="preserve"> in MY 2024 through MY 2027</w:t>
      </w:r>
    </w:p>
    <w:p w:rsidRPr="00F721D0" w:rsidR="00CD7A19" w:rsidP="00CD7A19" w:rsidRDefault="00CD7A19" w14:paraId="14EE9900" w14:textId="77777777">
      <w:pPr>
        <w:pStyle w:val="ListParagraph"/>
        <w:numPr>
          <w:ilvl w:val="1"/>
          <w:numId w:val="4"/>
        </w:numPr>
        <w:rPr>
          <w:bCs/>
        </w:rPr>
      </w:pPr>
      <w:r>
        <w:lastRenderedPageBreak/>
        <w:t xml:space="preserve">Updates to emission standards for existing laboratory test cycles (i.e., FTP and SET) </w:t>
      </w:r>
    </w:p>
    <w:p w:rsidRPr="005D6C00" w:rsidR="00737F31" w:rsidP="004155D9" w:rsidRDefault="00737F31" w14:paraId="03272B08" w14:textId="25CD8969">
      <w:pPr>
        <w:pStyle w:val="ListParagraph"/>
        <w:numPr>
          <w:ilvl w:val="1"/>
          <w:numId w:val="4"/>
        </w:numPr>
        <w:rPr>
          <w:bCs/>
        </w:rPr>
      </w:pPr>
      <w:r>
        <w:rPr>
          <w:bCs/>
        </w:rPr>
        <w:t>N</w:t>
      </w:r>
      <w:r w:rsidRPr="00EE0FB0">
        <w:rPr>
          <w:bCs/>
        </w:rPr>
        <w:t>ew refueling emission standard</w:t>
      </w:r>
      <w:r w:rsidR="005A0C56">
        <w:rPr>
          <w:bCs/>
        </w:rPr>
        <w:t>s (SI only)</w:t>
      </w:r>
      <w:r w:rsidRPr="00EE0FB0">
        <w:rPr>
          <w:bCs/>
        </w:rPr>
        <w:t xml:space="preserve"> for incomplete vehicles above 14,000 lb GVWR starting in MY 2027.  </w:t>
      </w:r>
      <w:r>
        <w:rPr>
          <w:bCs/>
        </w:rPr>
        <w:t>M</w:t>
      </w:r>
      <w:r w:rsidRPr="00EE0FB0">
        <w:rPr>
          <w:bCs/>
        </w:rPr>
        <w:t>anufacturers could use an engineering analysis to demonstrate that they meet our proposed refueling standard</w:t>
      </w:r>
    </w:p>
    <w:p w:rsidR="00E02DAA" w:rsidP="004155D9" w:rsidRDefault="00FC7040" w14:paraId="0E8D9082" w14:textId="77DC49F7">
      <w:pPr>
        <w:pStyle w:val="ListParagraph"/>
        <w:numPr>
          <w:ilvl w:val="0"/>
          <w:numId w:val="4"/>
        </w:numPr>
        <w:rPr>
          <w:bCs/>
        </w:rPr>
      </w:pPr>
      <w:r>
        <w:rPr>
          <w:bCs/>
        </w:rPr>
        <w:t>L</w:t>
      </w:r>
      <w:r w:rsidRPr="006D0F78" w:rsidR="00E02DAA">
        <w:rPr>
          <w:bCs/>
        </w:rPr>
        <w:t>onger engine useful lives and warranty periods</w:t>
      </w:r>
      <w:r w:rsidR="00924FCA">
        <w:rPr>
          <w:bCs/>
        </w:rPr>
        <w:t xml:space="preserve"> </w:t>
      </w:r>
      <w:r w:rsidRPr="00D554AB" w:rsidR="00924FCA">
        <w:rPr>
          <w:bCs/>
        </w:rPr>
        <w:t>for HD engines</w:t>
      </w:r>
      <w:r w:rsidR="00924FCA">
        <w:rPr>
          <w:bCs/>
        </w:rPr>
        <w:t xml:space="preserve"> </w:t>
      </w:r>
    </w:p>
    <w:p w:rsidRPr="00A63245" w:rsidR="00CC7A09" w:rsidP="00A63245" w:rsidRDefault="008E27C1" w14:paraId="082758CD" w14:textId="1989F556">
      <w:pPr>
        <w:pStyle w:val="ListParagraph"/>
        <w:numPr>
          <w:ilvl w:val="1"/>
          <w:numId w:val="4"/>
        </w:numPr>
        <w:rPr>
          <w:bCs/>
        </w:rPr>
      </w:pPr>
      <w:r w:rsidRPr="00E715A9">
        <w:t>Under proposed 1036.150(w), those longer warranty periods would not apply for engine technologies that are limited to controlling greenhouse gas emissions</w:t>
      </w:r>
    </w:p>
    <w:p w:rsidRPr="009078E4" w:rsidR="000F5DE8" w:rsidP="004155D9" w:rsidRDefault="0041256E" w14:paraId="3D7F75C2" w14:textId="43A4A8D0">
      <w:pPr>
        <w:pStyle w:val="ListParagraph"/>
        <w:numPr>
          <w:ilvl w:val="0"/>
          <w:numId w:val="4"/>
        </w:numPr>
        <w:rPr>
          <w:bCs/>
        </w:rPr>
      </w:pPr>
      <w:r>
        <w:rPr>
          <w:bCs/>
        </w:rPr>
        <w:t>Te</w:t>
      </w:r>
      <w:r w:rsidRPr="009078E4" w:rsidR="000F5DE8">
        <w:rPr>
          <w:bCs/>
        </w:rPr>
        <w:t>sting</w:t>
      </w:r>
      <w:r w:rsidR="006F2FD6">
        <w:rPr>
          <w:bCs/>
        </w:rPr>
        <w:t xml:space="preserve"> requirements:</w:t>
      </w:r>
      <w:r w:rsidRPr="009078E4" w:rsidR="000F5DE8">
        <w:rPr>
          <w:bCs/>
        </w:rPr>
        <w:t xml:space="preserve"> </w:t>
      </w:r>
    </w:p>
    <w:p w:rsidR="00FD7C71" w:rsidP="004155D9" w:rsidRDefault="00FD7C71" w14:paraId="7BFEBA11" w14:textId="63FDE564">
      <w:pPr>
        <w:pStyle w:val="ListParagraph"/>
        <w:numPr>
          <w:ilvl w:val="1"/>
          <w:numId w:val="4"/>
        </w:numPr>
        <w:rPr>
          <w:bCs/>
        </w:rPr>
      </w:pPr>
      <w:r w:rsidRPr="009078E4">
        <w:rPr>
          <w:bCs/>
        </w:rPr>
        <w:t xml:space="preserve">For </w:t>
      </w:r>
      <w:r w:rsidR="0035513A">
        <w:rPr>
          <w:bCs/>
        </w:rPr>
        <w:t xml:space="preserve">HD </w:t>
      </w:r>
      <w:r w:rsidRPr="009078E4">
        <w:rPr>
          <w:bCs/>
        </w:rPr>
        <w:t xml:space="preserve">diesel engines, new low-load cycle in addition to existing </w:t>
      </w:r>
      <w:r>
        <w:rPr>
          <w:bCs/>
        </w:rPr>
        <w:t>testing cycles</w:t>
      </w:r>
      <w:r w:rsidRPr="009078E4">
        <w:rPr>
          <w:bCs/>
        </w:rPr>
        <w:t xml:space="preserve"> </w:t>
      </w:r>
    </w:p>
    <w:p w:rsidRPr="009078E4" w:rsidR="00FD7C71" w:rsidP="004155D9" w:rsidRDefault="00FD7C71" w14:paraId="76352412" w14:textId="40B017A1">
      <w:pPr>
        <w:pStyle w:val="ListParagraph"/>
        <w:numPr>
          <w:ilvl w:val="1"/>
          <w:numId w:val="4"/>
        </w:numPr>
        <w:rPr>
          <w:bCs/>
        </w:rPr>
      </w:pPr>
      <w:r w:rsidRPr="009078E4">
        <w:rPr>
          <w:bCs/>
        </w:rPr>
        <w:t xml:space="preserve">For </w:t>
      </w:r>
      <w:r w:rsidR="0035513A">
        <w:rPr>
          <w:bCs/>
        </w:rPr>
        <w:t xml:space="preserve">HD </w:t>
      </w:r>
      <w:r w:rsidRPr="009078E4">
        <w:rPr>
          <w:bCs/>
        </w:rPr>
        <w:t xml:space="preserve">gasoline engines: </w:t>
      </w:r>
    </w:p>
    <w:p w:rsidRPr="00CD7D3C" w:rsidR="00E71A07" w:rsidP="004155D9" w:rsidRDefault="00E71A07" w14:paraId="73D9448B" w14:textId="04FDADFC">
      <w:pPr>
        <w:pStyle w:val="ListParagraph"/>
        <w:numPr>
          <w:ilvl w:val="2"/>
          <w:numId w:val="4"/>
        </w:numPr>
        <w:rPr>
          <w:bCs/>
        </w:rPr>
      </w:pPr>
      <w:r w:rsidRPr="00E71A07">
        <w:t xml:space="preserve">New SET duty cycle to address high load operation and idle emission control requirements to supplement </w:t>
      </w:r>
      <w:r>
        <w:t>the</w:t>
      </w:r>
      <w:r w:rsidRPr="00E71A07">
        <w:t xml:space="preserve"> current FTP duty cycle </w:t>
      </w:r>
      <w:r w:rsidRPr="009078E4">
        <w:t>(currently only required for heavy-duty CI engines)</w:t>
      </w:r>
      <w:r>
        <w:t xml:space="preserve"> </w:t>
      </w:r>
      <w:r w:rsidRPr="00A3081A">
        <w:t>and updates to the current engine mapping</w:t>
      </w:r>
    </w:p>
    <w:p w:rsidRPr="009078E4" w:rsidR="00FD7C71" w:rsidP="004155D9" w:rsidRDefault="00FD7C71" w14:paraId="294053AC" w14:textId="77777777">
      <w:pPr>
        <w:pStyle w:val="ListParagraph"/>
        <w:numPr>
          <w:ilvl w:val="2"/>
          <w:numId w:val="4"/>
        </w:numPr>
        <w:rPr>
          <w:bCs/>
        </w:rPr>
      </w:pPr>
      <w:r w:rsidRPr="009078E4">
        <w:t xml:space="preserve">Updates to the current engine mapping procedure to ensure the engines achieve the highest torque level possible during testing. </w:t>
      </w:r>
    </w:p>
    <w:p w:rsidRPr="00AE5786" w:rsidR="002970F0" w:rsidP="004155D9" w:rsidRDefault="00827505" w14:paraId="0C017E06" w14:textId="4780431C">
      <w:pPr>
        <w:pStyle w:val="ListParagraph"/>
        <w:numPr>
          <w:ilvl w:val="2"/>
          <w:numId w:val="4"/>
        </w:numPr>
        <w:rPr>
          <w:bCs/>
        </w:rPr>
      </w:pPr>
      <w:r>
        <w:t>Clarif</w:t>
      </w:r>
      <w:r w:rsidR="00D8702D">
        <w:t>ication of testing</w:t>
      </w:r>
      <w:r>
        <w:t xml:space="preserve"> </w:t>
      </w:r>
      <w:r w:rsidR="00B55A9D">
        <w:t xml:space="preserve">option that allows </w:t>
      </w:r>
      <w:r>
        <w:t xml:space="preserve">manufacturers </w:t>
      </w:r>
      <w:r w:rsidR="00972F7C">
        <w:t xml:space="preserve">of electric vehicles </w:t>
      </w:r>
      <w:r w:rsidR="00B55A9D">
        <w:t>to</w:t>
      </w:r>
      <w:r>
        <w:t xml:space="preserve"> tes</w:t>
      </w:r>
      <w:r w:rsidR="00B55A9D">
        <w:t>t</w:t>
      </w:r>
      <w:r>
        <w:t xml:space="preserve"> hybrid engine</w:t>
      </w:r>
      <w:r w:rsidR="00B55A9D">
        <w:t>s</w:t>
      </w:r>
      <w:r>
        <w:t xml:space="preserve"> and powertrain together</w:t>
      </w:r>
      <w:r w:rsidR="00B55A9D">
        <w:t xml:space="preserve"> so they can generate </w:t>
      </w:r>
      <w:r w:rsidR="00972F7C">
        <w:t xml:space="preserve">NOx </w:t>
      </w:r>
      <w:r w:rsidR="00B55A9D">
        <w:t>credits</w:t>
      </w:r>
      <w:r w:rsidR="00D9388A">
        <w:t xml:space="preserve"> [</w:t>
      </w:r>
      <w:r>
        <w:t>1036.101(b)</w:t>
      </w:r>
      <w:r w:rsidR="00D9388A">
        <w:t>]</w:t>
      </w:r>
      <w:r>
        <w:t xml:space="preserve">  </w:t>
      </w:r>
    </w:p>
    <w:p w:rsidRPr="003A0D75" w:rsidR="00AE5786" w:rsidP="004155D9" w:rsidRDefault="002537A5" w14:paraId="1E9B51A1" w14:textId="52DCC109">
      <w:pPr>
        <w:pStyle w:val="ListParagraph"/>
        <w:numPr>
          <w:ilvl w:val="2"/>
          <w:numId w:val="4"/>
        </w:numPr>
        <w:rPr>
          <w:bCs/>
        </w:rPr>
      </w:pPr>
      <w:r w:rsidRPr="00413EDB">
        <w:t>A</w:t>
      </w:r>
      <w:r w:rsidRPr="00413EDB" w:rsidR="00AE5786">
        <w:t xml:space="preserve">n idle test </w:t>
      </w:r>
      <w:r w:rsidRPr="00413EDB">
        <w:t>to</w:t>
      </w:r>
      <w:r w:rsidRPr="00413EDB" w:rsidR="00AE5786">
        <w:t xml:space="preserve"> assess whether the</w:t>
      </w:r>
      <w:r w:rsidRPr="00413EDB" w:rsidR="00CF477A">
        <w:t xml:space="preserve"> </w:t>
      </w:r>
      <w:r w:rsidRPr="00413EDB" w:rsidR="00AE5786">
        <w:t>main component of the SI engine emission control system, the catalyst, remains effective during prolonged idle events</w:t>
      </w:r>
      <w:r w:rsidRPr="00413EDB" w:rsidR="00F46678">
        <w:t>.</w:t>
      </w:r>
      <w:r w:rsidR="00F46678">
        <w:t xml:space="preserve"> Could be </w:t>
      </w:r>
      <w:r w:rsidR="00CF1009">
        <w:t>in addition to or substituted by the proposed LLC</w:t>
      </w:r>
    </w:p>
    <w:p w:rsidRPr="002051B7" w:rsidR="0098445C" w:rsidP="002051B7" w:rsidRDefault="00F000E6" w14:paraId="5500E77F" w14:textId="39A38B6A">
      <w:pPr>
        <w:pStyle w:val="ListParagraph"/>
        <w:numPr>
          <w:ilvl w:val="1"/>
          <w:numId w:val="4"/>
        </w:numPr>
        <w:rPr>
          <w:bCs/>
        </w:rPr>
      </w:pPr>
      <w:r>
        <w:rPr>
          <w:bCs/>
        </w:rPr>
        <w:t>U</w:t>
      </w:r>
      <w:r w:rsidRPr="0098445C" w:rsidR="0098445C">
        <w:rPr>
          <w:bCs/>
        </w:rPr>
        <w:t xml:space="preserve">pdate to 1065.510(b)(5)(ii) </w:t>
      </w:r>
      <w:r>
        <w:rPr>
          <w:bCs/>
        </w:rPr>
        <w:t>to</w:t>
      </w:r>
      <w:r w:rsidRPr="0098445C" w:rsidR="0098445C">
        <w:rPr>
          <w:bCs/>
        </w:rPr>
        <w:t xml:space="preserve"> require manufacturers to disable any AECD that would impact peak torque during the engine mapping procedure </w:t>
      </w:r>
      <w:r w:rsidR="00CD322A">
        <w:rPr>
          <w:bCs/>
        </w:rPr>
        <w:t>(</w:t>
      </w:r>
      <w:r w:rsidR="002051B7">
        <w:rPr>
          <w:bCs/>
        </w:rPr>
        <w:t>all i</w:t>
      </w:r>
      <w:r w:rsidRPr="0098445C" w:rsidR="006B2AD0">
        <w:rPr>
          <w:bCs/>
        </w:rPr>
        <w:t>ndustries to which Part 1065 applies</w:t>
      </w:r>
      <w:r w:rsidR="006B2AD0">
        <w:rPr>
          <w:bCs/>
        </w:rPr>
        <w:t>)</w:t>
      </w:r>
    </w:p>
    <w:p w:rsidRPr="00DD2A3F" w:rsidR="000F5DE8" w:rsidP="004155D9" w:rsidRDefault="000F5DE8" w14:paraId="5DD56872" w14:textId="7B1E9F41">
      <w:pPr>
        <w:pStyle w:val="ListParagraph"/>
        <w:numPr>
          <w:ilvl w:val="1"/>
          <w:numId w:val="4"/>
        </w:numPr>
        <w:rPr>
          <w:bCs/>
        </w:rPr>
      </w:pPr>
      <w:r>
        <w:t xml:space="preserve">Changes to the way </w:t>
      </w:r>
      <w:r w:rsidR="00FD7C71">
        <w:t xml:space="preserve">certain test </w:t>
      </w:r>
      <w:r>
        <w:t xml:space="preserve">data is </w:t>
      </w:r>
      <w:r w:rsidR="008164E8">
        <w:t>analyzed</w:t>
      </w:r>
      <w:r w:rsidRPr="00FD7C71" w:rsidR="00FD7C71">
        <w:t xml:space="preserve"> </w:t>
      </w:r>
      <w:r w:rsidR="00FD7C71">
        <w:t>and presented</w:t>
      </w:r>
      <w:r>
        <w:t>:</w:t>
      </w:r>
    </w:p>
    <w:p w:rsidRPr="007D667E" w:rsidR="000F5DE8" w:rsidP="004155D9" w:rsidRDefault="000F5DE8" w14:paraId="5F14B681" w14:textId="0332C26F">
      <w:pPr>
        <w:pStyle w:val="ListParagraph"/>
        <w:numPr>
          <w:ilvl w:val="2"/>
          <w:numId w:val="4"/>
        </w:numPr>
        <w:rPr>
          <w:bCs/>
        </w:rPr>
      </w:pPr>
      <w:r>
        <w:t xml:space="preserve">For model year 2027 and later engines, replacement of the not-to-exceed (NTE) torque maps and data analysis in favor of 300-second moving average windows (MAWs) of continuous engine operation. MAWs will be divided into three categories or “bins” based on the time-weighted average engine power of each MAW of engine data </w:t>
      </w:r>
      <w:r w:rsidR="008164E8">
        <w:t>rather than the inside-of-NTE or outside</w:t>
      </w:r>
      <w:r w:rsidR="005D36BC">
        <w:t>-</w:t>
      </w:r>
      <w:r w:rsidR="008164E8">
        <w:t>of</w:t>
      </w:r>
      <w:r w:rsidR="005D36BC">
        <w:t>-</w:t>
      </w:r>
      <w:r w:rsidR="008164E8">
        <w:t>NTE</w:t>
      </w:r>
      <w:r w:rsidR="005D36BC">
        <w:t xml:space="preserve"> currently used</w:t>
      </w:r>
    </w:p>
    <w:p w:rsidRPr="000B1B9F" w:rsidR="007D667E" w:rsidP="004155D9" w:rsidRDefault="0082092C" w14:paraId="4D59E17C" w14:textId="1C258986">
      <w:pPr>
        <w:pStyle w:val="ListParagraph"/>
        <w:numPr>
          <w:ilvl w:val="2"/>
          <w:numId w:val="4"/>
        </w:numPr>
        <w:rPr>
          <w:bCs/>
        </w:rPr>
      </w:pPr>
      <w:r w:rsidRPr="000B1B9F">
        <w:t>S</w:t>
      </w:r>
      <w:r w:rsidRPr="000B1B9F" w:rsidR="007D667E">
        <w:t>eek</w:t>
      </w:r>
      <w:r w:rsidRPr="000B1B9F">
        <w:t>ing</w:t>
      </w:r>
      <w:r w:rsidRPr="000B1B9F" w:rsidR="007D667E">
        <w:t xml:space="preserve"> comment on whether to require manufacturers to apply adjustment factors to SI FTP and/or SET emission test results to quantify the HC, CO, NO</w:t>
      </w:r>
      <w:r w:rsidRPr="000B1B9F" w:rsidR="007D667E">
        <w:rPr>
          <w:vertAlign w:val="subscript"/>
        </w:rPr>
        <w:t>X</w:t>
      </w:r>
      <w:r w:rsidRPr="000B1B9F" w:rsidR="007D667E">
        <w:t>, and PM emission increases that occur due to enrichment AECDs</w:t>
      </w:r>
    </w:p>
    <w:p w:rsidRPr="00F67C0B" w:rsidR="00875D5A" w:rsidP="004155D9" w:rsidRDefault="00BF4815" w14:paraId="6388343F" w14:textId="4D0D00AD">
      <w:pPr>
        <w:pStyle w:val="ListParagraph"/>
        <w:numPr>
          <w:ilvl w:val="0"/>
          <w:numId w:val="4"/>
        </w:numPr>
        <w:rPr>
          <w:bCs/>
        </w:rPr>
      </w:pPr>
      <w:r>
        <w:rPr>
          <w:bCs/>
        </w:rPr>
        <w:t>Deterioration factor</w:t>
      </w:r>
      <w:r w:rsidR="00E342AB">
        <w:rPr>
          <w:bCs/>
        </w:rPr>
        <w:t>s</w:t>
      </w:r>
      <w:r w:rsidR="00FA49D1">
        <w:rPr>
          <w:bCs/>
        </w:rPr>
        <w:t xml:space="preserve"> (DF</w:t>
      </w:r>
      <w:r w:rsidR="00E342AB">
        <w:rPr>
          <w:bCs/>
        </w:rPr>
        <w:t>s</w:t>
      </w:r>
      <w:r w:rsidR="00FA49D1">
        <w:rPr>
          <w:bCs/>
        </w:rPr>
        <w:t>)</w:t>
      </w:r>
      <w:r w:rsidR="00073D8E">
        <w:rPr>
          <w:bCs/>
        </w:rPr>
        <w:t>:</w:t>
      </w:r>
    </w:p>
    <w:p w:rsidR="006E1B9B" w:rsidP="004155D9" w:rsidRDefault="006E1B9B" w14:paraId="37E6B6EF" w14:textId="0ABDEA6D">
      <w:pPr>
        <w:pStyle w:val="ListParagraph"/>
        <w:numPr>
          <w:ilvl w:val="1"/>
          <w:numId w:val="4"/>
        </w:numPr>
        <w:rPr>
          <w:bCs/>
        </w:rPr>
      </w:pPr>
      <w:r>
        <w:rPr>
          <w:bCs/>
        </w:rPr>
        <w:t>DF Determination</w:t>
      </w:r>
      <w:r w:rsidR="00CF5BFF">
        <w:rPr>
          <w:bCs/>
        </w:rPr>
        <w:t xml:space="preserve">- </w:t>
      </w:r>
    </w:p>
    <w:p w:rsidR="006E1B9B" w:rsidP="004155D9" w:rsidRDefault="006E1B9B" w14:paraId="2904C4C5" w14:textId="630A3E19">
      <w:pPr>
        <w:pStyle w:val="ListParagraph"/>
        <w:numPr>
          <w:ilvl w:val="2"/>
          <w:numId w:val="4"/>
        </w:numPr>
        <w:rPr>
          <w:bCs/>
        </w:rPr>
      </w:pPr>
      <w:r>
        <w:rPr>
          <w:bCs/>
        </w:rPr>
        <w:t>M</w:t>
      </w:r>
      <w:r w:rsidRPr="00304819">
        <w:rPr>
          <w:bCs/>
        </w:rPr>
        <w:t xml:space="preserve">igrate existing </w:t>
      </w:r>
      <w:r>
        <w:rPr>
          <w:bCs/>
        </w:rPr>
        <w:t xml:space="preserve">DF </w:t>
      </w:r>
      <w:r w:rsidR="00DA02B3">
        <w:rPr>
          <w:bCs/>
        </w:rPr>
        <w:t xml:space="preserve">determination </w:t>
      </w:r>
      <w:r w:rsidRPr="00304819">
        <w:rPr>
          <w:bCs/>
        </w:rPr>
        <w:t xml:space="preserve">options </w:t>
      </w:r>
      <w:r>
        <w:rPr>
          <w:bCs/>
        </w:rPr>
        <w:t xml:space="preserve">to </w:t>
      </w:r>
      <w:r w:rsidRPr="00152AEF">
        <w:t>1036.245</w:t>
      </w:r>
    </w:p>
    <w:p w:rsidRPr="00250294" w:rsidR="006E1B9B" w:rsidP="004155D9" w:rsidRDefault="006A363E" w14:paraId="36FD7A28" w14:textId="15C03B34">
      <w:pPr>
        <w:pStyle w:val="ListParagraph"/>
        <w:numPr>
          <w:ilvl w:val="2"/>
          <w:numId w:val="4"/>
        </w:numPr>
        <w:rPr>
          <w:bCs/>
        </w:rPr>
      </w:pPr>
      <w:r>
        <w:rPr>
          <w:bCs/>
        </w:rPr>
        <w:t xml:space="preserve">Proposing </w:t>
      </w:r>
      <w:r w:rsidRPr="00304819" w:rsidR="006E1B9B">
        <w:rPr>
          <w:bCs/>
        </w:rPr>
        <w:t xml:space="preserve">option </w:t>
      </w:r>
      <w:r w:rsidR="006E1B9B">
        <w:rPr>
          <w:bCs/>
        </w:rPr>
        <w:t xml:space="preserve">to use </w:t>
      </w:r>
      <w:r w:rsidRPr="0068131C" w:rsidR="006E1B9B">
        <w:t>bench-aged aftertreatment</w:t>
      </w:r>
    </w:p>
    <w:p w:rsidRPr="006A363E" w:rsidR="006A363E" w:rsidP="004155D9" w:rsidRDefault="00617257" w14:paraId="61AA19F0" w14:textId="7A9BF9AF">
      <w:pPr>
        <w:pStyle w:val="ListParagraph"/>
        <w:numPr>
          <w:ilvl w:val="3"/>
          <w:numId w:val="4"/>
        </w:numPr>
        <w:rPr>
          <w:bCs/>
        </w:rPr>
      </w:pPr>
      <w:r>
        <w:t>D</w:t>
      </w:r>
      <w:r w:rsidRPr="006A363E" w:rsidR="006A363E">
        <w:t>ynamometer testing of an engine and aftertreatment system to a mileage that is less than regulatory useful life</w:t>
      </w:r>
      <w:r w:rsidR="00FD29D4">
        <w:t xml:space="preserve">, </w:t>
      </w:r>
      <w:r w:rsidRPr="006A363E" w:rsidR="006A363E">
        <w:t>then bench age the aftertreatment system to regulatory useful life and combine the aftertreatment system with an engine that represents the engine</w:t>
      </w:r>
      <w:r w:rsidR="006A363E">
        <w:t xml:space="preserve"> family</w:t>
      </w:r>
    </w:p>
    <w:p w:rsidR="006E1B9B" w:rsidP="004155D9" w:rsidRDefault="00040A96" w14:paraId="35441A09" w14:textId="6F361884">
      <w:pPr>
        <w:pStyle w:val="ListParagraph"/>
        <w:numPr>
          <w:ilvl w:val="3"/>
          <w:numId w:val="4"/>
        </w:numPr>
        <w:rPr>
          <w:bCs/>
        </w:rPr>
      </w:pPr>
      <w:r>
        <w:t xml:space="preserve">Option to </w:t>
      </w:r>
      <w:r w:rsidR="006E1B9B">
        <w:t>propose a procedure or use an existing one, such as the one used for light-duty engines</w:t>
      </w:r>
      <w:r w:rsidRPr="00304819" w:rsidR="006E1B9B">
        <w:rPr>
          <w:bCs/>
        </w:rPr>
        <w:t xml:space="preserve"> </w:t>
      </w:r>
    </w:p>
    <w:p w:rsidRPr="006E1B9B" w:rsidR="006E1B9B" w:rsidP="004155D9" w:rsidRDefault="006E1B9B" w14:paraId="10A7AC61" w14:textId="5D5A2296">
      <w:pPr>
        <w:pStyle w:val="ListParagraph"/>
        <w:numPr>
          <w:ilvl w:val="2"/>
          <w:numId w:val="4"/>
        </w:numPr>
        <w:rPr>
          <w:bCs/>
        </w:rPr>
      </w:pPr>
      <w:r>
        <w:rPr>
          <w:bCs/>
        </w:rPr>
        <w:t>W</w:t>
      </w:r>
      <w:r w:rsidRPr="008E0075">
        <w:rPr>
          <w:bCs/>
        </w:rPr>
        <w:t xml:space="preserve">hen the useful life of the new MY is longer than the </w:t>
      </w:r>
      <w:r w:rsidR="00DA3754">
        <w:rPr>
          <w:bCs/>
        </w:rPr>
        <w:t xml:space="preserve">useful life in effect </w:t>
      </w:r>
      <w:r w:rsidRPr="008E0075">
        <w:rPr>
          <w:bCs/>
        </w:rPr>
        <w:t xml:space="preserve">when the </w:t>
      </w:r>
      <w:r>
        <w:rPr>
          <w:bCs/>
        </w:rPr>
        <w:t xml:space="preserve">original </w:t>
      </w:r>
      <w:r w:rsidRPr="008E0075">
        <w:rPr>
          <w:bCs/>
        </w:rPr>
        <w:t>test was performed [1036.235(d)]</w:t>
      </w:r>
      <w:r>
        <w:rPr>
          <w:bCs/>
        </w:rPr>
        <w:t>, the manufacturer would need to supplement the data to demonstrate compliance throughout the new, longer useful life period</w:t>
      </w:r>
      <w:r w:rsidR="002F5B11">
        <w:rPr>
          <w:bCs/>
        </w:rPr>
        <w:t>s</w:t>
      </w:r>
    </w:p>
    <w:p w:rsidR="006E1B9B" w:rsidP="004155D9" w:rsidRDefault="00DA3754" w14:paraId="0B8CC84D" w14:textId="2E102522">
      <w:pPr>
        <w:pStyle w:val="ListParagraph"/>
        <w:numPr>
          <w:ilvl w:val="2"/>
          <w:numId w:val="4"/>
        </w:numPr>
        <w:rPr>
          <w:bCs/>
        </w:rPr>
      </w:pPr>
      <w:r>
        <w:rPr>
          <w:bCs/>
        </w:rPr>
        <w:t>S</w:t>
      </w:r>
      <w:r w:rsidR="006E1B9B">
        <w:rPr>
          <w:bCs/>
        </w:rPr>
        <w:t>eparate DF factor for intermediate useful life</w:t>
      </w:r>
    </w:p>
    <w:p w:rsidRPr="008B17B4" w:rsidR="006E1B9B" w:rsidP="004155D9" w:rsidRDefault="006E1B9B" w14:paraId="32ECFB41" w14:textId="34D03C7A">
      <w:pPr>
        <w:pStyle w:val="ListParagraph"/>
        <w:numPr>
          <w:ilvl w:val="3"/>
          <w:numId w:val="4"/>
        </w:numPr>
        <w:rPr>
          <w:bCs/>
        </w:rPr>
      </w:pPr>
      <w:r w:rsidRPr="00D1120A">
        <w:t>Related to propos</w:t>
      </w:r>
      <w:r>
        <w:t xml:space="preserve">ed </w:t>
      </w:r>
      <w:r w:rsidRPr="00D1120A">
        <w:t xml:space="preserve">separate duty cycle standards at an intermediate useful life for MY 2031 and later Heavy HDE </w:t>
      </w:r>
    </w:p>
    <w:p w:rsidR="002E305D" w:rsidP="004155D9" w:rsidRDefault="00B63D56" w14:paraId="0C3269A2" w14:textId="09419D5F">
      <w:pPr>
        <w:pStyle w:val="ListParagraph"/>
        <w:numPr>
          <w:ilvl w:val="1"/>
          <w:numId w:val="4"/>
        </w:numPr>
        <w:rPr>
          <w:bCs/>
        </w:rPr>
      </w:pPr>
      <w:r>
        <w:rPr>
          <w:bCs/>
        </w:rPr>
        <w:t xml:space="preserve">DF Validation: </w:t>
      </w:r>
      <w:r w:rsidR="002E305D">
        <w:rPr>
          <w:bCs/>
        </w:rPr>
        <w:t>Propose codifying the DF verification program (</w:t>
      </w:r>
      <w:r w:rsidR="006E1B9B">
        <w:rPr>
          <w:bCs/>
        </w:rPr>
        <w:t>proposed</w:t>
      </w:r>
      <w:r w:rsidR="00514A9A">
        <w:rPr>
          <w:bCs/>
        </w:rPr>
        <w:t xml:space="preserve"> </w:t>
      </w:r>
      <w:r w:rsidR="002E305D">
        <w:rPr>
          <w:bCs/>
        </w:rPr>
        <w:t>1036.24</w:t>
      </w:r>
      <w:r w:rsidR="00181D0C">
        <w:rPr>
          <w:bCs/>
        </w:rPr>
        <w:t>6</w:t>
      </w:r>
      <w:r w:rsidR="002E305D">
        <w:rPr>
          <w:bCs/>
        </w:rPr>
        <w:t xml:space="preserve">) already in place </w:t>
      </w:r>
      <w:r w:rsidR="002E0D4E">
        <w:rPr>
          <w:bCs/>
        </w:rPr>
        <w:t xml:space="preserve">since 2020 for HD diesel and NRCI engines with </w:t>
      </w:r>
      <w:r w:rsidRPr="00B06C9D" w:rsidR="002E0D4E">
        <w:rPr>
          <w:bCs/>
        </w:rPr>
        <w:t xml:space="preserve">Selective Catalytic Reduction (SCR) </w:t>
      </w:r>
      <w:r w:rsidR="002E0D4E">
        <w:rPr>
          <w:bCs/>
        </w:rPr>
        <w:t xml:space="preserve">technology </w:t>
      </w:r>
      <w:r w:rsidR="002E305D">
        <w:rPr>
          <w:bCs/>
        </w:rPr>
        <w:t xml:space="preserve">through </w:t>
      </w:r>
      <w:r w:rsidR="004C0937">
        <w:rPr>
          <w:bCs/>
        </w:rPr>
        <w:t xml:space="preserve">guidance issued by </w:t>
      </w:r>
      <w:r w:rsidR="002E305D">
        <w:rPr>
          <w:bCs/>
        </w:rPr>
        <w:t>EPA</w:t>
      </w:r>
      <w:r w:rsidR="00DA3CC7">
        <w:rPr>
          <w:rStyle w:val="FootnoteReference"/>
          <w:bCs/>
        </w:rPr>
        <w:footnoteReference w:id="5"/>
      </w:r>
      <w:r w:rsidR="002E305D">
        <w:rPr>
          <w:bCs/>
        </w:rPr>
        <w:t xml:space="preserve"> </w:t>
      </w:r>
      <w:r w:rsidR="002E334F">
        <w:rPr>
          <w:bCs/>
        </w:rPr>
        <w:t>and CARB</w:t>
      </w:r>
      <w:r w:rsidR="002E334F">
        <w:rPr>
          <w:rStyle w:val="FootnoteReference"/>
          <w:bCs/>
        </w:rPr>
        <w:footnoteReference w:id="6"/>
      </w:r>
      <w:r w:rsidR="002E305D">
        <w:rPr>
          <w:bCs/>
        </w:rPr>
        <w:t xml:space="preserve">  </w:t>
      </w:r>
    </w:p>
    <w:p w:rsidRPr="002124AB" w:rsidR="008E2EB2" w:rsidP="004155D9" w:rsidRDefault="002E305D" w14:paraId="6176C288" w14:textId="77777777">
      <w:pPr>
        <w:pStyle w:val="ListParagraph"/>
        <w:numPr>
          <w:ilvl w:val="2"/>
          <w:numId w:val="4"/>
        </w:numPr>
        <w:rPr>
          <w:bCs/>
        </w:rPr>
      </w:pPr>
      <w:r>
        <w:rPr>
          <w:bCs/>
        </w:rPr>
        <w:lastRenderedPageBreak/>
        <w:t>Annual DF validation report by September 30 (</w:t>
      </w:r>
      <w:r w:rsidR="008E2EB2">
        <w:rPr>
          <w:bCs/>
        </w:rPr>
        <w:t xml:space="preserve">proposed </w:t>
      </w:r>
      <w:r>
        <w:rPr>
          <w:bCs/>
        </w:rPr>
        <w:t xml:space="preserve">1036.246) until </w:t>
      </w:r>
      <w:r w:rsidRPr="002124AB" w:rsidR="008E2EB2">
        <w:t>all DFs are verified at 85 percent of useful life</w:t>
      </w:r>
    </w:p>
    <w:p w:rsidR="002E305D" w:rsidP="004155D9" w:rsidRDefault="002124AB" w14:paraId="050B1CEF" w14:textId="59ADBF17">
      <w:pPr>
        <w:pStyle w:val="ListParagraph"/>
        <w:numPr>
          <w:ilvl w:val="2"/>
          <w:numId w:val="4"/>
        </w:numPr>
        <w:rPr>
          <w:bCs/>
        </w:rPr>
      </w:pPr>
      <w:r>
        <w:rPr>
          <w:bCs/>
        </w:rPr>
        <w:t xml:space="preserve">Verification occurs </w:t>
      </w:r>
      <w:r w:rsidR="00274809">
        <w:rPr>
          <w:bCs/>
        </w:rPr>
        <w:t>over an 8-year period</w:t>
      </w:r>
    </w:p>
    <w:p w:rsidR="00274809" w:rsidP="004155D9" w:rsidRDefault="00E333F7" w14:paraId="6E39285A" w14:textId="31407868">
      <w:pPr>
        <w:pStyle w:val="ListParagraph"/>
        <w:numPr>
          <w:ilvl w:val="2"/>
          <w:numId w:val="4"/>
        </w:numPr>
        <w:rPr>
          <w:bCs/>
        </w:rPr>
      </w:pPr>
      <w:r>
        <w:rPr>
          <w:bCs/>
        </w:rPr>
        <w:t>Proposal a</w:t>
      </w:r>
      <w:r w:rsidR="00274809">
        <w:rPr>
          <w:bCs/>
        </w:rPr>
        <w:t xml:space="preserve">pplies to all </w:t>
      </w:r>
      <w:r>
        <w:rPr>
          <w:bCs/>
        </w:rPr>
        <w:t xml:space="preserve">Part 1036 </w:t>
      </w:r>
      <w:r w:rsidR="00274809">
        <w:rPr>
          <w:bCs/>
        </w:rPr>
        <w:t>engine families</w:t>
      </w:r>
    </w:p>
    <w:p w:rsidR="00185B8F" w:rsidP="004155D9" w:rsidRDefault="00185B8F" w14:paraId="1157FBDC" w14:textId="3B848759">
      <w:pPr>
        <w:pStyle w:val="ListParagraph"/>
        <w:numPr>
          <w:ilvl w:val="2"/>
          <w:numId w:val="4"/>
        </w:numPr>
        <w:rPr>
          <w:bCs/>
        </w:rPr>
      </w:pPr>
      <w:r>
        <w:t>In the case of a failure</w:t>
      </w:r>
      <w:r w:rsidR="001510DB">
        <w:t xml:space="preserve">, </w:t>
      </w:r>
      <w:r>
        <w:t>manufacturers could request approval for a revised DF or retest to determine a new DF, but the affected engine families would not be able to generate emission credits using a DF that failed to pass verification.</w:t>
      </w:r>
    </w:p>
    <w:p w:rsidR="00FA49D1" w:rsidP="004155D9" w:rsidRDefault="00BF4815" w14:paraId="6CFE5BF0" w14:textId="606AF211">
      <w:pPr>
        <w:pStyle w:val="ListParagraph"/>
        <w:numPr>
          <w:ilvl w:val="1"/>
          <w:numId w:val="4"/>
        </w:numPr>
        <w:rPr>
          <w:bCs/>
        </w:rPr>
      </w:pPr>
      <w:r w:rsidRPr="00B438A0">
        <w:rPr>
          <w:bCs/>
        </w:rPr>
        <w:t>Added</w:t>
      </w:r>
      <w:r>
        <w:rPr>
          <w:bCs/>
        </w:rPr>
        <w:t xml:space="preserve"> pro</w:t>
      </w:r>
      <w:r w:rsidR="00762611">
        <w:rPr>
          <w:bCs/>
        </w:rPr>
        <w:t xml:space="preserve">vision to allow carry-over of </w:t>
      </w:r>
      <w:r w:rsidR="006E7DCB">
        <w:rPr>
          <w:bCs/>
        </w:rPr>
        <w:t xml:space="preserve">all or some of the </w:t>
      </w:r>
      <w:r w:rsidR="00762611">
        <w:rPr>
          <w:bCs/>
        </w:rPr>
        <w:t xml:space="preserve">deterioration </w:t>
      </w:r>
      <w:r w:rsidR="006E7DCB">
        <w:rPr>
          <w:bCs/>
        </w:rPr>
        <w:t>test results currently in use if the manufacturer can demonstrate that the engines meet the requirements over the additional years of useful life</w:t>
      </w:r>
      <w:r w:rsidR="002E305D">
        <w:rPr>
          <w:bCs/>
        </w:rPr>
        <w:t xml:space="preserve"> </w:t>
      </w:r>
    </w:p>
    <w:p w:rsidR="0076652B" w:rsidP="004155D9" w:rsidRDefault="0076652B" w14:paraId="175FF342" w14:textId="642A1541">
      <w:pPr>
        <w:pStyle w:val="ListParagraph"/>
        <w:numPr>
          <w:ilvl w:val="1"/>
          <w:numId w:val="4"/>
        </w:numPr>
        <w:rPr>
          <w:bCs/>
        </w:rPr>
      </w:pPr>
      <w:r>
        <w:rPr>
          <w:bCs/>
        </w:rPr>
        <w:t xml:space="preserve">Includes provisions for carry-over </w:t>
      </w:r>
      <w:r w:rsidR="00A36934">
        <w:rPr>
          <w:bCs/>
        </w:rPr>
        <w:t xml:space="preserve">DF </w:t>
      </w:r>
      <w:r w:rsidR="00967981">
        <w:rPr>
          <w:bCs/>
        </w:rPr>
        <w:t>data and manufacturer requests for variances</w:t>
      </w:r>
    </w:p>
    <w:p w:rsidRPr="00D03467" w:rsidR="0059120A" w:rsidP="004155D9" w:rsidRDefault="004B7970" w14:paraId="5129FF78" w14:textId="20B5902C">
      <w:pPr>
        <w:pStyle w:val="ListParagraph"/>
        <w:numPr>
          <w:ilvl w:val="1"/>
          <w:numId w:val="4"/>
        </w:numPr>
        <w:rPr>
          <w:bCs/>
        </w:rPr>
      </w:pPr>
      <w:r>
        <w:rPr>
          <w:bCs/>
        </w:rPr>
        <w:t>Extension of some of these provisions to nonroad engines regulated under P</w:t>
      </w:r>
      <w:r>
        <w:t>arts 1033, 1039, 1042, and 1048</w:t>
      </w:r>
    </w:p>
    <w:p w:rsidRPr="0066298F" w:rsidR="00D03467" w:rsidP="004155D9" w:rsidRDefault="00D80F15" w14:paraId="7068B682" w14:textId="226F4ABF">
      <w:pPr>
        <w:pStyle w:val="ListParagraph"/>
        <w:numPr>
          <w:ilvl w:val="1"/>
          <w:numId w:val="4"/>
        </w:numPr>
        <w:rPr>
          <w:bCs/>
        </w:rPr>
      </w:pPr>
      <w:r>
        <w:t>Flexibility for Medium HDE or Heavy HDE engine families that manufacturers show would be used in low volume, specialty vocational vehicles</w:t>
      </w:r>
      <w:r w:rsidR="00277E92">
        <w:t xml:space="preserve">. Would </w:t>
      </w:r>
      <w:r w:rsidR="00D03467">
        <w:t xml:space="preserve">allow engine manufacturers, for </w:t>
      </w:r>
      <w:r w:rsidR="00027A31">
        <w:t>MY</w:t>
      </w:r>
      <w:r w:rsidR="00D03467">
        <w:t xml:space="preserve"> 2027 </w:t>
      </w:r>
      <w:r w:rsidR="00027A31">
        <w:t>-</w:t>
      </w:r>
      <w:r w:rsidR="00D03467">
        <w:t xml:space="preserve">2029 only, to certify up to 5 percent of their total production volume of </w:t>
      </w:r>
      <w:r w:rsidR="00027A31">
        <w:t>HD</w:t>
      </w:r>
      <w:r w:rsidR="00C25F42">
        <w:t xml:space="preserve"> CI </w:t>
      </w:r>
      <w:r w:rsidR="00D03467">
        <w:t xml:space="preserve">engines in a given model year to the current, pre-MY 2027 engine provisions of </w:t>
      </w:r>
      <w:r w:rsidR="00C25F42">
        <w:t>P</w:t>
      </w:r>
      <w:r w:rsidR="00D03467">
        <w:t>art 86, subpart A</w:t>
      </w:r>
      <w:r w:rsidR="00277E92">
        <w:t xml:space="preserve"> </w:t>
      </w:r>
      <w:r w:rsidR="00D03467">
        <w:t>to accommodate the technologies needed to meet the proposed more stringent engine emission standards.</w:t>
      </w:r>
    </w:p>
    <w:p w:rsidR="008E6C53" w:rsidP="00017368" w:rsidRDefault="008E6C53" w14:paraId="7AD87BCF" w14:textId="77777777">
      <w:pPr>
        <w:pStyle w:val="ListParagraph"/>
        <w:numPr>
          <w:ilvl w:val="0"/>
          <w:numId w:val="4"/>
        </w:numPr>
        <w:rPr>
          <w:bCs/>
        </w:rPr>
      </w:pPr>
      <w:r>
        <w:rPr>
          <w:bCs/>
        </w:rPr>
        <w:t xml:space="preserve">Changes to the certification application package: </w:t>
      </w:r>
    </w:p>
    <w:p w:rsidR="00017368" w:rsidP="008E6C53" w:rsidRDefault="00017368" w14:paraId="1D10D620" w14:textId="6997AD19">
      <w:pPr>
        <w:pStyle w:val="ListParagraph"/>
        <w:numPr>
          <w:ilvl w:val="1"/>
          <w:numId w:val="4"/>
        </w:numPr>
        <w:rPr>
          <w:bCs/>
        </w:rPr>
      </w:pPr>
      <w:r>
        <w:rPr>
          <w:bCs/>
        </w:rPr>
        <w:t xml:space="preserve">More detailed description of various elements of design, including: </w:t>
      </w:r>
    </w:p>
    <w:p w:rsidR="00017368" w:rsidP="008E6C53" w:rsidRDefault="00017368" w14:paraId="29F3444C" w14:textId="77777777">
      <w:pPr>
        <w:pStyle w:val="ListParagraph"/>
        <w:numPr>
          <w:ilvl w:val="2"/>
          <w:numId w:val="4"/>
        </w:numPr>
        <w:rPr>
          <w:bCs/>
        </w:rPr>
      </w:pPr>
      <w:r>
        <w:rPr>
          <w:bCs/>
        </w:rPr>
        <w:t xml:space="preserve">Auxiliary Emission Control Devices (AECDs), consistent with EPA guidance documents issued in 1998 and 2004 as well as California Air Resource Board (CARB) requirements. </w:t>
      </w:r>
    </w:p>
    <w:p w:rsidR="00017368" w:rsidP="008E6C53" w:rsidRDefault="00017368" w14:paraId="748FD3B3" w14:textId="77777777">
      <w:pPr>
        <w:pStyle w:val="ListParagraph"/>
        <w:numPr>
          <w:ilvl w:val="2"/>
          <w:numId w:val="4"/>
        </w:numPr>
      </w:pPr>
      <w:r>
        <w:rPr>
          <w:bCs/>
        </w:rPr>
        <w:t xml:space="preserve">Adjustable parameters, including </w:t>
      </w:r>
      <w:r>
        <w:t xml:space="preserve">electronically controlled parameters [1036.205(s), 1068.50(d)(2)] </w:t>
      </w:r>
    </w:p>
    <w:p w:rsidR="00017368" w:rsidP="008E6C53" w:rsidRDefault="00017368" w14:paraId="4CB96DCB" w14:textId="77777777">
      <w:pPr>
        <w:pStyle w:val="ListParagraph"/>
        <w:numPr>
          <w:ilvl w:val="3"/>
          <w:numId w:val="4"/>
        </w:numPr>
      </w:pPr>
      <w:r>
        <w:t>Attempt to codify in one place a set of provisions that are consistent with current practice.</w:t>
      </w:r>
    </w:p>
    <w:p w:rsidR="00017368" w:rsidP="008E6C53" w:rsidRDefault="00017368" w14:paraId="00B5D0A7" w14:textId="77777777">
      <w:pPr>
        <w:pStyle w:val="ListParagraph"/>
        <w:numPr>
          <w:ilvl w:val="3"/>
          <w:numId w:val="4"/>
        </w:numPr>
      </w:pPr>
      <w:r>
        <w:t xml:space="preserve">Largely based on the regulations that already apply for highway engines and vehicles under 86.094-22(e) and 86.1833-01. </w:t>
      </w:r>
    </w:p>
    <w:p w:rsidRPr="00F50521" w:rsidR="00F50521" w:rsidP="008E6C53" w:rsidRDefault="00017368" w14:paraId="36EE72FA" w14:textId="77777777">
      <w:pPr>
        <w:pStyle w:val="ListParagraph"/>
        <w:numPr>
          <w:ilvl w:val="3"/>
          <w:numId w:val="4"/>
        </w:numPr>
        <w:rPr>
          <w:bCs/>
        </w:rPr>
      </w:pPr>
      <w:r>
        <w:t>Applies to all engine categories to which 1068 applies</w:t>
      </w:r>
    </w:p>
    <w:p w:rsidRPr="009078E4" w:rsidR="001404E1" w:rsidP="008E6C53" w:rsidRDefault="00561BC7" w14:paraId="46A6659B" w14:textId="48E93DA3">
      <w:pPr>
        <w:pStyle w:val="ListParagraph"/>
        <w:numPr>
          <w:ilvl w:val="1"/>
          <w:numId w:val="4"/>
        </w:numPr>
        <w:rPr>
          <w:bCs/>
        </w:rPr>
      </w:pPr>
      <w:r w:rsidRPr="009078E4">
        <w:rPr>
          <w:bCs/>
        </w:rPr>
        <w:t xml:space="preserve">Improved </w:t>
      </w:r>
      <w:r w:rsidRPr="009078E4" w:rsidR="00DF479E">
        <w:rPr>
          <w:bCs/>
        </w:rPr>
        <w:t>maintenance</w:t>
      </w:r>
      <w:r w:rsidRPr="009078E4" w:rsidR="00882399">
        <w:rPr>
          <w:bCs/>
        </w:rPr>
        <w:t xml:space="preserve"> instructions</w:t>
      </w:r>
      <w:r w:rsidRPr="009078E4" w:rsidR="00965454">
        <w:rPr>
          <w:bCs/>
        </w:rPr>
        <w:t xml:space="preserve"> </w:t>
      </w:r>
      <w:r w:rsidR="002E167B">
        <w:rPr>
          <w:bCs/>
        </w:rPr>
        <w:t xml:space="preserve">directed towards increasing engine serviceability </w:t>
      </w:r>
      <w:r w:rsidR="00364193">
        <w:rPr>
          <w:bCs/>
        </w:rPr>
        <w:t>[</w:t>
      </w:r>
      <w:r w:rsidR="00364193">
        <w:t>1036.125(h)(3)-(9) and (11)]</w:t>
      </w:r>
    </w:p>
    <w:p w:rsidR="001404E1" w:rsidP="008E6C53" w:rsidRDefault="00C737A8" w14:paraId="228C57D9" w14:textId="11D48F5B">
      <w:pPr>
        <w:pStyle w:val="ListParagraph"/>
        <w:numPr>
          <w:ilvl w:val="2"/>
          <w:numId w:val="4"/>
        </w:numPr>
        <w:rPr>
          <w:bCs/>
        </w:rPr>
      </w:pPr>
      <w:r w:rsidRPr="009078E4">
        <w:t>Definition of</w:t>
      </w:r>
      <w:r w:rsidRPr="009078E4" w:rsidR="001404E1">
        <w:t xml:space="preserve"> the type of</w:t>
      </w:r>
      <w:r w:rsidR="001404E1">
        <w:t xml:space="preserve"> maintenance manufacturers may choose to recommend to owners</w:t>
      </w:r>
      <w:r w:rsidRPr="002F1A12" w:rsidR="001404E1">
        <w:rPr>
          <w:bCs/>
        </w:rPr>
        <w:t xml:space="preserve"> </w:t>
      </w:r>
    </w:p>
    <w:p w:rsidRPr="007534A4" w:rsidR="001404E1" w:rsidP="008E6C53" w:rsidRDefault="00E72400" w14:paraId="154972C8" w14:textId="0FE19213">
      <w:pPr>
        <w:pStyle w:val="ListParagraph"/>
        <w:numPr>
          <w:ilvl w:val="3"/>
          <w:numId w:val="4"/>
        </w:numPr>
        <w:rPr>
          <w:bCs/>
        </w:rPr>
      </w:pPr>
      <w:r>
        <w:rPr>
          <w:bCs/>
        </w:rPr>
        <w:t>Some require EPA approval</w:t>
      </w:r>
    </w:p>
    <w:p w:rsidRPr="009229CD" w:rsidR="003E70F2" w:rsidP="008E6C53" w:rsidRDefault="001404E1" w14:paraId="0B68F67F" w14:textId="319A66D6">
      <w:pPr>
        <w:pStyle w:val="ListParagraph"/>
        <w:numPr>
          <w:ilvl w:val="2"/>
          <w:numId w:val="4"/>
        </w:numPr>
        <w:rPr>
          <w:bCs/>
        </w:rPr>
      </w:pPr>
      <w:r>
        <w:rPr>
          <w:bCs/>
        </w:rPr>
        <w:t>O</w:t>
      </w:r>
      <w:r w:rsidRPr="002F1A12" w:rsidR="002F1A12">
        <w:rPr>
          <w:bCs/>
        </w:rPr>
        <w:t>utlining specific requirements for maintenance instructions provided in the owner's manual</w:t>
      </w:r>
      <w:r w:rsidR="00E72400">
        <w:rPr>
          <w:bCs/>
        </w:rPr>
        <w:t>, such as</w:t>
      </w:r>
      <w:r w:rsidR="00BE5AB2">
        <w:rPr>
          <w:bCs/>
        </w:rPr>
        <w:t>:</w:t>
      </w:r>
    </w:p>
    <w:p w:rsidRPr="00BE5AB2" w:rsidR="009229CD" w:rsidP="008E6C53" w:rsidRDefault="009229CD" w14:paraId="23AC53AF" w14:textId="772A6F16">
      <w:pPr>
        <w:pStyle w:val="ListParagraph"/>
        <w:numPr>
          <w:ilvl w:val="3"/>
          <w:numId w:val="4"/>
        </w:numPr>
        <w:rPr>
          <w:bCs/>
        </w:rPr>
      </w:pPr>
      <w:r>
        <w:t>A description of how the owner can use the OBD system to troubleshoot problems and access emission-related diagnostic information</w:t>
      </w:r>
    </w:p>
    <w:p w:rsidRPr="00BE5AB2" w:rsidR="00BE5AB2" w:rsidP="008E6C53" w:rsidRDefault="00BE5AB2" w14:paraId="31F49E39" w14:textId="34C51521">
      <w:pPr>
        <w:pStyle w:val="ListParagraph"/>
        <w:numPr>
          <w:ilvl w:val="3"/>
          <w:numId w:val="4"/>
        </w:numPr>
        <w:rPr>
          <w:bCs/>
        </w:rPr>
      </w:pPr>
      <w:r>
        <w:t>general description of how the emission control systems operate</w:t>
      </w:r>
    </w:p>
    <w:p w:rsidRPr="004D14A8" w:rsidR="00BE5AB2" w:rsidP="008E6C53" w:rsidRDefault="00BE5AB2" w14:paraId="07C85740" w14:textId="45148E33">
      <w:pPr>
        <w:pStyle w:val="ListParagraph"/>
        <w:numPr>
          <w:ilvl w:val="3"/>
          <w:numId w:val="4"/>
        </w:numPr>
        <w:rPr>
          <w:bCs/>
        </w:rPr>
      </w:pPr>
      <w:r>
        <w:rPr>
          <w:bCs/>
        </w:rPr>
        <w:t>a</w:t>
      </w:r>
      <w:r>
        <w:t>ccess to diagrams describing system layout and operation</w:t>
      </w:r>
      <w:r w:rsidRPr="006860F3">
        <w:t xml:space="preserve"> </w:t>
      </w:r>
      <w:r>
        <w:t>for owners and repair technicians</w:t>
      </w:r>
    </w:p>
    <w:p w:rsidRPr="004D14A8" w:rsidR="004D14A8" w:rsidP="008E6C53" w:rsidRDefault="004D14A8" w14:paraId="40A01C02" w14:textId="1E63D964">
      <w:pPr>
        <w:pStyle w:val="ListParagraph"/>
        <w:numPr>
          <w:ilvl w:val="3"/>
          <w:numId w:val="4"/>
        </w:numPr>
        <w:rPr>
          <w:bCs/>
        </w:rPr>
      </w:pPr>
      <w:r w:rsidRPr="004D14A8">
        <w:t>Troubleshooting guide to address DEF dosing- and DPF regeneration-related warning signals</w:t>
      </w:r>
    </w:p>
    <w:p w:rsidRPr="002E167B" w:rsidR="004D14A8" w:rsidP="008E6C53" w:rsidRDefault="002E167B" w14:paraId="77979091" w14:textId="79D7354A">
      <w:pPr>
        <w:pStyle w:val="ListParagraph"/>
        <w:numPr>
          <w:ilvl w:val="3"/>
          <w:numId w:val="4"/>
        </w:numPr>
        <w:rPr>
          <w:bCs/>
        </w:rPr>
      </w:pPr>
      <w:r>
        <w:t>I</w:t>
      </w:r>
      <w:r w:rsidRPr="002E167B">
        <w:t>nstructions on how to remove DPF for cleaning</w:t>
      </w:r>
    </w:p>
    <w:p w:rsidR="005B213F" w:rsidP="008E6C53" w:rsidRDefault="005B213F" w14:paraId="2E16CDB1" w14:textId="77777777">
      <w:pPr>
        <w:pStyle w:val="ListParagraph"/>
        <w:numPr>
          <w:ilvl w:val="1"/>
          <w:numId w:val="4"/>
        </w:numPr>
        <w:rPr>
          <w:bCs/>
        </w:rPr>
      </w:pPr>
      <w:r>
        <w:rPr>
          <w:bCs/>
        </w:rPr>
        <w:t>Other changes to certification applications include:</w:t>
      </w:r>
    </w:p>
    <w:p w:rsidRPr="00BD2536" w:rsidR="005B213F" w:rsidP="008E6C53" w:rsidRDefault="005B213F" w14:paraId="3BDDC44F" w14:textId="77777777">
      <w:pPr>
        <w:pStyle w:val="ListParagraph"/>
        <w:numPr>
          <w:ilvl w:val="2"/>
          <w:numId w:val="4"/>
        </w:numPr>
        <w:rPr>
          <w:bCs/>
        </w:rPr>
      </w:pPr>
      <w:bookmarkStart w:name="_Hlk95710501" w:id="9"/>
      <w:r>
        <w:t>St</w:t>
      </w:r>
      <w:r w:rsidRPr="00BD2536">
        <w:t xml:space="preserve">andards expressed in units of milligrams per kilowatt-hour, so that each value of the standards is in the international system of units (SI units) </w:t>
      </w:r>
    </w:p>
    <w:p w:rsidRPr="003738F9" w:rsidR="005B213F" w:rsidP="008E6C53" w:rsidRDefault="005B213F" w14:paraId="45C0EFB4" w14:textId="77777777">
      <w:pPr>
        <w:pStyle w:val="ListParagraph"/>
        <w:numPr>
          <w:ilvl w:val="2"/>
          <w:numId w:val="4"/>
        </w:numPr>
        <w:rPr>
          <w:bCs/>
        </w:rPr>
      </w:pPr>
      <w:r w:rsidRPr="003738F9">
        <w:t>Updated the primary intended service classes</w:t>
      </w:r>
      <w:bookmarkEnd w:id="9"/>
      <w:r>
        <w:t xml:space="preserve"> for HD SI engines</w:t>
      </w:r>
    </w:p>
    <w:p w:rsidRPr="0098445C" w:rsidR="005B213F" w:rsidP="008E6C53" w:rsidRDefault="005B213F" w14:paraId="15B8A08A" w14:textId="77777777">
      <w:pPr>
        <w:pStyle w:val="ListParagraph"/>
        <w:numPr>
          <w:ilvl w:val="2"/>
          <w:numId w:val="4"/>
        </w:numPr>
        <w:rPr>
          <w:bCs/>
        </w:rPr>
      </w:pPr>
      <w:r>
        <w:rPr>
          <w:bCs/>
        </w:rPr>
        <w:t xml:space="preserve">Allowance to combine engines that would normally be in different engine families </w:t>
      </w:r>
      <w:r w:rsidRPr="0098445C">
        <w:rPr>
          <w:bCs/>
        </w:rPr>
        <w:t>[1036.230(j) and (k)], and vice versa</w:t>
      </w:r>
    </w:p>
    <w:p w:rsidRPr="0098445C" w:rsidR="005B213F" w:rsidP="008E6C53" w:rsidRDefault="005B213F" w14:paraId="66F380EF" w14:textId="77777777">
      <w:pPr>
        <w:pStyle w:val="ListParagraph"/>
        <w:numPr>
          <w:ilvl w:val="2"/>
          <w:numId w:val="4"/>
        </w:numPr>
        <w:rPr>
          <w:bCs/>
        </w:rPr>
      </w:pPr>
      <w:r w:rsidRPr="0098445C">
        <w:rPr>
          <w:bCs/>
        </w:rPr>
        <w:t>Identify NOx Family Emissions Limit (see AB&amp;T section below)</w:t>
      </w:r>
    </w:p>
    <w:p w:rsidR="005B213F" w:rsidP="008E6C53" w:rsidRDefault="005B213F" w14:paraId="26A63082" w14:textId="77777777">
      <w:pPr>
        <w:pStyle w:val="ListParagraph"/>
        <w:numPr>
          <w:ilvl w:val="2"/>
          <w:numId w:val="4"/>
        </w:numPr>
        <w:rPr>
          <w:bCs/>
        </w:rPr>
      </w:pPr>
      <w:r w:rsidRPr="0098445C">
        <w:rPr>
          <w:bCs/>
        </w:rPr>
        <w:lastRenderedPageBreak/>
        <w:t>Improved statement</w:t>
      </w:r>
      <w:r>
        <w:rPr>
          <w:bCs/>
        </w:rPr>
        <w:t xml:space="preserve"> of compliance</w:t>
      </w:r>
    </w:p>
    <w:p w:rsidR="005B213F" w:rsidP="008E6C53" w:rsidRDefault="005B213F" w14:paraId="509FC357" w14:textId="77777777">
      <w:pPr>
        <w:pStyle w:val="ListParagraph"/>
        <w:numPr>
          <w:ilvl w:val="2"/>
          <w:numId w:val="4"/>
        </w:numPr>
        <w:rPr>
          <w:bCs/>
        </w:rPr>
      </w:pPr>
      <w:r>
        <w:rPr>
          <w:bCs/>
        </w:rPr>
        <w:t>Manufacturers must provide the information to read, record, and interpret information broadcast by the engines’ on-board computers and state that they will furnish any tools necessary to do it. [1036.201(t)]</w:t>
      </w:r>
    </w:p>
    <w:p w:rsidRPr="0097420D" w:rsidR="005B213F" w:rsidP="008E6C53" w:rsidRDefault="005B213F" w14:paraId="1C15D1D3" w14:textId="60DFA0E5">
      <w:pPr>
        <w:pStyle w:val="ListParagraph"/>
        <w:numPr>
          <w:ilvl w:val="3"/>
          <w:numId w:val="4"/>
        </w:numPr>
        <w:rPr>
          <w:bCs/>
        </w:rPr>
      </w:pPr>
      <w:r w:rsidRPr="0097420D">
        <w:t>Not applicable to field fixes identif</w:t>
      </w:r>
      <w:r w:rsidR="00AA0114">
        <w:t>ied</w:t>
      </w:r>
      <w:r w:rsidRPr="0097420D">
        <w:t xml:space="preserve"> after the end of the model year</w:t>
      </w:r>
    </w:p>
    <w:p w:rsidRPr="0097420D" w:rsidR="005B213F" w:rsidP="008E6C53" w:rsidRDefault="005B213F" w14:paraId="0C1F50BD" w14:textId="77777777">
      <w:pPr>
        <w:pStyle w:val="ListParagraph"/>
        <w:numPr>
          <w:ilvl w:val="3"/>
          <w:numId w:val="4"/>
        </w:numPr>
        <w:rPr>
          <w:bCs/>
        </w:rPr>
      </w:pPr>
      <w:r w:rsidRPr="0097420D">
        <w:t xml:space="preserve">Would become effective upon the effective date of the final rule, if adopted. </w:t>
      </w:r>
    </w:p>
    <w:p w:rsidR="005B213F" w:rsidP="008E6C53" w:rsidRDefault="005B213F" w14:paraId="28692845" w14:textId="77777777">
      <w:pPr>
        <w:pStyle w:val="ListParagraph"/>
        <w:numPr>
          <w:ilvl w:val="2"/>
          <w:numId w:val="4"/>
        </w:numPr>
        <w:rPr>
          <w:bCs/>
        </w:rPr>
      </w:pPr>
      <w:r>
        <w:rPr>
          <w:bCs/>
        </w:rPr>
        <w:t xml:space="preserve">Additional opportunities for carrying across OBD certification data </w:t>
      </w:r>
    </w:p>
    <w:p w:rsidR="005B213F" w:rsidP="008E6C53" w:rsidRDefault="005B213F" w14:paraId="653AAF16" w14:textId="77777777">
      <w:pPr>
        <w:pStyle w:val="ListParagraph"/>
        <w:numPr>
          <w:ilvl w:val="3"/>
          <w:numId w:val="4"/>
        </w:numPr>
        <w:rPr>
          <w:bCs/>
        </w:rPr>
      </w:pPr>
      <w:r>
        <w:rPr>
          <w:bCs/>
        </w:rPr>
        <w:t xml:space="preserve">Between vehicle families </w:t>
      </w:r>
      <w:r>
        <w:t>at or below 14,000 lb GVWR and engine families above 14,000 lb GVWR</w:t>
      </w:r>
      <w:r>
        <w:rPr>
          <w:bCs/>
        </w:rPr>
        <w:t xml:space="preserve"> </w:t>
      </w:r>
      <w:r w:rsidRPr="00DF612B">
        <w:rPr>
          <w:bCs/>
        </w:rPr>
        <w:t>limit</w:t>
      </w:r>
      <w:r>
        <w:rPr>
          <w:bCs/>
        </w:rPr>
        <w:t>. This will limit</w:t>
      </w:r>
      <w:r w:rsidRPr="00DF612B">
        <w:rPr>
          <w:bCs/>
        </w:rPr>
        <w:t xml:space="preserve"> the need for duplicate OBD certification testing if a manufacturer's chassis- and engine-certified technology packages are sufficiently similar</w:t>
      </w:r>
    </w:p>
    <w:p w:rsidRPr="0091071A" w:rsidR="005B213F" w:rsidP="008E6C53" w:rsidRDefault="005B213F" w14:paraId="175BDEE6" w14:textId="77777777">
      <w:pPr>
        <w:pStyle w:val="ListParagraph"/>
        <w:numPr>
          <w:ilvl w:val="3"/>
          <w:numId w:val="4"/>
        </w:numPr>
        <w:rPr>
          <w:bCs/>
        </w:rPr>
      </w:pPr>
      <w:r w:rsidRPr="00F30B06">
        <w:t>To certify</w:t>
      </w:r>
      <w:r>
        <w:t>, if approved,</w:t>
      </w:r>
      <w:r w:rsidRPr="00F30B06">
        <w:t xml:space="preserve"> spark-ignition, engine-certified products using data from similar chassis-certified Class 2b and Class 3 vehicles that meet the provisions of 40 CFR 86.1806-17</w:t>
      </w:r>
    </w:p>
    <w:p w:rsidRPr="0091071A" w:rsidR="005B213F" w:rsidP="008E6C53" w:rsidRDefault="005B213F" w14:paraId="3A82D35B" w14:textId="77777777">
      <w:pPr>
        <w:pStyle w:val="ListParagraph"/>
        <w:numPr>
          <w:ilvl w:val="0"/>
          <w:numId w:val="4"/>
        </w:numPr>
        <w:rPr>
          <w:bCs/>
        </w:rPr>
      </w:pPr>
      <w:r>
        <w:t>Running Changes: L</w:t>
      </w:r>
      <w:r w:rsidRPr="0097420D">
        <w:t xml:space="preserve">imit amendments to the application for certification to the stated production period (revised 1036.225 and 1037.225) </w:t>
      </w:r>
    </w:p>
    <w:p w:rsidR="004E335B" w:rsidP="004155D9" w:rsidRDefault="004E335B" w14:paraId="1836044C" w14:textId="77777777">
      <w:pPr>
        <w:pStyle w:val="ListParagraph"/>
        <w:numPr>
          <w:ilvl w:val="0"/>
          <w:numId w:val="4"/>
        </w:numPr>
        <w:rPr>
          <w:bCs/>
        </w:rPr>
      </w:pPr>
      <w:r>
        <w:rPr>
          <w:bCs/>
        </w:rPr>
        <w:t>Miscellaneous:</w:t>
      </w:r>
    </w:p>
    <w:p w:rsidR="004B0465" w:rsidP="004E335B" w:rsidRDefault="00170B0C" w14:paraId="1A20DA16" w14:textId="2E2D3AD0">
      <w:pPr>
        <w:pStyle w:val="ListParagraph"/>
        <w:numPr>
          <w:ilvl w:val="0"/>
          <w:numId w:val="4"/>
        </w:numPr>
        <w:ind w:left="1440"/>
        <w:rPr>
          <w:bCs/>
        </w:rPr>
      </w:pPr>
      <w:r>
        <w:rPr>
          <w:bCs/>
        </w:rPr>
        <w:t>Changes</w:t>
      </w:r>
      <w:r w:rsidR="004B0465">
        <w:rPr>
          <w:bCs/>
        </w:rPr>
        <w:t xml:space="preserve"> and clarifications related</w:t>
      </w:r>
      <w:r>
        <w:rPr>
          <w:bCs/>
        </w:rPr>
        <w:t xml:space="preserve"> to</w:t>
      </w:r>
      <w:r w:rsidR="007534A4">
        <w:rPr>
          <w:bCs/>
        </w:rPr>
        <w:t xml:space="preserve"> maintenance</w:t>
      </w:r>
      <w:r>
        <w:rPr>
          <w:bCs/>
        </w:rPr>
        <w:t xml:space="preserve"> schedules, </w:t>
      </w:r>
      <w:r w:rsidR="007534A4">
        <w:rPr>
          <w:bCs/>
        </w:rPr>
        <w:t>allowable maintenance</w:t>
      </w:r>
      <w:r w:rsidRPr="002F1A12" w:rsidR="007534A4">
        <w:rPr>
          <w:bCs/>
        </w:rPr>
        <w:t xml:space="preserve"> </w:t>
      </w:r>
      <w:r w:rsidR="004B0465">
        <w:rPr>
          <w:bCs/>
        </w:rPr>
        <w:t>on test engines, etc</w:t>
      </w:r>
    </w:p>
    <w:p w:rsidR="00170B0C" w:rsidP="004E335B" w:rsidRDefault="00170B0C" w14:paraId="1507028E" w14:textId="217B816C">
      <w:pPr>
        <w:pStyle w:val="ListParagraph"/>
        <w:numPr>
          <w:ilvl w:val="1"/>
          <w:numId w:val="4"/>
        </w:numPr>
        <w:ind w:left="2160"/>
        <w:rPr>
          <w:bCs/>
        </w:rPr>
      </w:pPr>
      <w:r w:rsidRPr="002F1A12">
        <w:rPr>
          <w:bCs/>
        </w:rPr>
        <w:t>Updat</w:t>
      </w:r>
      <w:r>
        <w:rPr>
          <w:bCs/>
        </w:rPr>
        <w:t xml:space="preserve">es on </w:t>
      </w:r>
      <w:r w:rsidRPr="002F1A12">
        <w:rPr>
          <w:bCs/>
        </w:rPr>
        <w:t>minimum maintenance intervals for certain critical emission-related components</w:t>
      </w:r>
    </w:p>
    <w:p w:rsidR="00882399" w:rsidP="004E335B" w:rsidRDefault="00C737A8" w14:paraId="3C7428B8" w14:textId="48F9B570">
      <w:pPr>
        <w:pStyle w:val="ListParagraph"/>
        <w:numPr>
          <w:ilvl w:val="0"/>
          <w:numId w:val="4"/>
        </w:numPr>
        <w:ind w:left="1440"/>
        <w:rPr>
          <w:bCs/>
        </w:rPr>
      </w:pPr>
      <w:r w:rsidRPr="00137CA5">
        <w:rPr>
          <w:bCs/>
        </w:rPr>
        <w:t xml:space="preserve">Changes to the </w:t>
      </w:r>
      <w:r w:rsidRPr="00137CA5" w:rsidR="00882399">
        <w:rPr>
          <w:bCs/>
        </w:rPr>
        <w:t>engine emissions label</w:t>
      </w:r>
      <w:r w:rsidR="00882399">
        <w:rPr>
          <w:bCs/>
        </w:rPr>
        <w:t xml:space="preserve"> </w:t>
      </w:r>
      <w:r w:rsidR="00137CA5">
        <w:rPr>
          <w:bCs/>
        </w:rPr>
        <w:t>to include certain maintenance information</w:t>
      </w:r>
      <w:r w:rsidR="003A39FC">
        <w:rPr>
          <w:bCs/>
        </w:rPr>
        <w:t xml:space="preserve"> and a QR code </w:t>
      </w:r>
    </w:p>
    <w:p w:rsidR="00C33F27" w:rsidP="004E335B" w:rsidRDefault="00101BF4" w14:paraId="5B6E419E" w14:textId="2F9AA6E8">
      <w:pPr>
        <w:pStyle w:val="ListParagraph"/>
        <w:ind w:left="2160"/>
        <w:rPr>
          <w:bCs/>
        </w:rPr>
      </w:pPr>
      <w:r>
        <w:t xml:space="preserve">[proposed </w:t>
      </w:r>
      <w:r w:rsidR="00C33F27">
        <w:t>1036.135(c)</w:t>
      </w:r>
      <w:r>
        <w:t>]</w:t>
      </w:r>
      <w:r w:rsidR="003A39FC">
        <w:t xml:space="preserve"> </w:t>
      </w:r>
      <w:r w:rsidR="00C33F27">
        <w:t>that would direct repair technicians, owners, and inspection and maintenance facilities to a website which provides critical emissions systems information at no cost</w:t>
      </w:r>
    </w:p>
    <w:p w:rsidR="00CD051B" w:rsidP="004E335B" w:rsidRDefault="00045240" w14:paraId="0A4EB174" w14:textId="29BD46EE">
      <w:pPr>
        <w:pStyle w:val="ListParagraph"/>
        <w:numPr>
          <w:ilvl w:val="0"/>
          <w:numId w:val="4"/>
        </w:numPr>
        <w:ind w:left="1440"/>
        <w:rPr>
          <w:bCs/>
        </w:rPr>
      </w:pPr>
      <w:r>
        <w:rPr>
          <w:bCs/>
        </w:rPr>
        <w:t>C</w:t>
      </w:r>
      <w:r w:rsidR="002036F0">
        <w:rPr>
          <w:bCs/>
        </w:rPr>
        <w:t xml:space="preserve">hanges to </w:t>
      </w:r>
      <w:r w:rsidRPr="00CD051B" w:rsidR="00BD0673">
        <w:rPr>
          <w:bCs/>
        </w:rPr>
        <w:t xml:space="preserve">Onboard </w:t>
      </w:r>
      <w:r w:rsidRPr="00CD051B" w:rsidR="00CD051B">
        <w:rPr>
          <w:bCs/>
        </w:rPr>
        <w:t>d</w:t>
      </w:r>
      <w:r w:rsidRPr="00CD051B" w:rsidR="00BD0673">
        <w:rPr>
          <w:bCs/>
        </w:rPr>
        <w:t>iagno</w:t>
      </w:r>
      <w:r w:rsidRPr="00CD051B" w:rsidR="00CD051B">
        <w:rPr>
          <w:bCs/>
        </w:rPr>
        <w:t>s</w:t>
      </w:r>
      <w:r w:rsidRPr="00CD051B" w:rsidR="00BD0673">
        <w:rPr>
          <w:bCs/>
        </w:rPr>
        <w:t>tic</w:t>
      </w:r>
      <w:r w:rsidRPr="00CD051B" w:rsidR="00CD051B">
        <w:rPr>
          <w:bCs/>
        </w:rPr>
        <w:t xml:space="preserve"> (OBD)</w:t>
      </w:r>
      <w:r w:rsidRPr="00CD051B" w:rsidR="00BD0673">
        <w:rPr>
          <w:bCs/>
        </w:rPr>
        <w:t xml:space="preserve"> requirements</w:t>
      </w:r>
      <w:r w:rsidRPr="00CD051B" w:rsidR="00CD051B">
        <w:rPr>
          <w:bCs/>
        </w:rPr>
        <w:t>, such as</w:t>
      </w:r>
    </w:p>
    <w:p w:rsidR="00EE29D3" w:rsidP="004E335B" w:rsidRDefault="00477B12" w14:paraId="6ABBB51C" w14:textId="58F4B242">
      <w:pPr>
        <w:pStyle w:val="ListParagraph"/>
        <w:numPr>
          <w:ilvl w:val="1"/>
          <w:numId w:val="4"/>
        </w:numPr>
        <w:ind w:left="2160"/>
        <w:rPr>
          <w:bCs/>
        </w:rPr>
      </w:pPr>
      <w:r w:rsidRPr="00CD051B">
        <w:rPr>
          <w:bCs/>
        </w:rPr>
        <w:t>I</w:t>
      </w:r>
      <w:r w:rsidRPr="00CD051B" w:rsidR="00626A59">
        <w:rPr>
          <w:bCs/>
        </w:rPr>
        <w:t>ncorporation by reference of</w:t>
      </w:r>
      <w:r w:rsidRPr="00CD051B" w:rsidR="00EE29D3">
        <w:rPr>
          <w:bCs/>
        </w:rPr>
        <w:t xml:space="preserve"> </w:t>
      </w:r>
      <w:r w:rsidRPr="00CD051B" w:rsidR="00626A59">
        <w:rPr>
          <w:bCs/>
        </w:rPr>
        <w:t xml:space="preserve">2019 </w:t>
      </w:r>
      <w:r w:rsidRPr="00CD051B" w:rsidR="00EE29D3">
        <w:rPr>
          <w:bCs/>
        </w:rPr>
        <w:t>California Air Resources Board’s</w:t>
      </w:r>
      <w:r w:rsidR="006408C2">
        <w:rPr>
          <w:bCs/>
        </w:rPr>
        <w:t xml:space="preserve"> (CARB</w:t>
      </w:r>
      <w:r w:rsidR="00CB7410">
        <w:rPr>
          <w:bCs/>
        </w:rPr>
        <w:t>)</w:t>
      </w:r>
      <w:r w:rsidRPr="00CD051B" w:rsidR="00EE29D3">
        <w:rPr>
          <w:bCs/>
        </w:rPr>
        <w:t xml:space="preserve"> </w:t>
      </w:r>
      <w:r w:rsidRPr="00CD051B" w:rsidR="00533FB3">
        <w:rPr>
          <w:bCs/>
        </w:rPr>
        <w:t>OBD</w:t>
      </w:r>
      <w:r w:rsidRPr="00CD051B" w:rsidR="00EE29D3">
        <w:rPr>
          <w:bCs/>
        </w:rPr>
        <w:t xml:space="preserve"> </w:t>
      </w:r>
      <w:r w:rsidRPr="00CD051B" w:rsidR="00533FB3">
        <w:rPr>
          <w:bCs/>
        </w:rPr>
        <w:t>regulations</w:t>
      </w:r>
      <w:r w:rsidRPr="00CD051B">
        <w:rPr>
          <w:bCs/>
        </w:rPr>
        <w:t xml:space="preserve"> </w:t>
      </w:r>
      <w:r w:rsidRPr="00CD051B" w:rsidR="00A2578D">
        <w:rPr>
          <w:bCs/>
        </w:rPr>
        <w:t xml:space="preserve">already implemented by manufacturers </w:t>
      </w:r>
      <w:r w:rsidRPr="00CD051B">
        <w:rPr>
          <w:bCs/>
        </w:rPr>
        <w:t xml:space="preserve">to harmonize </w:t>
      </w:r>
      <w:r w:rsidRPr="00CD051B" w:rsidR="00350F78">
        <w:rPr>
          <w:bCs/>
        </w:rPr>
        <w:t xml:space="preserve">the requirements </w:t>
      </w:r>
      <w:r w:rsidRPr="00CD051B">
        <w:rPr>
          <w:bCs/>
        </w:rPr>
        <w:t xml:space="preserve">and streamline </w:t>
      </w:r>
      <w:r w:rsidRPr="00CD051B" w:rsidR="00350F78">
        <w:rPr>
          <w:bCs/>
        </w:rPr>
        <w:t xml:space="preserve">data collection </w:t>
      </w:r>
      <w:r w:rsidRPr="00CD051B">
        <w:rPr>
          <w:bCs/>
        </w:rPr>
        <w:t>proce</w:t>
      </w:r>
      <w:r w:rsidRPr="00CD051B" w:rsidR="00350F78">
        <w:rPr>
          <w:bCs/>
        </w:rPr>
        <w:t>sses</w:t>
      </w:r>
      <w:r w:rsidRPr="00CD051B" w:rsidR="00A2578D">
        <w:rPr>
          <w:bCs/>
        </w:rPr>
        <w:t xml:space="preserve"> </w:t>
      </w:r>
    </w:p>
    <w:p w:rsidR="002036F0" w:rsidP="004E335B" w:rsidRDefault="002036F0" w14:paraId="155E11FD" w14:textId="0F97C063">
      <w:pPr>
        <w:pStyle w:val="ListParagraph"/>
        <w:numPr>
          <w:ilvl w:val="1"/>
          <w:numId w:val="4"/>
        </w:numPr>
        <w:ind w:left="2160"/>
        <w:rPr>
          <w:bCs/>
        </w:rPr>
      </w:pPr>
      <w:r>
        <w:rPr>
          <w:bCs/>
        </w:rPr>
        <w:t xml:space="preserve">Allowing the use of </w:t>
      </w:r>
      <w:r w:rsidR="00536AC9">
        <w:rPr>
          <w:bCs/>
        </w:rPr>
        <w:t xml:space="preserve">data from CARB-only families to demonstrate compliance with federal requirements in certain cases, already </w:t>
      </w:r>
      <w:r w:rsidR="006408C2">
        <w:rPr>
          <w:bCs/>
        </w:rPr>
        <w:t>implemented by guidance</w:t>
      </w:r>
    </w:p>
    <w:p w:rsidRPr="002A36A5" w:rsidR="003D6B1E" w:rsidP="002A36A5" w:rsidRDefault="002A36A5" w14:paraId="285ADC8E" w14:textId="642DBCDE">
      <w:pPr>
        <w:pStyle w:val="ListParagraph"/>
        <w:numPr>
          <w:ilvl w:val="0"/>
          <w:numId w:val="4"/>
        </w:numPr>
        <w:rPr>
          <w:bCs/>
        </w:rPr>
      </w:pPr>
      <w:r>
        <w:rPr>
          <w:bCs/>
        </w:rPr>
        <w:t>HDE Aftermarket Fuel Converters:</w:t>
      </w:r>
    </w:p>
    <w:p w:rsidR="00045240" w:rsidP="00045240" w:rsidRDefault="00045240" w14:paraId="384DA3AA" w14:textId="77777777">
      <w:pPr>
        <w:pStyle w:val="ListParagraph"/>
        <w:numPr>
          <w:ilvl w:val="0"/>
          <w:numId w:val="23"/>
        </w:numPr>
        <w:rPr>
          <w:bCs/>
        </w:rPr>
      </w:pPr>
      <w:r>
        <w:rPr>
          <w:bCs/>
        </w:rPr>
        <w:t xml:space="preserve">No changes to reporting or recordkeeping requirements </w:t>
      </w:r>
    </w:p>
    <w:p w:rsidRPr="0030084C" w:rsidR="00045240" w:rsidP="00045240" w:rsidRDefault="00045240" w14:paraId="158C8D72" w14:textId="77777777">
      <w:pPr>
        <w:pStyle w:val="ListParagraph"/>
        <w:numPr>
          <w:ilvl w:val="0"/>
          <w:numId w:val="23"/>
        </w:numPr>
        <w:rPr>
          <w:bCs/>
        </w:rPr>
      </w:pPr>
      <w:r>
        <w:t>P</w:t>
      </w:r>
      <w:r w:rsidRPr="0030084C">
        <w:t xml:space="preserve">roposed anti-tampering provisions </w:t>
      </w:r>
      <w:r>
        <w:t>(</w:t>
      </w:r>
      <w:r w:rsidRPr="0030084C">
        <w:t>1068.50</w:t>
      </w:r>
      <w:r>
        <w:t>)</w:t>
      </w:r>
      <w:r w:rsidRPr="0030084C">
        <w:t xml:space="preserve"> are not intended to interfere with actions aftermarket converters may need to take to modify or replace ECMs as part of the conversion process </w:t>
      </w:r>
    </w:p>
    <w:p w:rsidRPr="00E80437" w:rsidR="00045240" w:rsidP="00C05331" w:rsidRDefault="00045240" w14:paraId="3754FCA1" w14:textId="07C8072C">
      <w:pPr>
        <w:pStyle w:val="ListParagraph"/>
        <w:numPr>
          <w:ilvl w:val="0"/>
          <w:numId w:val="23"/>
        </w:numPr>
        <w:rPr>
          <w:bCs/>
        </w:rPr>
      </w:pPr>
      <w:r>
        <w:t xml:space="preserve">However, converters need to be aware of the proposed provisions intended to prevent unauthorized access to the engine’s ECM and may need to adjust their strategies. </w:t>
      </w:r>
    </w:p>
    <w:p w:rsidR="000466AF" w:rsidP="00882399" w:rsidRDefault="000466AF" w14:paraId="54689111" w14:textId="77777777">
      <w:pPr>
        <w:ind w:firstLine="360"/>
        <w:rPr>
          <w:bCs/>
          <w:u w:val="single"/>
        </w:rPr>
      </w:pPr>
    </w:p>
    <w:p w:rsidR="00734AA6" w:rsidP="00882399" w:rsidRDefault="00871E03" w14:paraId="7ED60126" w14:textId="2E4E77D1">
      <w:pPr>
        <w:ind w:firstLine="360"/>
        <w:rPr>
          <w:bCs/>
        </w:rPr>
      </w:pPr>
      <w:r w:rsidRPr="00871E03">
        <w:rPr>
          <w:bCs/>
          <w:u w:val="single"/>
        </w:rPr>
        <w:t xml:space="preserve">HD </w:t>
      </w:r>
      <w:r w:rsidRPr="00871E03" w:rsidR="00B00135">
        <w:rPr>
          <w:bCs/>
          <w:u w:val="single"/>
        </w:rPr>
        <w:t>E</w:t>
      </w:r>
      <w:r w:rsidRPr="00871E03" w:rsidR="006C6239">
        <w:rPr>
          <w:bCs/>
          <w:u w:val="single"/>
        </w:rPr>
        <w:t>lectric vehicles</w:t>
      </w:r>
      <w:r w:rsidRPr="00871E03" w:rsidR="004E0315">
        <w:rPr>
          <w:bCs/>
          <w:u w:val="single"/>
        </w:rPr>
        <w:t>:</w:t>
      </w:r>
    </w:p>
    <w:p w:rsidR="00D87503" w:rsidP="00D87503" w:rsidRDefault="00D87503" w14:paraId="3F16AA34" w14:textId="77777777">
      <w:pPr>
        <w:pStyle w:val="ListParagraph"/>
        <w:numPr>
          <w:ilvl w:val="0"/>
          <w:numId w:val="8"/>
        </w:numPr>
        <w:rPr>
          <w:bCs/>
        </w:rPr>
      </w:pPr>
      <w:r>
        <w:t>B</w:t>
      </w:r>
      <w:r w:rsidRPr="006A35D2">
        <w:t xml:space="preserve">attery </w:t>
      </w:r>
      <w:r>
        <w:t xml:space="preserve">(BEVs) </w:t>
      </w:r>
      <w:r w:rsidRPr="006A35D2">
        <w:t xml:space="preserve">electric vehicles and </w:t>
      </w:r>
      <w:r>
        <w:t>f</w:t>
      </w:r>
      <w:r w:rsidRPr="006A35D2">
        <w:t xml:space="preserve">uel-cell electric vehicles </w:t>
      </w:r>
      <w:r>
        <w:t>(FCEVs):</w:t>
      </w:r>
    </w:p>
    <w:p w:rsidRPr="00070C6D" w:rsidR="00D87503" w:rsidP="00D87503" w:rsidRDefault="00D87503" w14:paraId="638C65AE" w14:textId="77777777">
      <w:pPr>
        <w:pStyle w:val="ListParagraph"/>
        <w:numPr>
          <w:ilvl w:val="1"/>
          <w:numId w:val="8"/>
        </w:numPr>
        <w:rPr>
          <w:bCs/>
        </w:rPr>
      </w:pPr>
      <w:r w:rsidRPr="00690A95">
        <w:rPr>
          <w:bCs/>
        </w:rPr>
        <w:t xml:space="preserve">The proposed rule consolidates </w:t>
      </w:r>
      <w:r w:rsidRPr="00690A95">
        <w:t>criteria pollutant and GHG emission certification requirements in 1037 for certain electric vehicles, as specified in the current 1037.1 and proposed 1037.102</w:t>
      </w:r>
    </w:p>
    <w:p w:rsidRPr="00972323" w:rsidR="001D31F4" w:rsidP="004155D9" w:rsidRDefault="002A36A5" w14:paraId="1833D518" w14:textId="397C676E">
      <w:pPr>
        <w:pStyle w:val="ListParagraph"/>
        <w:numPr>
          <w:ilvl w:val="0"/>
          <w:numId w:val="8"/>
        </w:numPr>
        <w:rPr>
          <w:i/>
        </w:rPr>
      </w:pPr>
      <w:r>
        <w:t xml:space="preserve">Emission Standards: </w:t>
      </w:r>
      <w:r w:rsidRPr="00972323" w:rsidR="001D31F4">
        <w:t>Targeted tightening of Phase 2 vehicle CO</w:t>
      </w:r>
      <w:r w:rsidRPr="00972323" w:rsidR="001D31F4">
        <w:rPr>
          <w:vertAlign w:val="subscript"/>
        </w:rPr>
        <w:t>2</w:t>
      </w:r>
      <w:r w:rsidRPr="00972323" w:rsidR="001D31F4">
        <w:t xml:space="preserve"> emission standards for certain HD vehicles categories </w:t>
      </w:r>
    </w:p>
    <w:p w:rsidRPr="00646FC3" w:rsidR="001D31F4" w:rsidP="004155D9" w:rsidRDefault="001D31F4" w14:paraId="1782A8ED" w14:textId="65C9879D">
      <w:pPr>
        <w:pStyle w:val="ListParagraph"/>
        <w:numPr>
          <w:ilvl w:val="1"/>
          <w:numId w:val="8"/>
        </w:numPr>
        <w:rPr>
          <w:i/>
        </w:rPr>
      </w:pPr>
      <w:r w:rsidRPr="00972323">
        <w:t>Applicable to school buses, transit buses, delivery trucks, and short-haul tractors in and</w:t>
      </w:r>
      <w:r>
        <w:t xml:space="preserve"> after MY2027</w:t>
      </w:r>
      <w:r w:rsidR="00B311B3">
        <w:t xml:space="preserve"> in the </w:t>
      </w:r>
      <w:r w:rsidRPr="00646FC3" w:rsidR="00B311B3">
        <w:t>vocational vehicle and tractor categories</w:t>
      </w:r>
    </w:p>
    <w:p w:rsidRPr="00646FC3" w:rsidR="00B311B3" w:rsidP="004155D9" w:rsidRDefault="00646FC3" w14:paraId="7F647B15" w14:textId="41769738">
      <w:pPr>
        <w:pStyle w:val="ListParagraph"/>
        <w:numPr>
          <w:ilvl w:val="1"/>
          <w:numId w:val="8"/>
        </w:numPr>
        <w:rPr>
          <w:i/>
        </w:rPr>
      </w:pPr>
      <w:r w:rsidRPr="00646FC3">
        <w:t>The proposed sales-weighted approach adjusts 17 of the 33 MY 2027 Phase 2 vocational vehicle and tractor standards</w:t>
      </w:r>
    </w:p>
    <w:p w:rsidRPr="006A35D2" w:rsidR="00070C6D" w:rsidP="004155D9" w:rsidRDefault="006A35D2" w14:paraId="55088D79" w14:textId="3FE6BD4F">
      <w:pPr>
        <w:pStyle w:val="ListParagraph"/>
        <w:numPr>
          <w:ilvl w:val="2"/>
          <w:numId w:val="8"/>
        </w:numPr>
        <w:rPr>
          <w:bCs/>
        </w:rPr>
      </w:pPr>
      <w:r>
        <w:t xml:space="preserve">Applies to </w:t>
      </w:r>
      <w:r w:rsidR="002B0F4A">
        <w:t>BEV</w:t>
      </w:r>
      <w:r w:rsidR="00943A58">
        <w:t>s</w:t>
      </w:r>
      <w:r w:rsidR="001222C0">
        <w:t xml:space="preserve"> and </w:t>
      </w:r>
      <w:r w:rsidR="00943A58">
        <w:t xml:space="preserve">FCEVs </w:t>
      </w:r>
      <w:r w:rsidRPr="006A35D2" w:rsidR="00070C6D">
        <w:t xml:space="preserve">over 14,000 pounds GVWR </w:t>
      </w:r>
    </w:p>
    <w:p w:rsidRPr="006042FC" w:rsidR="001E6EC0" w:rsidP="00516227" w:rsidRDefault="00B8472B" w14:paraId="2993DC16" w14:textId="3AFB4B9C">
      <w:pPr>
        <w:pStyle w:val="ListParagraph"/>
        <w:numPr>
          <w:ilvl w:val="1"/>
          <w:numId w:val="8"/>
        </w:numPr>
        <w:rPr>
          <w:i/>
        </w:rPr>
      </w:pPr>
      <w:r w:rsidRPr="006042FC">
        <w:t>Testing</w:t>
      </w:r>
      <w:r w:rsidRPr="006042FC" w:rsidR="006042FC">
        <w:t>/test data</w:t>
      </w:r>
      <w:r w:rsidRPr="006042FC">
        <w:t xml:space="preserve">: </w:t>
      </w:r>
    </w:p>
    <w:p w:rsidRPr="006042FC" w:rsidR="00516227" w:rsidP="001E6EC0" w:rsidRDefault="001222C0" w14:paraId="0B6D866F" w14:textId="0EDC040B">
      <w:pPr>
        <w:pStyle w:val="ListParagraph"/>
        <w:numPr>
          <w:ilvl w:val="2"/>
          <w:numId w:val="8"/>
        </w:numPr>
        <w:rPr>
          <w:i/>
        </w:rPr>
      </w:pPr>
      <w:r w:rsidRPr="006042FC">
        <w:t>P</w:t>
      </w:r>
      <w:r w:rsidRPr="006042FC" w:rsidR="00EA270E">
        <w:t>owertrain test procedure for a series of duty-cycle tests (multicycle test, MCT)</w:t>
      </w:r>
      <w:r w:rsidRPr="006042FC" w:rsidR="00B8472B">
        <w:t>.</w:t>
      </w:r>
      <w:r w:rsidRPr="006042FC" w:rsidR="00EA270E">
        <w:t xml:space="preserve"> </w:t>
      </w:r>
      <w:r w:rsidRPr="006042FC" w:rsidR="00B8472B">
        <w:t>See p</w:t>
      </w:r>
      <w:r w:rsidRPr="006042FC" w:rsidR="0014680F">
        <w:t>roposed</w:t>
      </w:r>
      <w:r w:rsidRPr="006042FC" w:rsidR="00EA270E">
        <w:t> 1037.552 and 1037.554</w:t>
      </w:r>
    </w:p>
    <w:p w:rsidRPr="00275989" w:rsidR="00516227" w:rsidP="00275989" w:rsidRDefault="00516227" w14:paraId="5781E37A" w14:textId="75BAD8BF">
      <w:pPr>
        <w:pStyle w:val="ListParagraph"/>
        <w:numPr>
          <w:ilvl w:val="2"/>
          <w:numId w:val="8"/>
        </w:numPr>
        <w:rPr>
          <w:i/>
        </w:rPr>
      </w:pPr>
      <w:r w:rsidRPr="0014680F">
        <w:t xml:space="preserve">BEVs and FCEVs used to generate </w:t>
      </w:r>
      <w:r>
        <w:t xml:space="preserve">engine </w:t>
      </w:r>
      <w:r w:rsidRPr="0014680F">
        <w:t>NO</w:t>
      </w:r>
      <w:r w:rsidRPr="00275989">
        <w:rPr>
          <w:vertAlign w:val="subscript"/>
        </w:rPr>
        <w:t>X</w:t>
      </w:r>
      <w:r w:rsidRPr="0014680F">
        <w:t xml:space="preserve"> emission credits must meet certain </w:t>
      </w:r>
      <w:r w:rsidRPr="0014680F">
        <w:lastRenderedPageBreak/>
        <w:t>durability requirements</w:t>
      </w:r>
      <w:r>
        <w:t xml:space="preserve"> [</w:t>
      </w:r>
      <w:r w:rsidRPr="0014680F">
        <w:t>proposed 1037.102(b)(3)</w:t>
      </w:r>
      <w:r>
        <w:t>]</w:t>
      </w:r>
      <w:r w:rsidR="00275989">
        <w:t xml:space="preserve">. </w:t>
      </w:r>
      <w:r>
        <w:t>Requires</w:t>
      </w:r>
      <w:r w:rsidRPr="0014680F">
        <w:t xml:space="preserve"> measur</w:t>
      </w:r>
      <w:r>
        <w:t>ing</w:t>
      </w:r>
      <w:r w:rsidRPr="0014680F">
        <w:t xml:space="preserve"> </w:t>
      </w:r>
      <w:r>
        <w:t>useable battery energy (UBE) for BEVs, and initial fuel cell voltage (FCV) for FCEVs</w:t>
      </w:r>
      <w:r w:rsidRPr="0014680F">
        <w:t xml:space="preserve"> at the start of useful life using the MCT procedures in proposed 1037.552 or 40 CFR 1037.554, respectively </w:t>
      </w:r>
    </w:p>
    <w:p w:rsidRPr="00695714" w:rsidR="00545947" w:rsidP="00320868" w:rsidRDefault="000A67EA" w14:paraId="4312A936" w14:textId="1669857D">
      <w:pPr>
        <w:pStyle w:val="ListParagraph"/>
        <w:numPr>
          <w:ilvl w:val="1"/>
          <w:numId w:val="8"/>
        </w:numPr>
        <w:rPr>
          <w:i/>
        </w:rPr>
      </w:pPr>
      <w:r>
        <w:t xml:space="preserve">Application for Certification: </w:t>
      </w:r>
      <w:r w:rsidR="008B0845">
        <w:t xml:space="preserve">Manufacturers </w:t>
      </w:r>
      <w:r w:rsidRPr="00880181" w:rsidR="00545947">
        <w:t>who wish to generate NOx emission credits for us</w:t>
      </w:r>
      <w:r w:rsidR="00545947">
        <w:t>e</w:t>
      </w:r>
      <w:r w:rsidRPr="00880181" w:rsidR="00545947">
        <w:t xml:space="preserve"> in engine certification must submit test data at the time of certification to support their NOx credit calculation </w:t>
      </w:r>
    </w:p>
    <w:p w:rsidRPr="00B53349" w:rsidR="006C110F" w:rsidP="004155D9" w:rsidRDefault="009F55C5" w14:paraId="386995C5" w14:textId="1DD94751">
      <w:pPr>
        <w:pStyle w:val="ListParagraph"/>
        <w:numPr>
          <w:ilvl w:val="1"/>
          <w:numId w:val="8"/>
        </w:numPr>
        <w:rPr>
          <w:i/>
        </w:rPr>
      </w:pPr>
      <w:r w:rsidRPr="00B53349">
        <w:t>Usef</w:t>
      </w:r>
      <w:r w:rsidRPr="00B53349" w:rsidR="00EF7112">
        <w:t xml:space="preserve">ul life </w:t>
      </w:r>
      <w:r w:rsidRPr="00B53349" w:rsidR="00BD3326">
        <w:t xml:space="preserve">(UL) </w:t>
      </w:r>
      <w:r w:rsidRPr="00B53349" w:rsidR="00EF7112">
        <w:t>for UBE and FCV:</w:t>
      </w:r>
      <w:r w:rsidRPr="00B53349" w:rsidR="00820D57">
        <w:t xml:space="preserve"> </w:t>
      </w:r>
      <w:r w:rsidRPr="00B53349" w:rsidR="00BD3326">
        <w:t>increases in UL</w:t>
      </w:r>
      <w:r w:rsidRPr="00B53349" w:rsidR="00EF7112">
        <w:t xml:space="preserve"> </w:t>
      </w:r>
      <w:r w:rsidRPr="00B53349" w:rsidR="00BD3326">
        <w:t xml:space="preserve">in three stages starting in </w:t>
      </w:r>
      <w:r w:rsidRPr="00B53349" w:rsidR="00B53349">
        <w:t>MY 2024. S</w:t>
      </w:r>
      <w:r w:rsidRPr="00B53349" w:rsidR="004A20FA">
        <w:t>ee proposed 1037.102(b)(2)</w:t>
      </w:r>
      <w:r w:rsidRPr="00B53349" w:rsidR="00B53349">
        <w:t xml:space="preserve"> </w:t>
      </w:r>
      <w:proofErr w:type="gramStart"/>
      <w:r w:rsidRPr="00B53349" w:rsidR="00B53349">
        <w:t>an</w:t>
      </w:r>
      <w:proofErr w:type="gramEnd"/>
      <w:r w:rsidRPr="00B53349" w:rsidR="00B53349">
        <w:t xml:space="preserve"> Preamble</w:t>
      </w:r>
      <w:r w:rsidRPr="00B53349" w:rsidR="004A20FA">
        <w:t xml:space="preserve"> Section IV.A for our proposed useful life periods</w:t>
      </w:r>
    </w:p>
    <w:p w:rsidRPr="00B53349" w:rsidR="00B852F4" w:rsidP="004155D9" w:rsidRDefault="006D45AD" w14:paraId="0EA0DA8C" w14:textId="6772BF5C">
      <w:pPr>
        <w:pStyle w:val="ListParagraph"/>
        <w:numPr>
          <w:ilvl w:val="2"/>
          <w:numId w:val="8"/>
        </w:numPr>
        <w:rPr>
          <w:i/>
        </w:rPr>
      </w:pPr>
      <w:r w:rsidRPr="00B53349">
        <w:t xml:space="preserve">There would be no </w:t>
      </w:r>
      <w:r w:rsidRPr="00B53349" w:rsidR="00FC3C17">
        <w:t>minimum requirement for UBE or FCV</w:t>
      </w:r>
    </w:p>
    <w:p w:rsidR="003F7DF5" w:rsidP="003F7DF5" w:rsidRDefault="003F7DF5" w14:paraId="4F2C63DF" w14:textId="77777777">
      <w:pPr>
        <w:pStyle w:val="BodyText"/>
        <w:ind w:left="360"/>
        <w:rPr>
          <w:highlight w:val="green"/>
        </w:rPr>
      </w:pPr>
    </w:p>
    <w:p w:rsidR="003F7DF5" w:rsidP="003F7DF5" w:rsidRDefault="003F7DF5" w14:paraId="2435F52E" w14:textId="77777777">
      <w:pPr>
        <w:pStyle w:val="BodyText"/>
        <w:ind w:left="360"/>
        <w:rPr>
          <w:highlight w:val="green"/>
        </w:rPr>
      </w:pPr>
    </w:p>
    <w:p w:rsidRPr="00BC48C1" w:rsidR="003F7DF5" w:rsidP="003F7DF5" w:rsidRDefault="003F7DF5" w14:paraId="456BF2F9" w14:textId="379B4EE0">
      <w:pPr>
        <w:ind w:left="360"/>
        <w:rPr>
          <w:iCs/>
          <w:u w:val="single"/>
        </w:rPr>
      </w:pPr>
      <w:r w:rsidRPr="00BC48C1">
        <w:rPr>
          <w:iCs/>
          <w:u w:val="single"/>
        </w:rPr>
        <w:t xml:space="preserve">Other </w:t>
      </w:r>
      <w:r>
        <w:rPr>
          <w:iCs/>
          <w:u w:val="single"/>
        </w:rPr>
        <w:t xml:space="preserve">HD </w:t>
      </w:r>
      <w:r w:rsidRPr="00BC48C1">
        <w:rPr>
          <w:iCs/>
          <w:u w:val="single"/>
        </w:rPr>
        <w:t>Industries:</w:t>
      </w:r>
    </w:p>
    <w:p w:rsidRPr="005A0C56" w:rsidR="003F7DF5" w:rsidP="003F7DF5" w:rsidRDefault="003F7DF5" w14:paraId="43F09D67" w14:textId="35124D23">
      <w:pPr>
        <w:pStyle w:val="BodyText"/>
        <w:numPr>
          <w:ilvl w:val="0"/>
          <w:numId w:val="14"/>
        </w:numPr>
        <w:spacing w:after="0"/>
      </w:pPr>
      <w:r w:rsidRPr="005A0C56">
        <w:rPr>
          <w:u w:val="single"/>
        </w:rPr>
        <w:t>HD Secondary Vehicle Manufacturers:</w:t>
      </w:r>
      <w:r w:rsidRPr="005A0C56" w:rsidR="00A13E6E">
        <w:t xml:space="preserve"> </w:t>
      </w:r>
      <w:r w:rsidRPr="005A0C56">
        <w:t xml:space="preserve">  </w:t>
      </w:r>
    </w:p>
    <w:p w:rsidRPr="001D1E4C" w:rsidR="001D1E4C" w:rsidP="00553080" w:rsidRDefault="001D1E4C" w14:paraId="35B31805" w14:textId="5C54C438">
      <w:pPr>
        <w:pStyle w:val="BodyText"/>
        <w:numPr>
          <w:ilvl w:val="1"/>
          <w:numId w:val="14"/>
        </w:numPr>
        <w:spacing w:after="0"/>
      </w:pPr>
      <w:r>
        <w:rPr>
          <w:bCs/>
        </w:rPr>
        <w:t>Need to be aware of the proposed changes to refueling standards and the strategies that chassis manufacturers implement to meet them</w:t>
      </w:r>
    </w:p>
    <w:p w:rsidRPr="001D1E4C" w:rsidR="00553080" w:rsidP="00553080" w:rsidRDefault="001D1E4C" w14:paraId="3AE2E639" w14:textId="45FE0C7E">
      <w:pPr>
        <w:pStyle w:val="BodyText"/>
        <w:numPr>
          <w:ilvl w:val="1"/>
          <w:numId w:val="14"/>
        </w:numPr>
        <w:spacing w:after="0"/>
      </w:pPr>
      <w:r>
        <w:rPr>
          <w:bCs/>
        </w:rPr>
        <w:t>W</w:t>
      </w:r>
      <w:r w:rsidR="00553080">
        <w:rPr>
          <w:bCs/>
        </w:rPr>
        <w:t>ill need to work with original chassis manufacturers to ensure that the vehicles remain in certified configuration</w:t>
      </w:r>
    </w:p>
    <w:p w:rsidRPr="00C749A1" w:rsidR="00967BA1" w:rsidP="002B1C06" w:rsidRDefault="001D1E4C" w14:paraId="7A2CB9F5" w14:textId="21167091">
      <w:pPr>
        <w:pStyle w:val="BodyText"/>
        <w:numPr>
          <w:ilvl w:val="1"/>
          <w:numId w:val="14"/>
        </w:numPr>
        <w:spacing w:after="0"/>
      </w:pPr>
      <w:r w:rsidRPr="002B1C06">
        <w:rPr>
          <w:bCs/>
        </w:rPr>
        <w:t xml:space="preserve">This is part of their </w:t>
      </w:r>
      <w:r w:rsidRPr="002B1C06" w:rsidR="002B1C06">
        <w:rPr>
          <w:bCs/>
        </w:rPr>
        <w:t>usual business practices and not expected t</w:t>
      </w:r>
      <w:r w:rsidR="002B1C06">
        <w:rPr>
          <w:bCs/>
        </w:rPr>
        <w:t xml:space="preserve">o present difficulties </w:t>
      </w:r>
    </w:p>
    <w:p w:rsidRPr="00BC48C1" w:rsidR="005A0C56" w:rsidP="005A0C56" w:rsidRDefault="005A0C56" w14:paraId="3264F798" w14:textId="77777777">
      <w:pPr>
        <w:pStyle w:val="BodyText"/>
        <w:numPr>
          <w:ilvl w:val="1"/>
          <w:numId w:val="14"/>
        </w:numPr>
        <w:spacing w:after="0"/>
      </w:pPr>
      <w:r w:rsidRPr="00BC48C1">
        <w:rPr>
          <w:bCs/>
        </w:rPr>
        <w:t>No changes to reporting or recordkeeping requirements</w:t>
      </w:r>
    </w:p>
    <w:p w:rsidRPr="005A1C40" w:rsidR="00972323" w:rsidP="00A24722" w:rsidRDefault="00972323" w14:paraId="438BDA9A" w14:textId="77777777">
      <w:pPr>
        <w:rPr>
          <w:iCs/>
        </w:rPr>
      </w:pPr>
    </w:p>
    <w:bookmarkEnd w:id="7"/>
    <w:p w:rsidRPr="00BC48C1" w:rsidR="00D32FB6" w:rsidP="00BC48C1" w:rsidRDefault="00D32FB6" w14:paraId="6F352B7B" w14:textId="77777777">
      <w:pPr>
        <w:ind w:left="360"/>
        <w:rPr>
          <w:iCs/>
          <w:u w:val="single"/>
        </w:rPr>
      </w:pPr>
      <w:r w:rsidRPr="00BC48C1">
        <w:rPr>
          <w:iCs/>
          <w:u w:val="single"/>
        </w:rPr>
        <w:t>Other Industries:</w:t>
      </w:r>
    </w:p>
    <w:p w:rsidRPr="002B1C06" w:rsidR="003D6C59" w:rsidP="00BC48C1" w:rsidRDefault="004C37DA" w14:paraId="5729C8F8" w14:textId="19E54F2F">
      <w:pPr>
        <w:pStyle w:val="ListParagraph"/>
        <w:numPr>
          <w:ilvl w:val="0"/>
          <w:numId w:val="14"/>
        </w:numPr>
        <w:rPr>
          <w:iCs/>
        </w:rPr>
      </w:pPr>
      <w:r w:rsidRPr="002B1C06">
        <w:rPr>
          <w:iCs/>
        </w:rPr>
        <w:t>Small Nonroad Spark-Ignition Engines (Part 1054)</w:t>
      </w:r>
      <w:r w:rsidRPr="002B1C06" w:rsidR="00C26BEA">
        <w:rPr>
          <w:iCs/>
        </w:rPr>
        <w:t>:</w:t>
      </w:r>
    </w:p>
    <w:p w:rsidRPr="001E6C2C" w:rsidR="00D32FB6" w:rsidP="00BC48C1" w:rsidRDefault="0027285D" w14:paraId="348C5EA6" w14:textId="13E872B9">
      <w:pPr>
        <w:pStyle w:val="ListParagraph"/>
        <w:numPr>
          <w:ilvl w:val="1"/>
          <w:numId w:val="14"/>
        </w:numPr>
        <w:rPr>
          <w:iCs/>
        </w:rPr>
      </w:pPr>
      <w:r w:rsidRPr="0027285D">
        <w:rPr>
          <w:iCs/>
        </w:rPr>
        <w:t>Codif</w:t>
      </w:r>
      <w:r>
        <w:rPr>
          <w:iCs/>
        </w:rPr>
        <w:t xml:space="preserve">y 2020 </w:t>
      </w:r>
      <w:r w:rsidR="00222232">
        <w:rPr>
          <w:iCs/>
        </w:rPr>
        <w:t xml:space="preserve">EPA </w:t>
      </w:r>
      <w:r>
        <w:rPr>
          <w:iCs/>
        </w:rPr>
        <w:t xml:space="preserve">guidance </w:t>
      </w:r>
      <w:r w:rsidRPr="0027285D">
        <w:t>clarifying manufacturers’ testing responsibilities for the range of equipment using engines from a given emission family</w:t>
      </w:r>
      <w:r w:rsidR="001E6C2C">
        <w:t xml:space="preserve"> - </w:t>
      </w:r>
      <w:r>
        <w:t>"</w:t>
      </w:r>
      <w:r w:rsidRPr="00BA6380">
        <w:t>Small Spark-Ignition Nonhandheld Engine Test Cycle Selection</w:t>
      </w:r>
      <w:r>
        <w:t>," EPA guidance document CD-2020-06, May 11, 2020</w:t>
      </w:r>
    </w:p>
    <w:p w:rsidRPr="001E6C2C" w:rsidR="001E6C2C" w:rsidP="00BC48C1" w:rsidRDefault="001E6C2C" w14:paraId="2C99D3AD" w14:textId="49BDE449">
      <w:pPr>
        <w:pStyle w:val="ListParagraph"/>
        <w:numPr>
          <w:ilvl w:val="1"/>
          <w:numId w:val="14"/>
        </w:numPr>
        <w:rPr>
          <w:iCs/>
        </w:rPr>
      </w:pPr>
      <w:r w:rsidRPr="001E6C2C">
        <w:rPr>
          <w:iCs/>
        </w:rPr>
        <w:t>L</w:t>
      </w:r>
      <w:r w:rsidRPr="001E6C2C">
        <w:t>imit the applicability of the A cycle to engines with governed speed at full load that is at or above 2700 rpm, and limit the applicability of the B cycle to engines with governed speed at full load that is at or below 4000 rpm</w:t>
      </w:r>
    </w:p>
    <w:p w:rsidRPr="00A17ECC" w:rsidR="001E6C2C" w:rsidP="00BC48C1" w:rsidRDefault="00073080" w14:paraId="14EBA541" w14:textId="0F5135DD">
      <w:pPr>
        <w:pStyle w:val="ListParagraph"/>
        <w:numPr>
          <w:ilvl w:val="1"/>
          <w:numId w:val="14"/>
        </w:numPr>
        <w:rPr>
          <w:iCs/>
        </w:rPr>
      </w:pPr>
      <w:r w:rsidRPr="00073080">
        <w:rPr>
          <w:iCs/>
        </w:rPr>
        <w:t>Steady-State Duty Cycles -</w:t>
      </w:r>
      <w:r>
        <w:rPr>
          <w:iCs/>
          <w:u w:val="single"/>
        </w:rPr>
        <w:t xml:space="preserve"> </w:t>
      </w:r>
      <w:r w:rsidRPr="00A17ECC">
        <w:t xml:space="preserve">for many years, we have approved a modified five-mode duty cycle for </w:t>
      </w:r>
      <w:proofErr w:type="spellStart"/>
      <w:r w:rsidRPr="00A17ECC" w:rsidR="00A17ECC">
        <w:t>nonhandheld</w:t>
      </w:r>
      <w:proofErr w:type="spellEnd"/>
      <w:r w:rsidRPr="00A17ECC" w:rsidR="00A17ECC">
        <w:t xml:space="preserve"> engines</w:t>
      </w:r>
      <w:r w:rsidRPr="00A17ECC">
        <w:t xml:space="preserve"> by removing the idle mode and reweighting the remaining five modes.</w:t>
      </w:r>
      <w:r w:rsidR="00A17ECC">
        <w:t xml:space="preserve"> proposing to adopt that same alternative duty cycle into the regulation and require its use for all engines that are not designed to idle</w:t>
      </w:r>
    </w:p>
    <w:p w:rsidRPr="007A2FD9" w:rsidR="00A17ECC" w:rsidP="00BC48C1" w:rsidRDefault="00A17ECC" w14:paraId="6431FF8E" w14:textId="192988F1">
      <w:pPr>
        <w:pStyle w:val="ListParagraph"/>
        <w:numPr>
          <w:ilvl w:val="2"/>
          <w:numId w:val="14"/>
        </w:numPr>
        <w:rPr>
          <w:iCs/>
          <w:u w:val="single"/>
        </w:rPr>
      </w:pPr>
      <w:r>
        <w:t>Proposing to remove the ramped-modal test option for the six-mode duty cycle as it’s never been used</w:t>
      </w:r>
    </w:p>
    <w:p w:rsidR="003D0FFA" w:rsidP="00BC48C1" w:rsidRDefault="003D0FFA" w14:paraId="5754C724" w14:textId="4AAD88F1">
      <w:pPr>
        <w:pStyle w:val="ListParagraph"/>
        <w:numPr>
          <w:ilvl w:val="1"/>
          <w:numId w:val="14"/>
        </w:numPr>
        <w:rPr>
          <w:iCs/>
        </w:rPr>
      </w:pPr>
      <w:r w:rsidRPr="003D0FFA">
        <w:rPr>
          <w:iCs/>
        </w:rPr>
        <w:t>Miscellaneous clarifications</w:t>
      </w:r>
    </w:p>
    <w:p w:rsidRPr="00ED6B62" w:rsidR="008E6634" w:rsidP="00BC48C1" w:rsidRDefault="008E6634" w14:paraId="22939AD3" w14:textId="4ED8E745">
      <w:pPr>
        <w:pStyle w:val="ListParagraph"/>
        <w:numPr>
          <w:ilvl w:val="0"/>
          <w:numId w:val="14"/>
        </w:numPr>
        <w:rPr>
          <w:iCs/>
        </w:rPr>
      </w:pPr>
      <w:r w:rsidRPr="00ED6B62">
        <w:rPr>
          <w:iCs/>
        </w:rPr>
        <w:t>Recreational Vehicles and Nonroad Evaporative Emissions (40 CFR Parts 1051 and 1060)</w:t>
      </w:r>
      <w:r w:rsidRPr="00ED6B62" w:rsidR="00AA01C8">
        <w:rPr>
          <w:iCs/>
        </w:rPr>
        <w:t xml:space="preserve"> - </w:t>
      </w:r>
      <w:r w:rsidRPr="00ED6B62">
        <w:rPr>
          <w:iCs/>
        </w:rPr>
        <w:t>Miscellaneous clarifications</w:t>
      </w:r>
      <w:r w:rsidRPr="00ED6B62" w:rsidR="000D6F1B">
        <w:rPr>
          <w:iCs/>
        </w:rPr>
        <w:t xml:space="preserve"> and removal of obsolete references</w:t>
      </w:r>
      <w:r w:rsidRPr="00ED6B62" w:rsidR="00C05B85">
        <w:rPr>
          <w:iCs/>
        </w:rPr>
        <w:t xml:space="preserve"> to NOx emission standards</w:t>
      </w:r>
    </w:p>
    <w:p w:rsidRPr="00ED6B62" w:rsidR="00F93314" w:rsidP="00BC48C1" w:rsidRDefault="009518C2" w14:paraId="442170FE" w14:textId="67835829">
      <w:pPr>
        <w:pStyle w:val="ListParagraph"/>
        <w:numPr>
          <w:ilvl w:val="0"/>
          <w:numId w:val="14"/>
        </w:numPr>
        <w:rPr>
          <w:iCs/>
        </w:rPr>
      </w:pPr>
      <w:r w:rsidRPr="00ED6B62">
        <w:rPr>
          <w:iCs/>
        </w:rPr>
        <w:t>Light-duty</w:t>
      </w:r>
      <w:r w:rsidRPr="00ED6B62" w:rsidR="00C86A70">
        <w:rPr>
          <w:iCs/>
        </w:rPr>
        <w:t xml:space="preserve"> motor vehicles (</w:t>
      </w:r>
      <w:r w:rsidRPr="00ED6B62" w:rsidR="00C86A70">
        <w:t>Parts 85, 86, and 600)</w:t>
      </w:r>
      <w:r w:rsidRPr="00ED6B62">
        <w:rPr>
          <w:iCs/>
        </w:rPr>
        <w:t xml:space="preserve">:  </w:t>
      </w:r>
    </w:p>
    <w:p w:rsidRPr="00ED6B62" w:rsidR="00C96A85" w:rsidP="00BC48C1" w:rsidRDefault="00760169" w14:paraId="37F8C704" w14:textId="4A8D27FD">
      <w:pPr>
        <w:pStyle w:val="ListParagraph"/>
        <w:numPr>
          <w:ilvl w:val="1"/>
          <w:numId w:val="14"/>
        </w:numPr>
        <w:rPr>
          <w:iCs/>
        </w:rPr>
      </w:pPr>
      <w:r w:rsidRPr="00ED6B62">
        <w:rPr>
          <w:iCs/>
        </w:rPr>
        <w:t>U</w:t>
      </w:r>
      <w:r w:rsidRPr="00ED6B62" w:rsidR="00970DA6">
        <w:rPr>
          <w:iCs/>
        </w:rPr>
        <w:t xml:space="preserve">pdate the SAE J1634 standard referenced in </w:t>
      </w:r>
      <w:r w:rsidRPr="00ED6B62" w:rsidR="00C96A85">
        <w:rPr>
          <w:iCs/>
        </w:rPr>
        <w:t>P</w:t>
      </w:r>
      <w:r w:rsidRPr="00ED6B62" w:rsidR="00970DA6">
        <w:rPr>
          <w:iCs/>
        </w:rPr>
        <w:t>art 600 from the 2012 version to the 2017 version</w:t>
      </w:r>
      <w:r w:rsidRPr="00ED6B62" w:rsidR="00C96A85">
        <w:rPr>
          <w:iCs/>
        </w:rPr>
        <w:t>.</w:t>
      </w:r>
    </w:p>
    <w:p w:rsidRPr="00ED6B62" w:rsidR="00C96A85" w:rsidP="00C96A85" w:rsidRDefault="00C96A85" w14:paraId="122A94EF" w14:textId="77777777">
      <w:pPr>
        <w:pStyle w:val="ListParagraph"/>
        <w:numPr>
          <w:ilvl w:val="2"/>
          <w:numId w:val="14"/>
        </w:numPr>
        <w:rPr>
          <w:iCs/>
        </w:rPr>
      </w:pPr>
      <w:r w:rsidRPr="00ED6B62">
        <w:t>W</w:t>
      </w:r>
      <w:r w:rsidRPr="00ED6B62" w:rsidR="003C4973">
        <w:t xml:space="preserve">ill require manufacturers to use 65 mph for the constant speed cycles of the MCT. </w:t>
      </w:r>
    </w:p>
    <w:p w:rsidRPr="00ED6B62" w:rsidR="009518C2" w:rsidP="00C96A85" w:rsidRDefault="00BE36A4" w14:paraId="50270068" w14:textId="5A4F15EC">
      <w:pPr>
        <w:pStyle w:val="ListParagraph"/>
        <w:numPr>
          <w:ilvl w:val="2"/>
          <w:numId w:val="14"/>
        </w:numPr>
        <w:rPr>
          <w:iCs/>
        </w:rPr>
      </w:pPr>
      <w:r w:rsidRPr="00ED6B62">
        <w:t>A</w:t>
      </w:r>
      <w:r w:rsidRPr="00ED6B62" w:rsidR="003C4973">
        <w:t>llow</w:t>
      </w:r>
      <w:r w:rsidRPr="00ED6B62">
        <w:t xml:space="preserve">s </w:t>
      </w:r>
      <w:r w:rsidRPr="00ED6B62" w:rsidR="003C4973">
        <w:t>manufacturers to use the BEV 5-cycle adjustment factor methodology outlined in Appendices B and C of the 2017 version of SAE J1634</w:t>
      </w:r>
    </w:p>
    <w:p w:rsidRPr="002026BE" w:rsidR="002A103A" w:rsidP="00BC48C1" w:rsidRDefault="00F73030" w14:paraId="0EA47FA9" w14:textId="2BBFD2F9">
      <w:pPr>
        <w:pStyle w:val="ListParagraph"/>
        <w:numPr>
          <w:ilvl w:val="2"/>
          <w:numId w:val="14"/>
        </w:numPr>
        <w:rPr>
          <w:iCs/>
        </w:rPr>
      </w:pPr>
      <w:r w:rsidRPr="002026BE">
        <w:t>A</w:t>
      </w:r>
      <w:r w:rsidRPr="002026BE" w:rsidR="002A103A">
        <w:t xml:space="preserve">dditional changes to the procedures outlined in the 2017 version of SAE J1634 </w:t>
      </w:r>
      <w:r w:rsidRPr="002026BE" w:rsidR="00663B11">
        <w:t xml:space="preserve">such as </w:t>
      </w:r>
      <w:r w:rsidRPr="002026BE" w:rsidR="00536134">
        <w:t xml:space="preserve">specifying a maximum constant speed phase time of 1 hour with a minimum 5-minute soak following each one-hour constant speed phase </w:t>
      </w:r>
    </w:p>
    <w:p w:rsidRPr="002026BE" w:rsidR="00970DA6" w:rsidP="00BC48C1" w:rsidRDefault="00760169" w14:paraId="12896B2D" w14:textId="1B47E4CC">
      <w:pPr>
        <w:pStyle w:val="ListParagraph"/>
        <w:numPr>
          <w:ilvl w:val="1"/>
          <w:numId w:val="14"/>
        </w:numPr>
        <w:rPr>
          <w:iCs/>
        </w:rPr>
      </w:pPr>
      <w:r w:rsidRPr="002026BE">
        <w:t>Requirement</w:t>
      </w:r>
      <w:r w:rsidRPr="002026BE" w:rsidR="00FE704B">
        <w:t xml:space="preserve"> to attest that the vehicle was not preconditioned or connected to an external power source during the 20°F cold soak period</w:t>
      </w:r>
    </w:p>
    <w:p w:rsidRPr="002026BE" w:rsidR="00FE704B" w:rsidP="00BC48C1" w:rsidRDefault="0018355A" w14:paraId="495426A1" w14:textId="67941824">
      <w:pPr>
        <w:pStyle w:val="ListParagraph"/>
        <w:numPr>
          <w:ilvl w:val="1"/>
          <w:numId w:val="14"/>
        </w:numPr>
        <w:rPr>
          <w:iCs/>
        </w:rPr>
      </w:pPr>
      <w:r w:rsidRPr="002026BE">
        <w:t xml:space="preserve">Beginning with model year 2024, </w:t>
      </w:r>
      <w:r w:rsidRPr="002026BE" w:rsidR="00E2445B">
        <w:t>that</w:t>
      </w:r>
      <w:r w:rsidRPr="002026BE">
        <w:t xml:space="preserve"> manufacturers be allowed to perform only two UDDS cycles when running the CTTP, with a 10-minute key-off soak between the UDDS cycles to generate their BEV 5-cycle adjustment factor</w:t>
      </w:r>
    </w:p>
    <w:p w:rsidRPr="002026BE" w:rsidR="0018355A" w:rsidP="00BC48C1" w:rsidRDefault="00853BDE" w14:paraId="2B9BD182" w14:textId="4A502C34">
      <w:pPr>
        <w:pStyle w:val="ListParagraph"/>
        <w:numPr>
          <w:ilvl w:val="1"/>
          <w:numId w:val="14"/>
        </w:numPr>
        <w:rPr>
          <w:iCs/>
        </w:rPr>
      </w:pPr>
      <w:r w:rsidRPr="002026BE">
        <w:t>For</w:t>
      </w:r>
      <w:r w:rsidRPr="002026BE" w:rsidR="00871E03">
        <w:t xml:space="preserve"> LD</w:t>
      </w:r>
      <w:r w:rsidRPr="002026BE">
        <w:t xml:space="preserve"> Electric Vehicle Testing: </w:t>
      </w:r>
      <w:r w:rsidRPr="002026BE" w:rsidR="00BC7638">
        <w:t>proposing to update from the 2012 to the 2017 version of SAE J1634 and proposing to include regulatory provisions that amend or clarify the BEV test procedures outlined in the 2017 version.</w:t>
      </w:r>
    </w:p>
    <w:p w:rsidRPr="008D2CD4" w:rsidR="005A149D" w:rsidP="00BC48C1" w:rsidRDefault="005A149D" w14:paraId="7EDF2125" w14:textId="3CCFF7E5">
      <w:pPr>
        <w:pStyle w:val="ListParagraph"/>
        <w:numPr>
          <w:ilvl w:val="1"/>
          <w:numId w:val="14"/>
        </w:numPr>
        <w:rPr>
          <w:iCs/>
        </w:rPr>
      </w:pPr>
      <w:r w:rsidRPr="002026BE">
        <w:t xml:space="preserve">Correct the warranty periods identified in </w:t>
      </w:r>
      <w:r w:rsidR="006E2CF9">
        <w:t>Part 85, subpart V</w:t>
      </w:r>
      <w:r w:rsidRPr="002026BE" w:rsidR="006E2CF9">
        <w:t xml:space="preserve"> </w:t>
      </w:r>
      <w:r w:rsidRPr="002026BE">
        <w:t>to align with the C</w:t>
      </w:r>
      <w:r w:rsidRPr="002026BE" w:rsidR="004418D4">
        <w:t>AA</w:t>
      </w:r>
    </w:p>
    <w:p w:rsidRPr="002026BE" w:rsidR="008D2CD4" w:rsidP="00BC48C1" w:rsidRDefault="008D2CD4" w14:paraId="0DD7DAF9" w14:textId="4D6F8006">
      <w:pPr>
        <w:pStyle w:val="ListParagraph"/>
        <w:numPr>
          <w:ilvl w:val="1"/>
          <w:numId w:val="14"/>
        </w:numPr>
        <w:rPr>
          <w:iCs/>
        </w:rPr>
      </w:pPr>
      <w:r>
        <w:lastRenderedPageBreak/>
        <w:t xml:space="preserve">Revising </w:t>
      </w:r>
      <w:r w:rsidR="00BB04F7">
        <w:t>the equation</w:t>
      </w:r>
      <w:r w:rsidR="00C030A3">
        <w:t xml:space="preserve"> in</w:t>
      </w:r>
      <w:r w:rsidR="00BB04F7">
        <w:t xml:space="preserve"> </w:t>
      </w:r>
      <w:r>
        <w:t xml:space="preserve">Section 86.117-96(d)(1) </w:t>
      </w:r>
      <w:r w:rsidR="00C030A3">
        <w:t xml:space="preserve">used to calculate evaporative emissions from methanol-fueled vehicles </w:t>
      </w:r>
      <w:r w:rsidR="00370367">
        <w:t>to properly represent the fuel-specific calculations</w:t>
      </w:r>
      <w:r w:rsidR="005B43E9">
        <w:t xml:space="preserve"> and </w:t>
      </w:r>
      <w:r w:rsidR="00370367">
        <w:t>includes temperature correction for the sample volume based on the sample and SHED temperatures</w:t>
      </w:r>
    </w:p>
    <w:p w:rsidR="00707CC9" w:rsidP="001E10DF" w:rsidRDefault="001E10DF" w14:paraId="2E3199D8" w14:textId="1165CE48">
      <w:pPr>
        <w:pStyle w:val="ListParagraph"/>
        <w:numPr>
          <w:ilvl w:val="1"/>
          <w:numId w:val="14"/>
        </w:numPr>
      </w:pPr>
      <w:r w:rsidRPr="001E10DF">
        <w:t>Clarif</w:t>
      </w:r>
      <w:r>
        <w:t>ying</w:t>
      </w:r>
      <w:r w:rsidRPr="001E10DF">
        <w:t xml:space="preserve"> certification responsibilities </w:t>
      </w:r>
      <w:r w:rsidR="00745E26">
        <w:t>so that</w:t>
      </w:r>
      <w:r w:rsidR="006E2CF9">
        <w:t xml:space="preserve"> </w:t>
      </w:r>
      <w:r w:rsidRPr="001E10DF">
        <w:t xml:space="preserve">small-volume LD manufacturers that modify a vehicle already certified by a different company and recertify the modified vehicle to the standards that apply for a new vehicle under </w:t>
      </w:r>
      <w:r w:rsidR="00745E26">
        <w:t>P</w:t>
      </w:r>
      <w:r w:rsidRPr="001E10DF">
        <w:t>art 86, subpart S</w:t>
      </w:r>
      <w:r w:rsidR="00707CC9">
        <w:t xml:space="preserve"> </w:t>
      </w:r>
      <w:proofErr w:type="gramStart"/>
      <w:r w:rsidRPr="001E10DF">
        <w:t>not be</w:t>
      </w:r>
      <w:proofErr w:type="gramEnd"/>
      <w:r w:rsidRPr="001E10DF">
        <w:t xml:space="preserve"> required to repeat those fleet-average calculations for the affected vehicles. </w:t>
      </w:r>
    </w:p>
    <w:p w:rsidR="00707CC9" w:rsidP="00707CC9" w:rsidRDefault="00707CC9" w14:paraId="5DF272B2" w14:textId="3926FEE4">
      <w:pPr>
        <w:pStyle w:val="ListParagraph"/>
        <w:numPr>
          <w:ilvl w:val="2"/>
          <w:numId w:val="14"/>
        </w:numPr>
      </w:pPr>
      <w:r>
        <w:t>A</w:t>
      </w:r>
      <w:r w:rsidRPr="001E10DF" w:rsidR="001E10DF">
        <w:t xml:space="preserve">pplies to fleet average standards for criteria exhaust emissions, evaporative emissions, and greenhouse gas emissions </w:t>
      </w:r>
    </w:p>
    <w:p w:rsidRPr="001E10DF" w:rsidR="001E10DF" w:rsidP="00707CC9" w:rsidRDefault="001E10DF" w14:paraId="5EDBFCEC" w14:textId="6C7BA193">
      <w:pPr>
        <w:pStyle w:val="ListParagraph"/>
        <w:numPr>
          <w:ilvl w:val="2"/>
          <w:numId w:val="14"/>
        </w:numPr>
      </w:pPr>
      <w:r w:rsidRPr="001E10DF">
        <w:t xml:space="preserve">The secondary vehicle manufacturer would need to meet all the same bin standards and family emission limits as specified by the original certifying manufacturer. </w:t>
      </w:r>
    </w:p>
    <w:p w:rsidRPr="00032CAD" w:rsidR="00950E38" w:rsidP="00BC48C1" w:rsidRDefault="00950E38" w14:paraId="4411736F" w14:textId="0A1EA92E">
      <w:pPr>
        <w:pStyle w:val="ListParagraph"/>
        <w:numPr>
          <w:ilvl w:val="1"/>
          <w:numId w:val="14"/>
        </w:numPr>
        <w:rPr>
          <w:iCs/>
        </w:rPr>
      </w:pPr>
      <w:r w:rsidRPr="00032CAD">
        <w:t>Clarify that the definition of “engine code”</w:t>
      </w:r>
    </w:p>
    <w:p w:rsidRPr="00032CAD" w:rsidR="00B71CDA" w:rsidP="00BC48C1" w:rsidRDefault="00B71CDA" w14:paraId="483C544F" w14:textId="35240705">
      <w:pPr>
        <w:pStyle w:val="ListParagraph"/>
        <w:numPr>
          <w:ilvl w:val="1"/>
          <w:numId w:val="14"/>
        </w:numPr>
        <w:rPr>
          <w:iCs/>
        </w:rPr>
      </w:pPr>
      <w:r w:rsidRPr="00032CAD">
        <w:t xml:space="preserve">Section 86.1843-01(f)(2): Delay the end-of-year </w:t>
      </w:r>
      <w:r w:rsidRPr="00032CAD" w:rsidR="00032CAD">
        <w:t xml:space="preserve">certification application updates </w:t>
      </w:r>
      <w:r w:rsidRPr="00032CAD">
        <w:t xml:space="preserve">deadline </w:t>
      </w:r>
      <w:r w:rsidR="00F65BB7">
        <w:t>until</w:t>
      </w:r>
      <w:r w:rsidRPr="00032CAD">
        <w:t xml:space="preserve"> May 1 following the end of the model year.</w:t>
      </w:r>
    </w:p>
    <w:p w:rsidRPr="00BD2B70" w:rsidR="009F66D8" w:rsidP="00BC48C1" w:rsidRDefault="003F37A9" w14:paraId="7A70ED9D" w14:textId="034F867F">
      <w:pPr>
        <w:pStyle w:val="ListParagraph"/>
        <w:numPr>
          <w:ilvl w:val="1"/>
          <w:numId w:val="14"/>
        </w:numPr>
        <w:rPr>
          <w:iCs/>
        </w:rPr>
      </w:pPr>
      <w:r w:rsidRPr="00BD2B70">
        <w:t>A</w:t>
      </w:r>
      <w:r w:rsidRPr="00BD2B70" w:rsidR="009F66D8">
        <w:t>mendments related to greenhouse gas emissions and fuel economy testing</w:t>
      </w:r>
    </w:p>
    <w:p w:rsidRPr="00BD2B70" w:rsidR="00F65BB7" w:rsidP="00F65BB7" w:rsidRDefault="00F65BB7" w14:paraId="46C1EE0E" w14:textId="77777777">
      <w:pPr>
        <w:pStyle w:val="ListParagraph"/>
        <w:numPr>
          <w:ilvl w:val="2"/>
          <w:numId w:val="14"/>
        </w:numPr>
        <w:rPr>
          <w:iCs/>
        </w:rPr>
      </w:pPr>
      <w:r w:rsidRPr="00BD2B70">
        <w:t>Migration of test procedures to Part 1066</w:t>
      </w:r>
    </w:p>
    <w:p w:rsidRPr="00BD2B70" w:rsidR="009F66D8" w:rsidP="00BC48C1" w:rsidRDefault="00817ACD" w14:paraId="4719D1E0" w14:textId="0344B451">
      <w:pPr>
        <w:pStyle w:val="ListParagraph"/>
        <w:numPr>
          <w:ilvl w:val="2"/>
          <w:numId w:val="14"/>
        </w:numPr>
        <w:rPr>
          <w:iCs/>
        </w:rPr>
      </w:pPr>
      <w:r w:rsidRPr="00BD2B70">
        <w:t>Section 86.1823:</w:t>
      </w:r>
      <w:r w:rsidRPr="00BD2B70" w:rsidR="00825196">
        <w:t xml:space="preserve"> R</w:t>
      </w:r>
      <w:r w:rsidRPr="00BD2B70" w:rsidR="00DC2977">
        <w:t>evise paragraph (m)(1) to reflect current business practices with respect to CO</w:t>
      </w:r>
      <w:r w:rsidRPr="00BD2B70" w:rsidR="00DC2977">
        <w:rPr>
          <w:rStyle w:val="Subscript"/>
        </w:rPr>
        <w:t>2</w:t>
      </w:r>
      <w:r w:rsidRPr="00BD2B70" w:rsidR="00DC2977">
        <w:t xml:space="preserve"> durability requirements</w:t>
      </w:r>
    </w:p>
    <w:p w:rsidRPr="00BD2B70" w:rsidR="00817ACD" w:rsidP="00BC48C1" w:rsidRDefault="00253AA9" w14:paraId="1D32E2F4" w14:textId="224EAEA9">
      <w:pPr>
        <w:pStyle w:val="ListParagraph"/>
        <w:numPr>
          <w:ilvl w:val="2"/>
          <w:numId w:val="14"/>
        </w:numPr>
        <w:rPr>
          <w:iCs/>
        </w:rPr>
      </w:pPr>
      <w:r w:rsidRPr="00BD2B70">
        <w:t>Section 600.002: Revi</w:t>
      </w:r>
      <w:r w:rsidRPr="00BD2B70" w:rsidR="00F65BB7">
        <w:t>se</w:t>
      </w:r>
      <w:r w:rsidRPr="00BD2B70">
        <w:t xml:space="preserve"> the definition of “engine code” to refer to a “test group” instead of an “engine-system combination”.</w:t>
      </w:r>
    </w:p>
    <w:p w:rsidRPr="00BD2B70" w:rsidR="00D229CE" w:rsidP="00BC48C1" w:rsidRDefault="00F65BB7" w14:paraId="78B1EA45" w14:textId="4BFBFD5C">
      <w:pPr>
        <w:pStyle w:val="ListParagraph"/>
        <w:numPr>
          <w:ilvl w:val="2"/>
          <w:numId w:val="14"/>
        </w:numPr>
        <w:rPr>
          <w:iCs/>
        </w:rPr>
      </w:pPr>
      <w:r w:rsidRPr="00BD2B70">
        <w:t xml:space="preserve">Codify </w:t>
      </w:r>
      <w:r w:rsidRPr="00BD2B70" w:rsidR="00BD2B70">
        <w:t xml:space="preserve">a 2015 </w:t>
      </w:r>
      <w:r w:rsidRPr="00BD2B70" w:rsidR="002424D5">
        <w:t>guidance for the fuel economy program to reflect technology trends.</w:t>
      </w:r>
      <w:r w:rsidRPr="00BD2B70" w:rsidR="002424D5">
        <w:rPr>
          <w:rStyle w:val="FootnoteReference"/>
        </w:rPr>
        <w:footnoteReference w:id="7"/>
      </w:r>
      <w:r w:rsidRPr="00BD2B70" w:rsidR="002424D5">
        <w:t xml:space="preserve"> </w:t>
      </w:r>
    </w:p>
    <w:p w:rsidRPr="00B255CC" w:rsidR="00B255CC" w:rsidP="00BC48C1" w:rsidRDefault="00B255CC" w14:paraId="5565B1E9" w14:textId="77777777">
      <w:pPr>
        <w:pStyle w:val="ListParagraph"/>
        <w:numPr>
          <w:ilvl w:val="2"/>
          <w:numId w:val="14"/>
        </w:numPr>
        <w:rPr>
          <w:iCs/>
        </w:rPr>
      </w:pPr>
      <w:r w:rsidRPr="00B255CC">
        <w:rPr>
          <w:iCs/>
        </w:rPr>
        <w:t xml:space="preserve">Section 600.512-12: Delaying the deadline for the model year report from the end of March to May 1. The proposal aligns the deadline provisions with the proposed amendment for end-of-year reporting as described in 40 CFR 86.1843-01(f)(2).  </w:t>
      </w:r>
    </w:p>
    <w:p w:rsidRPr="00CD0258" w:rsidR="00CD0258" w:rsidP="00BD2B70" w:rsidRDefault="00CD0258" w14:paraId="535EB2F2" w14:textId="56C281C7">
      <w:pPr>
        <w:pStyle w:val="ListParagraph"/>
        <w:numPr>
          <w:ilvl w:val="0"/>
          <w:numId w:val="14"/>
        </w:numPr>
        <w:rPr>
          <w:iCs/>
        </w:rPr>
      </w:pPr>
      <w:r w:rsidRPr="00425345">
        <w:rPr>
          <w:iCs/>
          <w:u w:val="single"/>
        </w:rPr>
        <w:t>Large Nonroad Spark-Ignition Engines</w:t>
      </w:r>
      <w:r w:rsidRPr="00CD0258">
        <w:rPr>
          <w:iCs/>
        </w:rPr>
        <w:t xml:space="preserve"> (Part 1048)</w:t>
      </w:r>
      <w:r>
        <w:rPr>
          <w:iCs/>
        </w:rPr>
        <w:t xml:space="preserve"> – correct mistaken reference to duty cycles and </w:t>
      </w:r>
      <w:r w:rsidR="00046C4D">
        <w:rPr>
          <w:iCs/>
        </w:rPr>
        <w:t>remove obsolete references</w:t>
      </w:r>
    </w:p>
    <w:p w:rsidR="0049565F" w:rsidP="00BC48C1" w:rsidRDefault="0049565F" w14:paraId="7A2EC086" w14:textId="76706030">
      <w:pPr>
        <w:pStyle w:val="ListParagraph"/>
        <w:numPr>
          <w:ilvl w:val="0"/>
          <w:numId w:val="14"/>
        </w:numPr>
        <w:rPr>
          <w:iCs/>
        </w:rPr>
      </w:pPr>
      <w:r>
        <w:rPr>
          <w:iCs/>
        </w:rPr>
        <w:t xml:space="preserve">All </w:t>
      </w:r>
      <w:r w:rsidR="00F4131F">
        <w:rPr>
          <w:iCs/>
        </w:rPr>
        <w:t xml:space="preserve">Industries to which Part 1065 applies - </w:t>
      </w:r>
      <w:r w:rsidRPr="00F4131F" w:rsidR="00F4131F">
        <w:rPr>
          <w:iCs/>
        </w:rPr>
        <w:t xml:space="preserve">proposed update to 1065.510(b)(5)(ii) would require manufacturers to disable any electronic controls that they report to EPA as an auxiliary emission control device (AECD) that would impact peak torque during the engine mapping procedure </w:t>
      </w:r>
    </w:p>
    <w:p w:rsidR="00CD4DA0" w:rsidP="00BC48C1" w:rsidRDefault="0084089C" w14:paraId="1D210B05" w14:textId="0505DC6D">
      <w:pPr>
        <w:pStyle w:val="ListParagraph"/>
        <w:numPr>
          <w:ilvl w:val="0"/>
          <w:numId w:val="14"/>
        </w:numPr>
        <w:rPr>
          <w:bCs/>
        </w:rPr>
      </w:pPr>
      <w:r>
        <w:rPr>
          <w:iCs/>
        </w:rPr>
        <w:t xml:space="preserve">All Industries to which Part 1068 applies - </w:t>
      </w:r>
      <w:r w:rsidR="00CD4DA0">
        <w:rPr>
          <w:bCs/>
        </w:rPr>
        <w:t xml:space="preserve">detailed description of various elements of design, including: </w:t>
      </w:r>
    </w:p>
    <w:p w:rsidR="00CD4DA0" w:rsidP="00BC48C1" w:rsidRDefault="00CD4DA0" w14:paraId="17B08D58" w14:textId="3A309F98">
      <w:pPr>
        <w:pStyle w:val="ListParagraph"/>
        <w:numPr>
          <w:ilvl w:val="1"/>
          <w:numId w:val="14"/>
        </w:numPr>
        <w:rPr>
          <w:bCs/>
        </w:rPr>
      </w:pPr>
      <w:r>
        <w:rPr>
          <w:bCs/>
        </w:rPr>
        <w:t>Auxiliary Emission Control Devices (AECDs)</w:t>
      </w:r>
      <w:r w:rsidR="006A1744">
        <w:rPr>
          <w:bCs/>
        </w:rPr>
        <w:t xml:space="preserve"> - t</w:t>
      </w:r>
      <w:r>
        <w:rPr>
          <w:bCs/>
        </w:rPr>
        <w:t>he proposed</w:t>
      </w:r>
      <w:r w:rsidR="006A1744">
        <w:rPr>
          <w:bCs/>
        </w:rPr>
        <w:t xml:space="preserve"> requirements for improvement </w:t>
      </w:r>
      <w:r w:rsidR="00D24CBA">
        <w:rPr>
          <w:bCs/>
        </w:rPr>
        <w:t xml:space="preserve">are </w:t>
      </w:r>
      <w:r>
        <w:rPr>
          <w:bCs/>
        </w:rPr>
        <w:t xml:space="preserve">consistent with </w:t>
      </w:r>
      <w:r w:rsidR="00D24CBA">
        <w:rPr>
          <w:bCs/>
        </w:rPr>
        <w:t xml:space="preserve">a 2004 </w:t>
      </w:r>
      <w:r>
        <w:rPr>
          <w:bCs/>
        </w:rPr>
        <w:t>EPA guidanc</w:t>
      </w:r>
      <w:r w:rsidR="00D24CBA">
        <w:rPr>
          <w:bCs/>
        </w:rPr>
        <w:t>e</w:t>
      </w:r>
      <w:r w:rsidR="002C4D02">
        <w:rPr>
          <w:bCs/>
        </w:rPr>
        <w:t xml:space="preserve"> document</w:t>
      </w:r>
      <w:r w:rsidR="00A66E48">
        <w:rPr>
          <w:rStyle w:val="FootnoteReference"/>
          <w:bCs/>
        </w:rPr>
        <w:footnoteReference w:id="8"/>
      </w:r>
      <w:r>
        <w:rPr>
          <w:bCs/>
        </w:rPr>
        <w:t xml:space="preserve"> </w:t>
      </w:r>
      <w:r w:rsidR="00B811BA">
        <w:rPr>
          <w:bCs/>
        </w:rPr>
        <w:t xml:space="preserve">that </w:t>
      </w:r>
      <w:r w:rsidR="002C4D02">
        <w:rPr>
          <w:bCs/>
        </w:rPr>
        <w:t>i</w:t>
      </w:r>
      <w:r w:rsidR="00B811BA">
        <w:rPr>
          <w:bCs/>
        </w:rPr>
        <w:t xml:space="preserve">s widely </w:t>
      </w:r>
      <w:r w:rsidR="002C4D02">
        <w:rPr>
          <w:bCs/>
        </w:rPr>
        <w:t xml:space="preserve">accepted across industries as </w:t>
      </w:r>
      <w:r w:rsidR="00AB7F8C">
        <w:rPr>
          <w:bCs/>
        </w:rPr>
        <w:t>the standard</w:t>
      </w:r>
      <w:r w:rsidR="002C4D02">
        <w:rPr>
          <w:bCs/>
        </w:rPr>
        <w:t xml:space="preserve"> for AECD descriptions </w:t>
      </w:r>
    </w:p>
    <w:p w:rsidRPr="003D6533" w:rsidR="00B459CB" w:rsidP="00BC48C1" w:rsidRDefault="00CD4DA0" w14:paraId="44572108" w14:textId="32DFC859">
      <w:pPr>
        <w:pStyle w:val="ListParagraph"/>
        <w:numPr>
          <w:ilvl w:val="1"/>
          <w:numId w:val="14"/>
        </w:numPr>
        <w:rPr>
          <w:bCs/>
        </w:rPr>
      </w:pPr>
      <w:r>
        <w:rPr>
          <w:bCs/>
        </w:rPr>
        <w:t xml:space="preserve">Adjustable parameters, including </w:t>
      </w:r>
      <w:r>
        <w:t xml:space="preserve">electronically controlled parameters [1036.205(s), 1068.50(d)(2)] </w:t>
      </w:r>
    </w:p>
    <w:p w:rsidR="003D6C59" w:rsidP="001F67AD" w:rsidRDefault="003D6C59" w14:paraId="68D68669" w14:textId="08EF46AF">
      <w:pPr>
        <w:pStyle w:val="Style6"/>
        <w:jc w:val="left"/>
        <w:rPr>
          <w:i/>
          <w:szCs w:val="20"/>
        </w:rPr>
      </w:pPr>
    </w:p>
    <w:p w:rsidR="003D6C59" w:rsidP="001F67AD" w:rsidRDefault="003D6C59" w14:paraId="5E776790" w14:textId="77777777">
      <w:pPr>
        <w:pStyle w:val="Style6"/>
        <w:jc w:val="left"/>
        <w:rPr>
          <w:i/>
          <w:szCs w:val="20"/>
        </w:rPr>
      </w:pPr>
    </w:p>
    <w:p w:rsidRPr="00506C6C" w:rsidR="00B459CB" w:rsidP="001F67AD" w:rsidRDefault="00F612E1" w14:paraId="3323F91E" w14:textId="320A5800">
      <w:pPr>
        <w:numPr>
          <w:ilvl w:val="12"/>
          <w:numId w:val="0"/>
        </w:numPr>
        <w:ind w:left="2160" w:firstLine="720"/>
        <w:rPr>
          <w:i/>
        </w:rPr>
      </w:pPr>
      <w:r>
        <w:rPr>
          <w:i/>
          <w:color w:val="000000"/>
          <w:lang w:eastAsia="es-PR"/>
        </w:rPr>
        <w:t>(4)(b)(</w:t>
      </w:r>
      <w:proofErr w:type="spellStart"/>
      <w:r>
        <w:rPr>
          <w:i/>
          <w:color w:val="000000"/>
          <w:lang w:eastAsia="es-PR"/>
        </w:rPr>
        <w:t>i</w:t>
      </w:r>
      <w:proofErr w:type="spellEnd"/>
      <w:r>
        <w:rPr>
          <w:i/>
          <w:color w:val="000000"/>
          <w:lang w:eastAsia="es-PR"/>
        </w:rPr>
        <w:t>)(2</w:t>
      </w:r>
      <w:r w:rsidRPr="00182257" w:rsidR="001F67AD">
        <w:rPr>
          <w:i/>
          <w:color w:val="000000"/>
          <w:lang w:eastAsia="es-PR"/>
        </w:rPr>
        <w:t>)</w:t>
      </w:r>
      <w:r w:rsidR="001F67AD">
        <w:rPr>
          <w:i/>
          <w:color w:val="000000"/>
          <w:lang w:eastAsia="es-PR"/>
        </w:rPr>
        <w:t>(a)</w:t>
      </w:r>
      <w:r w:rsidRPr="00182257" w:rsidR="001F67AD">
        <w:rPr>
          <w:i/>
          <w:color w:val="000000"/>
          <w:lang w:eastAsia="es-PR"/>
        </w:rPr>
        <w:t xml:space="preserve"> </w:t>
      </w:r>
      <w:r w:rsidRPr="00506C6C" w:rsidR="00B459CB">
        <w:rPr>
          <w:i/>
        </w:rPr>
        <w:t xml:space="preserve">Annual Production </w:t>
      </w:r>
      <w:r w:rsidRPr="00B35597" w:rsidR="00B459CB">
        <w:rPr>
          <w:i/>
        </w:rPr>
        <w:t>Report</w:t>
      </w:r>
      <w:r w:rsidR="00E2107F">
        <w:rPr>
          <w:i/>
        </w:rPr>
        <w:t>s</w:t>
      </w:r>
      <w:r w:rsidR="00F8736A">
        <w:rPr>
          <w:i/>
        </w:rPr>
        <w:t xml:space="preserve"> &amp; EV model year report</w:t>
      </w:r>
    </w:p>
    <w:p w:rsidR="00B459CB" w:rsidP="001F67AD" w:rsidRDefault="00B459CB" w14:paraId="0618BF35" w14:textId="77777777">
      <w:pPr>
        <w:pStyle w:val="Style6"/>
        <w:jc w:val="left"/>
        <w:rPr>
          <w:szCs w:val="20"/>
        </w:rPr>
      </w:pPr>
    </w:p>
    <w:p w:rsidR="00DE0445" w:rsidP="001F67AD" w:rsidRDefault="009F2CC5" w14:paraId="0F7ECEC7" w14:textId="2BA2C03C">
      <w:pPr>
        <w:pStyle w:val="Style6"/>
        <w:ind w:firstLine="720"/>
        <w:jc w:val="left"/>
        <w:rPr>
          <w:szCs w:val="20"/>
        </w:rPr>
      </w:pPr>
      <w:bookmarkStart w:name="_Hlk520665331" w:id="10"/>
      <w:r>
        <w:rPr>
          <w:szCs w:val="20"/>
        </w:rPr>
        <w:t>EPA is</w:t>
      </w:r>
      <w:r w:rsidR="00E71E60">
        <w:rPr>
          <w:szCs w:val="20"/>
        </w:rPr>
        <w:t xml:space="preserve"> </w:t>
      </w:r>
      <w:r>
        <w:rPr>
          <w:szCs w:val="20"/>
        </w:rPr>
        <w:t xml:space="preserve">proposing </w:t>
      </w:r>
      <w:r w:rsidR="00E71E60">
        <w:rPr>
          <w:szCs w:val="20"/>
        </w:rPr>
        <w:t xml:space="preserve">to </w:t>
      </w:r>
      <w:r w:rsidR="00527A4F">
        <w:rPr>
          <w:szCs w:val="20"/>
        </w:rPr>
        <w:t>delay</w:t>
      </w:r>
      <w:r w:rsidR="00E71E60">
        <w:rPr>
          <w:szCs w:val="20"/>
        </w:rPr>
        <w:t xml:space="preserve"> the </w:t>
      </w:r>
      <w:r w:rsidR="00DE0445">
        <w:rPr>
          <w:szCs w:val="20"/>
        </w:rPr>
        <w:t>following due dates</w:t>
      </w:r>
      <w:r w:rsidR="00527A4F">
        <w:rPr>
          <w:szCs w:val="20"/>
        </w:rPr>
        <w:t xml:space="preserve"> to give manufacturers more time to gather the necessary data</w:t>
      </w:r>
      <w:r w:rsidR="00DE0445">
        <w:rPr>
          <w:szCs w:val="20"/>
        </w:rPr>
        <w:t>:</w:t>
      </w:r>
    </w:p>
    <w:p w:rsidR="00527A4F" w:rsidP="00DE0445" w:rsidRDefault="00225BD9" w14:paraId="7F4F9169" w14:textId="0B5F269A">
      <w:pPr>
        <w:pStyle w:val="Style6"/>
        <w:numPr>
          <w:ilvl w:val="0"/>
          <w:numId w:val="27"/>
        </w:numPr>
        <w:jc w:val="left"/>
        <w:rPr>
          <w:szCs w:val="20"/>
        </w:rPr>
      </w:pPr>
      <w:r>
        <w:rPr>
          <w:szCs w:val="20"/>
        </w:rPr>
        <w:t xml:space="preserve">HD </w:t>
      </w:r>
      <w:r w:rsidR="00DE0445">
        <w:rPr>
          <w:szCs w:val="20"/>
        </w:rPr>
        <w:t>Engine</w:t>
      </w:r>
      <w:r w:rsidR="00A41040">
        <w:rPr>
          <w:szCs w:val="20"/>
        </w:rPr>
        <w:t xml:space="preserve"> and Vehicle</w:t>
      </w:r>
      <w:r w:rsidR="00DE0445">
        <w:rPr>
          <w:szCs w:val="20"/>
        </w:rPr>
        <w:t xml:space="preserve"> A</w:t>
      </w:r>
      <w:r w:rsidR="0069589D">
        <w:rPr>
          <w:szCs w:val="20"/>
        </w:rPr>
        <w:t>nnual Production Report</w:t>
      </w:r>
      <w:r w:rsidR="00A241D5">
        <w:rPr>
          <w:szCs w:val="20"/>
        </w:rPr>
        <w:t xml:space="preserve"> </w:t>
      </w:r>
      <w:r w:rsidR="0069589D">
        <w:rPr>
          <w:szCs w:val="20"/>
        </w:rPr>
        <w:t>from 90 days from the end of the model year</w:t>
      </w:r>
      <w:r w:rsidR="0035302F">
        <w:rPr>
          <w:szCs w:val="20"/>
        </w:rPr>
        <w:t>, or March 30,</w:t>
      </w:r>
      <w:r w:rsidR="007D6A19">
        <w:rPr>
          <w:szCs w:val="20"/>
        </w:rPr>
        <w:t xml:space="preserve"> to September 30</w:t>
      </w:r>
      <w:r w:rsidRPr="007D6A19" w:rsidR="007D6A19">
        <w:rPr>
          <w:szCs w:val="20"/>
          <w:vertAlign w:val="superscript"/>
        </w:rPr>
        <w:t>th</w:t>
      </w:r>
      <w:r w:rsidR="00527A4F">
        <w:rPr>
          <w:szCs w:val="20"/>
        </w:rPr>
        <w:t xml:space="preserve"> </w:t>
      </w:r>
      <w:r w:rsidR="00217B7C">
        <w:rPr>
          <w:szCs w:val="20"/>
        </w:rPr>
        <w:t>(</w:t>
      </w:r>
      <w:r w:rsidR="00217B7C">
        <w:t>1036.250 and 1037.250)</w:t>
      </w:r>
    </w:p>
    <w:p w:rsidRPr="003367A7" w:rsidR="00F370F0" w:rsidP="00F370F0" w:rsidRDefault="007049E0" w14:paraId="70B70728" w14:textId="77777777">
      <w:pPr>
        <w:pStyle w:val="Style6"/>
        <w:numPr>
          <w:ilvl w:val="0"/>
          <w:numId w:val="27"/>
        </w:numPr>
        <w:jc w:val="left"/>
        <w:rPr>
          <w:szCs w:val="20"/>
        </w:rPr>
      </w:pPr>
      <w:r w:rsidRPr="003367A7">
        <w:rPr>
          <w:szCs w:val="20"/>
        </w:rPr>
        <w:t>Electric Vehicle</w:t>
      </w:r>
      <w:r w:rsidRPr="003367A7" w:rsidR="00CF2BC2">
        <w:rPr>
          <w:szCs w:val="20"/>
        </w:rPr>
        <w:t xml:space="preserve"> </w:t>
      </w:r>
      <w:r w:rsidRPr="003367A7" w:rsidR="0035302F">
        <w:rPr>
          <w:szCs w:val="20"/>
        </w:rPr>
        <w:t>M</w:t>
      </w:r>
      <w:r w:rsidRPr="003367A7" w:rsidR="00CF2BC2">
        <w:rPr>
          <w:szCs w:val="20"/>
        </w:rPr>
        <w:t xml:space="preserve">odel </w:t>
      </w:r>
      <w:r w:rsidRPr="003367A7" w:rsidR="0035302F">
        <w:rPr>
          <w:szCs w:val="20"/>
        </w:rPr>
        <w:t>Y</w:t>
      </w:r>
      <w:r w:rsidRPr="003367A7" w:rsidR="00CF2BC2">
        <w:rPr>
          <w:szCs w:val="20"/>
        </w:rPr>
        <w:t>ear report</w:t>
      </w:r>
      <w:r w:rsidRPr="003367A7">
        <w:rPr>
          <w:szCs w:val="20"/>
        </w:rPr>
        <w:t xml:space="preserve"> required in 86.1843-01(f)(2)</w:t>
      </w:r>
      <w:r w:rsidRPr="003367A7" w:rsidR="00CF2BC2">
        <w:rPr>
          <w:szCs w:val="20"/>
        </w:rPr>
        <w:t xml:space="preserve"> from the end of March to May 1. </w:t>
      </w:r>
    </w:p>
    <w:p w:rsidRPr="003367A7" w:rsidR="00415BF4" w:rsidP="00F370F0" w:rsidRDefault="00F370F0" w14:paraId="098E1028" w14:textId="77777777">
      <w:pPr>
        <w:pStyle w:val="Style6"/>
        <w:numPr>
          <w:ilvl w:val="1"/>
          <w:numId w:val="27"/>
        </w:numPr>
        <w:jc w:val="left"/>
        <w:rPr>
          <w:szCs w:val="20"/>
        </w:rPr>
      </w:pPr>
      <w:r w:rsidRPr="003367A7">
        <w:rPr>
          <w:szCs w:val="20"/>
        </w:rPr>
        <w:t>A</w:t>
      </w:r>
      <w:r w:rsidRPr="003367A7" w:rsidR="00CF2BC2">
        <w:rPr>
          <w:szCs w:val="20"/>
        </w:rPr>
        <w:t xml:space="preserve">ligns the deadline provisions with the proposed amendment for end-of-year reporting as </w:t>
      </w:r>
      <w:r w:rsidRPr="003367A7" w:rsidR="00415BF4">
        <w:rPr>
          <w:szCs w:val="20"/>
        </w:rPr>
        <w:t>[</w:t>
      </w:r>
      <w:r w:rsidRPr="003367A7" w:rsidR="00CF2BC2">
        <w:rPr>
          <w:szCs w:val="20"/>
        </w:rPr>
        <w:t>CFR 86.1843-01(f)(2)</w:t>
      </w:r>
      <w:r w:rsidRPr="003367A7" w:rsidR="00415BF4">
        <w:rPr>
          <w:szCs w:val="20"/>
        </w:rPr>
        <w:t>]</w:t>
      </w:r>
      <w:r w:rsidRPr="003367A7" w:rsidR="00CF2BC2">
        <w:rPr>
          <w:szCs w:val="20"/>
        </w:rPr>
        <w:t xml:space="preserve"> </w:t>
      </w:r>
    </w:p>
    <w:p w:rsidRPr="00F370F0" w:rsidR="00CF2BC2" w:rsidP="00F370F0" w:rsidRDefault="00415BF4" w14:paraId="21BB1E7F" w14:textId="6994BC70">
      <w:pPr>
        <w:pStyle w:val="Style6"/>
        <w:numPr>
          <w:ilvl w:val="1"/>
          <w:numId w:val="27"/>
        </w:numPr>
        <w:jc w:val="left"/>
        <w:rPr>
          <w:szCs w:val="20"/>
        </w:rPr>
      </w:pPr>
      <w:r>
        <w:rPr>
          <w:szCs w:val="20"/>
        </w:rPr>
        <w:t xml:space="preserve">This report </w:t>
      </w:r>
      <w:r w:rsidRPr="00F370F0" w:rsidR="00A81A0C">
        <w:rPr>
          <w:szCs w:val="20"/>
        </w:rPr>
        <w:t>contain</w:t>
      </w:r>
      <w:r>
        <w:rPr>
          <w:szCs w:val="20"/>
        </w:rPr>
        <w:t>s</w:t>
      </w:r>
      <w:r w:rsidRPr="00F370F0" w:rsidR="00A81A0C">
        <w:rPr>
          <w:szCs w:val="20"/>
        </w:rPr>
        <w:t xml:space="preserve"> </w:t>
      </w:r>
      <w:r w:rsidR="00F71FD2">
        <w:rPr>
          <w:szCs w:val="20"/>
        </w:rPr>
        <w:t>the</w:t>
      </w:r>
      <w:r w:rsidRPr="00F370F0" w:rsidR="00A81A0C">
        <w:rPr>
          <w:szCs w:val="20"/>
        </w:rPr>
        <w:t xml:space="preserve"> information necessary for the calculation of the manufacturer's average fuel economy and average carbon-related exhaust emissions.</w:t>
      </w:r>
      <w:r w:rsidRPr="00F370F0" w:rsidR="00CF2BC2">
        <w:rPr>
          <w:szCs w:val="20"/>
        </w:rPr>
        <w:t xml:space="preserve"> </w:t>
      </w:r>
    </w:p>
    <w:bookmarkEnd w:id="10"/>
    <w:p w:rsidR="00B459CB" w:rsidP="00B459CB" w:rsidRDefault="00B459CB" w14:paraId="0461CFC3" w14:textId="77777777">
      <w:pPr>
        <w:pStyle w:val="Style6"/>
        <w:jc w:val="left"/>
        <w:rPr>
          <w:szCs w:val="20"/>
        </w:rPr>
      </w:pPr>
    </w:p>
    <w:p w:rsidR="008D0929" w:rsidP="00B459CB" w:rsidRDefault="008D0929" w14:paraId="7CDF35C6" w14:textId="77777777">
      <w:pPr>
        <w:numPr>
          <w:ilvl w:val="12"/>
          <w:numId w:val="0"/>
        </w:numPr>
        <w:ind w:left="2160" w:firstLine="720"/>
        <w:rPr>
          <w:i/>
          <w:color w:val="000000"/>
          <w:lang w:eastAsia="es-PR"/>
        </w:rPr>
      </w:pPr>
    </w:p>
    <w:p w:rsidR="00B459CB" w:rsidP="00B459CB" w:rsidRDefault="00F612E1" w14:paraId="723AA8EF" w14:textId="4A9B2CD6">
      <w:pPr>
        <w:numPr>
          <w:ilvl w:val="12"/>
          <w:numId w:val="0"/>
        </w:numPr>
        <w:ind w:left="2160" w:firstLine="720"/>
      </w:pPr>
      <w:r w:rsidRPr="002454D1">
        <w:rPr>
          <w:i/>
          <w:color w:val="000000"/>
          <w:lang w:eastAsia="es-PR"/>
        </w:rPr>
        <w:t>(4)(b)(</w:t>
      </w:r>
      <w:proofErr w:type="spellStart"/>
      <w:r w:rsidRPr="002454D1">
        <w:rPr>
          <w:i/>
          <w:color w:val="000000"/>
          <w:lang w:eastAsia="es-PR"/>
        </w:rPr>
        <w:t>i</w:t>
      </w:r>
      <w:proofErr w:type="spellEnd"/>
      <w:r w:rsidRPr="002454D1">
        <w:rPr>
          <w:i/>
          <w:color w:val="000000"/>
          <w:lang w:eastAsia="es-PR"/>
        </w:rPr>
        <w:t>)(2</w:t>
      </w:r>
      <w:r w:rsidRPr="002454D1" w:rsidR="00B459CB">
        <w:rPr>
          <w:i/>
          <w:color w:val="000000"/>
          <w:lang w:eastAsia="es-PR"/>
        </w:rPr>
        <w:t>)</w:t>
      </w:r>
      <w:r w:rsidRPr="002454D1" w:rsidR="001F67AD">
        <w:rPr>
          <w:i/>
          <w:color w:val="000000"/>
          <w:lang w:eastAsia="es-PR"/>
        </w:rPr>
        <w:t>(b</w:t>
      </w:r>
      <w:r w:rsidRPr="002454D1" w:rsidR="00B459CB">
        <w:rPr>
          <w:i/>
          <w:color w:val="000000"/>
          <w:lang w:eastAsia="es-PR"/>
        </w:rPr>
        <w:t>) Confirmatory Testing</w:t>
      </w:r>
    </w:p>
    <w:p w:rsidR="00CB5688" w:rsidP="00CB5688" w:rsidRDefault="00CB5688" w14:paraId="12BABA9D" w14:textId="5C25B42B">
      <w:bookmarkStart w:name="_Hlk520665519" w:id="11"/>
      <w:r>
        <w:tab/>
      </w:r>
    </w:p>
    <w:p w:rsidR="003D0E58" w:rsidP="00721CAF" w:rsidRDefault="003D0E58" w14:paraId="616DC143" w14:textId="3F509C71">
      <w:pPr>
        <w:pStyle w:val="FootnoteText"/>
        <w:ind w:firstLine="720"/>
      </w:pPr>
      <w:r w:rsidRPr="002F3D77">
        <w:lastRenderedPageBreak/>
        <w:t xml:space="preserve">Confirmatory testing </w:t>
      </w:r>
      <w:r w:rsidR="002F3D77">
        <w:t xml:space="preserve">provisions remain </w:t>
      </w:r>
      <w:r w:rsidRPr="002F3D77" w:rsidR="00B01D46">
        <w:t>with some changes</w:t>
      </w:r>
      <w:r w:rsidRPr="002F3D77">
        <w:t xml:space="preserve"> proposed </w:t>
      </w:r>
      <w:r w:rsidR="002F3D77">
        <w:t xml:space="preserve">in </w:t>
      </w:r>
      <w:r w:rsidRPr="002F3D77">
        <w:t>1036.235</w:t>
      </w:r>
      <w:r w:rsidRPr="002F3D77" w:rsidR="00556AFB">
        <w:t>(c)</w:t>
      </w:r>
      <w:r w:rsidRPr="002F3D77" w:rsidR="00B01D46">
        <w:t>, such as:</w:t>
      </w:r>
    </w:p>
    <w:p w:rsidR="002F3D77" w:rsidP="004155D9" w:rsidRDefault="008B1B06" w14:paraId="128E6E13" w14:textId="149C370E">
      <w:pPr>
        <w:pStyle w:val="FootnoteText"/>
        <w:numPr>
          <w:ilvl w:val="0"/>
          <w:numId w:val="15"/>
        </w:numPr>
      </w:pPr>
      <w:r>
        <w:t>Clarification that e</w:t>
      </w:r>
      <w:r w:rsidR="00B1158A">
        <w:t>ngines provided by manufacturers must include electronic control</w:t>
      </w:r>
      <w:r>
        <w:t xml:space="preserve"> modules</w:t>
      </w:r>
    </w:p>
    <w:p w:rsidR="00302B34" w:rsidP="004155D9" w:rsidRDefault="00302B34" w14:paraId="47F8C64A" w14:textId="2BD546C8">
      <w:pPr>
        <w:pStyle w:val="FootnoteText"/>
        <w:numPr>
          <w:ilvl w:val="0"/>
          <w:numId w:val="15"/>
        </w:numPr>
      </w:pPr>
      <w:r>
        <w:t>References to adjustable parameters, per proposed changes 1036.115(f)</w:t>
      </w:r>
      <w:r w:rsidR="00F446E3">
        <w:t>]</w:t>
      </w:r>
    </w:p>
    <w:p w:rsidRPr="002F3D77" w:rsidR="001C58AE" w:rsidP="004155D9" w:rsidRDefault="001C58AE" w14:paraId="30092D17" w14:textId="48241FA7">
      <w:pPr>
        <w:pStyle w:val="FootnoteText"/>
        <w:numPr>
          <w:ilvl w:val="0"/>
          <w:numId w:val="15"/>
        </w:numPr>
      </w:pPr>
      <w:r>
        <w:t>EPA may use</w:t>
      </w:r>
      <w:r w:rsidR="00901576">
        <w:t xml:space="preserve"> an engine dynamometer to simulate normal conditions and determine if the engine meets off-cycle emission</w:t>
      </w:r>
      <w:r w:rsidR="00B17CE4">
        <w:t xml:space="preserve"> standards</w:t>
      </w:r>
    </w:p>
    <w:p w:rsidR="002F3D77" w:rsidP="00721CAF" w:rsidRDefault="002F3D77" w14:paraId="45BF56A8" w14:textId="586C46F8">
      <w:pPr>
        <w:pStyle w:val="FootnoteText"/>
        <w:ind w:firstLine="720"/>
        <w:rPr>
          <w:highlight w:val="yellow"/>
        </w:rPr>
      </w:pPr>
    </w:p>
    <w:p w:rsidRPr="00394314" w:rsidR="002F3D77" w:rsidP="00721CAF" w:rsidRDefault="002F3D77" w14:paraId="4CEB6D10" w14:textId="77777777">
      <w:pPr>
        <w:pStyle w:val="FootnoteText"/>
        <w:ind w:firstLine="720"/>
        <w:rPr>
          <w:highlight w:val="yellow"/>
        </w:rPr>
      </w:pPr>
    </w:p>
    <w:bookmarkEnd w:id="11"/>
    <w:p w:rsidR="00CB5688" w:rsidP="00CB5688" w:rsidRDefault="00CB5688" w14:paraId="4CBB3426" w14:textId="77777777">
      <w:pPr>
        <w:rPr>
          <w:i/>
        </w:rPr>
      </w:pPr>
    </w:p>
    <w:p w:rsidR="004A270A" w:rsidP="00EB763F" w:rsidRDefault="006453F8" w14:paraId="27C55915" w14:textId="7C9BE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i/>
          <w:color w:val="000000"/>
        </w:rPr>
      </w:pPr>
      <w:r>
        <w:rPr>
          <w:i/>
          <w:color w:val="000000"/>
        </w:rPr>
        <w:tab/>
      </w:r>
      <w:r w:rsidR="00CF4882">
        <w:rPr>
          <w:i/>
          <w:color w:val="000000"/>
        </w:rPr>
        <w:tab/>
      </w:r>
      <w:r w:rsidR="00CF4882">
        <w:rPr>
          <w:i/>
          <w:color w:val="000000"/>
        </w:rPr>
        <w:tab/>
      </w:r>
      <w:r w:rsidR="00F612E1">
        <w:rPr>
          <w:i/>
          <w:color w:val="000000"/>
        </w:rPr>
        <w:t>(4)(b)(</w:t>
      </w:r>
      <w:proofErr w:type="spellStart"/>
      <w:r w:rsidR="00F612E1">
        <w:rPr>
          <w:i/>
          <w:color w:val="000000"/>
        </w:rPr>
        <w:t>i</w:t>
      </w:r>
      <w:proofErr w:type="spellEnd"/>
      <w:r w:rsidR="00F612E1">
        <w:rPr>
          <w:i/>
          <w:color w:val="000000"/>
        </w:rPr>
        <w:t>)(3</w:t>
      </w:r>
      <w:r w:rsidR="00A148FB">
        <w:rPr>
          <w:i/>
          <w:color w:val="000000"/>
        </w:rPr>
        <w:t xml:space="preserve">) </w:t>
      </w:r>
      <w:r w:rsidRPr="00B8417E" w:rsidR="00A148FB">
        <w:rPr>
          <w:i/>
          <w:color w:val="000000"/>
        </w:rPr>
        <w:t>Averaging, Banking and Trading (AB</w:t>
      </w:r>
      <w:r w:rsidR="00A148FB">
        <w:rPr>
          <w:i/>
          <w:color w:val="000000"/>
        </w:rPr>
        <w:t>&amp;</w:t>
      </w:r>
      <w:r w:rsidRPr="00B8417E" w:rsidR="00A148FB">
        <w:rPr>
          <w:i/>
          <w:color w:val="000000"/>
        </w:rPr>
        <w:t>T</w:t>
      </w:r>
      <w:r w:rsidRPr="00D7502B" w:rsidR="00A148FB">
        <w:rPr>
          <w:i/>
          <w:color w:val="000000"/>
        </w:rPr>
        <w:t>)</w:t>
      </w:r>
      <w:r w:rsidRPr="00D7502B" w:rsidR="00EB763F">
        <w:rPr>
          <w:i/>
          <w:color w:val="000000"/>
        </w:rPr>
        <w:t xml:space="preserve"> </w:t>
      </w:r>
    </w:p>
    <w:p w:rsidR="00295C01" w:rsidP="00A148FB" w:rsidRDefault="00295C01" w14:paraId="1FE12F0A" w14:textId="0739D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p w:rsidR="00CD7D3C" w:rsidP="00A148FB" w:rsidRDefault="0008384C" w14:paraId="5202B571" w14:textId="4D57E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tab/>
        <w:t xml:space="preserve">EPA is proposing the following updates </w:t>
      </w:r>
      <w:r w:rsidR="00DB018A">
        <w:t xml:space="preserve">related </w:t>
      </w:r>
      <w:r>
        <w:t xml:space="preserve">to the </w:t>
      </w:r>
      <w:r w:rsidR="009678FB">
        <w:t>HD engine and vehicle emissions credits generation, calculation</w:t>
      </w:r>
      <w:r w:rsidR="008A757D">
        <w:t>,</w:t>
      </w:r>
      <w:r w:rsidR="009678FB">
        <w:t xml:space="preserve"> and reporting</w:t>
      </w:r>
      <w:r w:rsidR="004F1FFE">
        <w:t>:</w:t>
      </w:r>
    </w:p>
    <w:p w:rsidR="00CD7D3C" w:rsidP="00A148FB" w:rsidRDefault="00CD7D3C" w14:paraId="5182A9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p w:rsidR="00CF4882" w:rsidP="004155D9" w:rsidRDefault="00CF4882" w14:paraId="647819CF" w14:textId="4E8E784F">
      <w:pPr>
        <w:pStyle w:val="ListParagraph"/>
        <w:numPr>
          <w:ilvl w:val="0"/>
          <w:numId w:val="6"/>
        </w:numPr>
      </w:pPr>
      <w:r>
        <w:t xml:space="preserve">Proposed changes in sections </w:t>
      </w:r>
      <w:r w:rsidRPr="00CF4882">
        <w:t xml:space="preserve">1036.150, 1036.730 and 1037.730 </w:t>
      </w:r>
    </w:p>
    <w:p w:rsidR="001562F2" w:rsidP="004155D9" w:rsidRDefault="00CF4882" w14:paraId="5A06E4B8" w14:textId="6A77A1DB">
      <w:pPr>
        <w:pStyle w:val="ListParagraph"/>
        <w:numPr>
          <w:ilvl w:val="0"/>
          <w:numId w:val="6"/>
        </w:numPr>
      </w:pPr>
      <w:r>
        <w:t>Discont</w:t>
      </w:r>
      <w:r w:rsidR="004A6A8D">
        <w:t>in</w:t>
      </w:r>
      <w:r>
        <w:t>u</w:t>
      </w:r>
      <w:r w:rsidR="004A6A8D">
        <w:t xml:space="preserve">ation of the </w:t>
      </w:r>
      <w:r w:rsidRPr="00C22DFC" w:rsidR="004A6A8D">
        <w:t>end-of-the-year report (</w:t>
      </w:r>
      <w:r w:rsidR="004A6A8D">
        <w:t xml:space="preserve">currently </w:t>
      </w:r>
      <w:r w:rsidRPr="00C22DFC" w:rsidR="004A6A8D">
        <w:t>due by March 31)</w:t>
      </w:r>
      <w:r w:rsidR="001562F2">
        <w:t xml:space="preserve"> for both the HD engine and HD vehicle AB&amp;T programs</w:t>
      </w:r>
      <w:r w:rsidR="002B1301">
        <w:t xml:space="preserve"> </w:t>
      </w:r>
    </w:p>
    <w:p w:rsidR="002B1301" w:rsidP="004155D9" w:rsidRDefault="004A6A8D" w14:paraId="53224F7B" w14:textId="5E690871">
      <w:pPr>
        <w:pStyle w:val="ListParagraph"/>
        <w:numPr>
          <w:ilvl w:val="1"/>
          <w:numId w:val="6"/>
        </w:numPr>
      </w:pPr>
      <w:r w:rsidRPr="00821629">
        <w:t xml:space="preserve">Currently, manufacturers submit two reports: an end-of-the-year report (draft report due by March 31) and a final report (due by September 30) </w:t>
      </w:r>
    </w:p>
    <w:p w:rsidR="00E379E0" w:rsidP="004155D9" w:rsidRDefault="00E379E0" w14:paraId="262FB8F5" w14:textId="457FCE83">
      <w:pPr>
        <w:pStyle w:val="ListParagraph"/>
        <w:numPr>
          <w:ilvl w:val="0"/>
          <w:numId w:val="6"/>
        </w:numPr>
      </w:pPr>
      <w:r>
        <w:t>Changes in how credits are generated, calculated and/or used</w:t>
      </w:r>
      <w:r w:rsidR="00E71513">
        <w:t xml:space="preserve">, although </w:t>
      </w:r>
      <w:r w:rsidR="006B48EA">
        <w:t xml:space="preserve">these </w:t>
      </w:r>
      <w:r w:rsidR="001A6FE6">
        <w:t xml:space="preserve">do not </w:t>
      </w:r>
      <w:r w:rsidR="00637799">
        <w:t xml:space="preserve">have substantive </w:t>
      </w:r>
      <w:r w:rsidR="004A6A8D">
        <w:t>e</w:t>
      </w:r>
      <w:r w:rsidR="001A6FE6">
        <w:t>ffect</w:t>
      </w:r>
      <w:r w:rsidR="00637799">
        <w:t xml:space="preserve">s on </w:t>
      </w:r>
      <w:r w:rsidR="001A6FE6">
        <w:t>reporting requirements</w:t>
      </w:r>
      <w:r w:rsidR="00E71513">
        <w:t xml:space="preserve"> </w:t>
      </w:r>
      <w:r w:rsidR="00637799">
        <w:t xml:space="preserve"> </w:t>
      </w:r>
    </w:p>
    <w:p w:rsidR="00907ACB" w:rsidP="004155D9" w:rsidRDefault="00907ACB" w14:paraId="52757A3C" w14:textId="41FF6DA0">
      <w:pPr>
        <w:pStyle w:val="ListParagraph"/>
        <w:numPr>
          <w:ilvl w:val="1"/>
          <w:numId w:val="6"/>
        </w:numPr>
      </w:pPr>
      <w:r>
        <w:t>Allow manufacturers to generate NO</w:t>
      </w:r>
      <w:r w:rsidRPr="00265146">
        <w:rPr>
          <w:vertAlign w:val="subscript"/>
        </w:rPr>
        <w:t>X</w:t>
      </w:r>
      <w:r>
        <w:t xml:space="preserve"> emission credits for hybrid electric, battery electric, and fuel cell electric </w:t>
      </w:r>
      <w:r w:rsidRPr="00437856">
        <w:rPr>
          <w:i/>
          <w:iCs/>
        </w:rPr>
        <w:t>vehicles</w:t>
      </w:r>
      <w:r w:rsidR="00437856">
        <w:t xml:space="preserve"> to be used in either vehicle or engine certification</w:t>
      </w:r>
    </w:p>
    <w:p w:rsidR="001028A6" w:rsidP="004155D9" w:rsidRDefault="00B4324C" w14:paraId="3933BFEE" w14:textId="27440C05">
      <w:pPr>
        <w:pStyle w:val="ListParagraph"/>
        <w:numPr>
          <w:ilvl w:val="2"/>
          <w:numId w:val="6"/>
        </w:numPr>
      </w:pPr>
      <w:r>
        <w:t>Changes to averaging sets and FEL caps</w:t>
      </w:r>
    </w:p>
    <w:p w:rsidR="00424902" w:rsidP="004155D9" w:rsidRDefault="00424902" w14:paraId="694F7333" w14:textId="7E6D843D">
      <w:pPr>
        <w:pStyle w:val="ListParagraph"/>
        <w:numPr>
          <w:ilvl w:val="1"/>
          <w:numId w:val="6"/>
        </w:numPr>
      </w:pPr>
      <w:r>
        <w:t xml:space="preserve">Discontinuation of the program for HC and PM after 2027 as standards </w:t>
      </w:r>
      <w:r w:rsidR="00DE2700">
        <w:t>would be</w:t>
      </w:r>
      <w:r w:rsidR="00517D11">
        <w:t xml:space="preserve"> </w:t>
      </w:r>
      <w:r>
        <w:t>revised so manufacturers can meet them without the use of credits</w:t>
      </w:r>
    </w:p>
    <w:p w:rsidRPr="00295073" w:rsidR="00FD142A" w:rsidP="004155D9" w:rsidRDefault="00295073" w14:paraId="56F2A93B" w14:textId="7FD28AD5">
      <w:pPr>
        <w:pStyle w:val="ListParagraph"/>
        <w:numPr>
          <w:ilvl w:val="1"/>
          <w:numId w:val="6"/>
        </w:numPr>
      </w:pPr>
      <w:r>
        <w:t xml:space="preserve">Update </w:t>
      </w:r>
      <w:r w:rsidRPr="00295073">
        <w:t>existing credit life provisions in 1036.740(d) to apply for CO</w:t>
      </w:r>
      <w:r w:rsidRPr="00295073">
        <w:rPr>
          <w:rStyle w:val="Subscript"/>
        </w:rPr>
        <w:t>2</w:t>
      </w:r>
      <w:r w:rsidRPr="00295073">
        <w:t xml:space="preserve"> and NO</w:t>
      </w:r>
      <w:r w:rsidRPr="00295073">
        <w:rPr>
          <w:vertAlign w:val="subscript"/>
        </w:rPr>
        <w:t>X</w:t>
      </w:r>
      <w:r w:rsidRPr="00295073">
        <w:t xml:space="preserve"> credits </w:t>
      </w:r>
    </w:p>
    <w:p w:rsidR="009E0154" w:rsidP="004155D9" w:rsidRDefault="00665B87" w14:paraId="7A43C366" w14:textId="67EA82D9">
      <w:pPr>
        <w:pStyle w:val="ListParagraph"/>
        <w:numPr>
          <w:ilvl w:val="1"/>
          <w:numId w:val="6"/>
        </w:numPr>
      </w:pPr>
      <w:r>
        <w:t xml:space="preserve">Interim provisions </w:t>
      </w:r>
      <w:r w:rsidR="003421B5">
        <w:t xml:space="preserve">to </w:t>
      </w:r>
      <w:r>
        <w:t xml:space="preserve">generate </w:t>
      </w:r>
      <w:r w:rsidR="009E0154">
        <w:t xml:space="preserve">advanced-technology credits </w:t>
      </w:r>
    </w:p>
    <w:p w:rsidRPr="009E0154" w:rsidR="00665B87" w:rsidP="004155D9" w:rsidRDefault="009E0154" w14:paraId="68E3EDB1" w14:textId="107874DF">
      <w:pPr>
        <w:pStyle w:val="ListParagraph"/>
        <w:numPr>
          <w:ilvl w:val="2"/>
          <w:numId w:val="6"/>
        </w:numPr>
      </w:pPr>
      <w:r>
        <w:t>T</w:t>
      </w:r>
      <w:r w:rsidR="00665B87">
        <w:t>ransitional NOx credits through MY2026 to be used to certify engines in MY2027 and after (</w:t>
      </w:r>
      <w:r w:rsidRPr="00665B87" w:rsidR="00665B87">
        <w:rPr>
          <w:color w:val="000000"/>
        </w:rPr>
        <w:t>1036.150</w:t>
      </w:r>
      <w:r w:rsidR="00665B87">
        <w:rPr>
          <w:color w:val="000000"/>
        </w:rPr>
        <w:t>)</w:t>
      </w:r>
    </w:p>
    <w:p w:rsidR="009E0154" w:rsidP="004155D9" w:rsidRDefault="009E0154" w14:paraId="19510DAB" w14:textId="2646C3B1">
      <w:pPr>
        <w:pStyle w:val="ListParagraph"/>
        <w:numPr>
          <w:ilvl w:val="2"/>
          <w:numId w:val="6"/>
        </w:numPr>
      </w:pPr>
      <w:r>
        <w:t xml:space="preserve">Generate advanced-technology </w:t>
      </w:r>
      <w:r w:rsidR="00BD0713">
        <w:t xml:space="preserve">vehicle </w:t>
      </w:r>
      <w:r>
        <w:t>credits</w:t>
      </w:r>
      <w:r w:rsidR="00CB1CD5">
        <w:t xml:space="preserve"> </w:t>
      </w:r>
      <w:r w:rsidR="00A048E3">
        <w:t>through 2023 within limits</w:t>
      </w:r>
      <w:r w:rsidR="00196300">
        <w:t xml:space="preserve"> </w:t>
      </w:r>
    </w:p>
    <w:p w:rsidR="00E1531F" w:rsidP="004155D9" w:rsidRDefault="005157F1" w14:paraId="5A948CC3" w14:textId="398C142F">
      <w:pPr>
        <w:pStyle w:val="ListParagraph"/>
        <w:numPr>
          <w:ilvl w:val="1"/>
          <w:numId w:val="6"/>
        </w:numPr>
      </w:pPr>
      <w:r>
        <w:t xml:space="preserve">Early adoption incentive – HD </w:t>
      </w:r>
      <w:r w:rsidR="00E1531F">
        <w:t xml:space="preserve">Manufacturers who demonstrate early compliance with the proposed MY 2027 or MY 2031 standards </w:t>
      </w:r>
      <w:r>
        <w:t xml:space="preserve">(Options 1 and 2) </w:t>
      </w:r>
      <w:r w:rsidR="00E1531F">
        <w:t xml:space="preserve">would apply a multiplier to emission credits </w:t>
      </w:r>
      <w:r w:rsidR="00665B87">
        <w:t>they generate</w:t>
      </w:r>
    </w:p>
    <w:p w:rsidR="006059DA" w:rsidP="004155D9" w:rsidRDefault="00E064EB" w14:paraId="493936B2" w14:textId="77777777">
      <w:pPr>
        <w:pStyle w:val="ListParagraph"/>
        <w:numPr>
          <w:ilvl w:val="0"/>
          <w:numId w:val="6"/>
        </w:numPr>
      </w:pPr>
      <w:r>
        <w:t>Various updates for consistency with new standards and other provisions</w:t>
      </w:r>
      <w:bookmarkStart w:name="_Hlk520667188" w:id="12"/>
    </w:p>
    <w:bookmarkEnd w:id="12"/>
    <w:p w:rsidR="003E7D25" w:rsidP="00232884" w:rsidRDefault="003E7D25" w14:paraId="6FD82A16" w14:textId="3E863C38">
      <w:pPr>
        <w:numPr>
          <w:ilvl w:val="12"/>
          <w:numId w:val="0"/>
        </w:numPr>
        <w:ind w:left="720" w:hanging="360"/>
      </w:pPr>
    </w:p>
    <w:p w:rsidR="00AD789A" w:rsidP="00232884" w:rsidRDefault="00AD789A" w14:paraId="3EC10A2F" w14:textId="391DD28E">
      <w:pPr>
        <w:numPr>
          <w:ilvl w:val="12"/>
          <w:numId w:val="0"/>
        </w:numPr>
        <w:ind w:left="720" w:hanging="360"/>
      </w:pPr>
    </w:p>
    <w:p w:rsidR="003D3897" w:rsidP="003D3897" w:rsidRDefault="003D3897" w14:paraId="1183EA48" w14:textId="07B022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i/>
          <w:color w:val="000000"/>
        </w:rPr>
        <w:tab/>
      </w:r>
      <w:r>
        <w:rPr>
          <w:i/>
          <w:color w:val="000000"/>
        </w:rPr>
        <w:tab/>
      </w:r>
      <w:r>
        <w:rPr>
          <w:i/>
          <w:color w:val="000000"/>
        </w:rPr>
        <w:tab/>
      </w:r>
      <w:r>
        <w:rPr>
          <w:i/>
          <w:color w:val="000000"/>
        </w:rPr>
        <w:tab/>
        <w:t>(4)(b)(</w:t>
      </w:r>
      <w:proofErr w:type="spellStart"/>
      <w:r>
        <w:rPr>
          <w:i/>
          <w:color w:val="000000"/>
        </w:rPr>
        <w:t>i</w:t>
      </w:r>
      <w:proofErr w:type="spellEnd"/>
      <w:r>
        <w:rPr>
          <w:i/>
          <w:color w:val="000000"/>
        </w:rPr>
        <w:t xml:space="preserve">)(4) </w:t>
      </w:r>
      <w:r w:rsidR="00394314">
        <w:rPr>
          <w:i/>
          <w:color w:val="000000"/>
        </w:rPr>
        <w:t xml:space="preserve">Marine CI </w:t>
      </w:r>
      <w:r>
        <w:rPr>
          <w:i/>
          <w:color w:val="000000"/>
        </w:rPr>
        <w:t>Production Line Testing</w:t>
      </w:r>
      <w:r w:rsidRPr="00B8417E">
        <w:rPr>
          <w:i/>
          <w:color w:val="000000"/>
        </w:rPr>
        <w:t xml:space="preserve"> (</w:t>
      </w:r>
      <w:r>
        <w:rPr>
          <w:i/>
          <w:color w:val="000000"/>
        </w:rPr>
        <w:t>PL</w:t>
      </w:r>
      <w:r w:rsidRPr="00B8417E">
        <w:rPr>
          <w:i/>
          <w:color w:val="000000"/>
        </w:rPr>
        <w:t>T)</w:t>
      </w:r>
    </w:p>
    <w:p w:rsidR="0076191A" w:rsidP="0076191A" w:rsidRDefault="0076191A" w14:paraId="65B14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tab/>
        <w:t>EPA is proposing the following updates related to the HD engine and vehicle emissions credits generation, calculation, and reporting:</w:t>
      </w:r>
    </w:p>
    <w:p w:rsidR="003D3897" w:rsidP="003D3897" w:rsidRDefault="003D3897" w14:paraId="4823691A" w14:textId="77777777">
      <w:pPr>
        <w:numPr>
          <w:ilvl w:val="12"/>
          <w:numId w:val="0"/>
        </w:numPr>
        <w:ind w:left="360" w:hanging="360"/>
      </w:pPr>
    </w:p>
    <w:p w:rsidRPr="007E49EB" w:rsidR="007B1DEC" w:rsidP="008E5D72" w:rsidRDefault="00C23722" w14:paraId="263D8A9B" w14:textId="0AC25BE9">
      <w:pPr>
        <w:pStyle w:val="BodyText"/>
        <w:numPr>
          <w:ilvl w:val="0"/>
          <w:numId w:val="16"/>
        </w:numPr>
        <w:spacing w:after="0"/>
      </w:pPr>
      <w:r>
        <w:t>A</w:t>
      </w:r>
      <w:r w:rsidR="003D3E8F">
        <w:t xml:space="preserve"> defa</w:t>
      </w:r>
      <w:r w:rsidRPr="007E49EB" w:rsidR="003D3897">
        <w:t xml:space="preserve">ult engine sampling rate of one test per family. An engine test from a prior year </w:t>
      </w:r>
      <w:proofErr w:type="gramStart"/>
      <w:r w:rsidRPr="007E49EB" w:rsidR="003D3897">
        <w:t>would</w:t>
      </w:r>
      <w:proofErr w:type="gramEnd"/>
      <w:r w:rsidRPr="007E49EB" w:rsidR="003D3897">
        <w:t xml:space="preserve"> count as a sufficient demonstration </w:t>
      </w:r>
      <w:r w:rsidRPr="007E49EB" w:rsidR="007B1DEC">
        <w:t>if</w:t>
      </w:r>
      <w:r w:rsidRPr="007E49EB" w:rsidR="003D3897">
        <w:t xml:space="preserve"> the manufacturer certifies the engine family using carryover emission data. </w:t>
      </w:r>
    </w:p>
    <w:p w:rsidRPr="007E49EB" w:rsidR="00E751C0" w:rsidP="008E5D72" w:rsidRDefault="0017248E" w14:paraId="396D6BD3" w14:textId="657BA09E">
      <w:pPr>
        <w:pStyle w:val="BodyText"/>
        <w:numPr>
          <w:ilvl w:val="1"/>
          <w:numId w:val="16"/>
        </w:numPr>
        <w:spacing w:after="0"/>
      </w:pPr>
      <w:r w:rsidRPr="007E49EB">
        <w:t>I</w:t>
      </w:r>
      <w:r w:rsidRPr="007E49EB" w:rsidR="00E751C0">
        <w:t xml:space="preserve">ncludes tests performed before these changes to the regulation become effective. </w:t>
      </w:r>
    </w:p>
    <w:p w:rsidRPr="007E49EB" w:rsidR="00E751C0" w:rsidP="008E5D72" w:rsidRDefault="0017248E" w14:paraId="3D92F591" w14:textId="05C2AB11">
      <w:pPr>
        <w:pStyle w:val="BodyText"/>
        <w:numPr>
          <w:ilvl w:val="1"/>
          <w:numId w:val="16"/>
        </w:numPr>
        <w:spacing w:after="0"/>
      </w:pPr>
      <w:r w:rsidRPr="007E49EB">
        <w:t>May</w:t>
      </w:r>
      <w:r w:rsidRPr="007E49EB" w:rsidR="00E751C0">
        <w:t xml:space="preserve"> share testing for recreational and commercial engine families if they rely on the same emission-data engine</w:t>
      </w:r>
    </w:p>
    <w:p w:rsidRPr="007E49EB" w:rsidR="00E751C0" w:rsidP="008E5D72" w:rsidRDefault="00C23722" w14:paraId="1984773E" w14:textId="6BC1C003">
      <w:pPr>
        <w:pStyle w:val="BodyText"/>
        <w:numPr>
          <w:ilvl w:val="0"/>
          <w:numId w:val="16"/>
        </w:numPr>
        <w:spacing w:after="0"/>
      </w:pPr>
      <w:r>
        <w:t>R</w:t>
      </w:r>
      <w:r w:rsidRPr="007E49EB" w:rsidR="003D3897">
        <w:t>emov</w:t>
      </w:r>
      <w:r>
        <w:t>al of</w:t>
      </w:r>
      <w:r w:rsidRPr="007E49EB" w:rsidR="003D3897">
        <w:t xml:space="preserve"> the testing exemption for small-volume engine manufacturers and low-volume engine families. </w:t>
      </w:r>
    </w:p>
    <w:p w:rsidRPr="007E49EB" w:rsidR="00F829CE" w:rsidP="008E5D72" w:rsidRDefault="00F829CE" w14:paraId="56D74896" w14:textId="77777777">
      <w:pPr>
        <w:pStyle w:val="BodyText"/>
        <w:numPr>
          <w:ilvl w:val="1"/>
          <w:numId w:val="16"/>
        </w:numPr>
        <w:spacing w:after="0"/>
      </w:pPr>
      <w:r w:rsidRPr="007E49EB">
        <w:t xml:space="preserve">Require a single test engine randomly selected early in the production run. EPA may direct the manufacturer to select a specific configuration and build date. </w:t>
      </w:r>
    </w:p>
    <w:p w:rsidRPr="007E49EB" w:rsidR="00F829CE" w:rsidP="008E5D72" w:rsidRDefault="00F829CE" w14:paraId="2008D68F" w14:textId="11533B7D">
      <w:pPr>
        <w:pStyle w:val="BodyText"/>
        <w:numPr>
          <w:ilvl w:val="1"/>
          <w:numId w:val="16"/>
        </w:numPr>
        <w:spacing w:after="0"/>
      </w:pPr>
      <w:r w:rsidRPr="007E49EB">
        <w:t>The manufacturer continues to be subject to the requirement to test two more engines for each failing engine, and notify EPA if an engine family fails</w:t>
      </w:r>
    </w:p>
    <w:p w:rsidRPr="007E49EB" w:rsidR="00E95C96" w:rsidP="008E5D72" w:rsidRDefault="00C23722" w14:paraId="411DEBAC" w14:textId="539172D5">
      <w:pPr>
        <w:pStyle w:val="BodyText"/>
        <w:numPr>
          <w:ilvl w:val="0"/>
          <w:numId w:val="16"/>
        </w:numPr>
        <w:spacing w:after="0"/>
      </w:pPr>
      <w:r>
        <w:t>T</w:t>
      </w:r>
      <w:r w:rsidR="00D207A2">
        <w:t>o r</w:t>
      </w:r>
      <w:r w:rsidRPr="007E49EB" w:rsidR="00E95C96">
        <w:t xml:space="preserve">educe reporting requirements from </w:t>
      </w:r>
      <w:r w:rsidR="00C03928">
        <w:t xml:space="preserve">up to </w:t>
      </w:r>
      <w:r w:rsidRPr="007E49EB" w:rsidR="00E95C96">
        <w:t>four per year to one within 45 days after testing is complete for the family</w:t>
      </w:r>
    </w:p>
    <w:p w:rsidRPr="007E49EB" w:rsidR="00E95C96" w:rsidP="004155D9" w:rsidRDefault="00D207A2" w14:paraId="0968A5D7" w14:textId="7FFE0001">
      <w:pPr>
        <w:pStyle w:val="ListParagraph"/>
        <w:numPr>
          <w:ilvl w:val="0"/>
          <w:numId w:val="16"/>
        </w:numPr>
      </w:pPr>
      <w:r>
        <w:t>M</w:t>
      </w:r>
      <w:r w:rsidRPr="007E49EB" w:rsidR="00E95C96">
        <w:t xml:space="preserve">anufacturers </w:t>
      </w:r>
      <w:r w:rsidR="00F912CF">
        <w:t xml:space="preserve">would be able </w:t>
      </w:r>
      <w:r w:rsidRPr="007E49EB" w:rsidR="00E95C96">
        <w:t>to transition to the new test requirements by spreading out tests over multiple years if several engine families are affected. Small-volume engine manufacturers would need to test no more than two engine families in a single model year, and other engine manufacturers would need to test no more than four engine families in a single model year.</w:t>
      </w:r>
    </w:p>
    <w:p w:rsidRPr="007E49EB" w:rsidR="00E95C96" w:rsidP="004155D9" w:rsidRDefault="00F912CF" w14:paraId="6F299EB0" w14:textId="1B205110">
      <w:pPr>
        <w:pStyle w:val="ListParagraph"/>
        <w:numPr>
          <w:ilvl w:val="0"/>
          <w:numId w:val="16"/>
        </w:numPr>
      </w:pPr>
      <w:r>
        <w:lastRenderedPageBreak/>
        <w:t>To a</w:t>
      </w:r>
      <w:r w:rsidRPr="007E49EB" w:rsidR="00E95C96">
        <w:t>llow EPA to withhold approval of a request for certification for a family for a given year if PLT work from the previous model year is not done</w:t>
      </w:r>
    </w:p>
    <w:p w:rsidRPr="007E49EB" w:rsidR="00E95C96" w:rsidP="004155D9" w:rsidRDefault="00E95C96" w14:paraId="3DE03857" w14:textId="5CCC9736">
      <w:pPr>
        <w:pStyle w:val="ListParagraph"/>
        <w:numPr>
          <w:ilvl w:val="0"/>
          <w:numId w:val="16"/>
        </w:numPr>
      </w:pPr>
      <w:r w:rsidRPr="007E49EB">
        <w:t>EPA</w:t>
      </w:r>
      <w:r w:rsidR="00227A88">
        <w:t xml:space="preserve"> retains the</w:t>
      </w:r>
      <w:r w:rsidRPr="007E49EB">
        <w:t xml:space="preserve"> ability to require an additional test in the same model year or a later model year for cause even after there was a passing result based on any reasonable suspicion that engines may not meet emission standards</w:t>
      </w:r>
    </w:p>
    <w:p w:rsidRPr="007E49EB" w:rsidR="003D3897" w:rsidP="004155D9" w:rsidRDefault="003D3897" w14:paraId="68438948" w14:textId="200D65A0">
      <w:pPr>
        <w:pStyle w:val="ListParagraph"/>
        <w:numPr>
          <w:ilvl w:val="0"/>
          <w:numId w:val="16"/>
        </w:numPr>
      </w:pPr>
      <w:r w:rsidRPr="007E49EB">
        <w:t>The start of testing must occur within 60 days after production starts for a given Category 1 engine family, with an accommodation for low-volume families that specifies that the engine manufacturer must test the next engine produced if the 60-day time frame is not sufficient for selecting a test engine</w:t>
      </w:r>
    </w:p>
    <w:p w:rsidRPr="007E49EB" w:rsidR="003D3897" w:rsidP="004155D9" w:rsidRDefault="003D3897" w14:paraId="01F6846C" w14:textId="2FD1D60C">
      <w:pPr>
        <w:pStyle w:val="ListParagraph"/>
        <w:numPr>
          <w:ilvl w:val="0"/>
          <w:numId w:val="16"/>
        </w:numPr>
      </w:pPr>
      <w:r w:rsidRPr="007E49EB">
        <w:t>The same provisions apply for selecting a Category 2 engine for testing, except that the 60-day period for engine selection starts after the manufacturer produces the fifth engine from an engine family. This approach is reflective of the production volumes that are typical for Category 2 engines</w:t>
      </w:r>
    </w:p>
    <w:p w:rsidRPr="007E49EB" w:rsidR="003D3897" w:rsidP="004155D9" w:rsidRDefault="003D3897" w14:paraId="6942E0F9" w14:textId="77777777">
      <w:pPr>
        <w:pStyle w:val="ListParagraph"/>
        <w:numPr>
          <w:ilvl w:val="0"/>
          <w:numId w:val="16"/>
        </w:numPr>
      </w:pPr>
      <w:r w:rsidRPr="007E49EB">
        <w:t xml:space="preserve">For the additional testing that is required after failing results, we specify a 90-day time frame in case the engine family's production volumes are too low to resume testing after producing 15 engines. </w:t>
      </w:r>
    </w:p>
    <w:p w:rsidRPr="007E49EB" w:rsidR="009A1E74" w:rsidP="004155D9" w:rsidRDefault="0040056C" w14:paraId="05CB6220" w14:textId="339EB1E0">
      <w:pPr>
        <w:pStyle w:val="ListParagraph"/>
        <w:numPr>
          <w:ilvl w:val="0"/>
          <w:numId w:val="16"/>
        </w:numPr>
      </w:pPr>
      <w:r>
        <w:t>K</w:t>
      </w:r>
      <w:r w:rsidRPr="007E49EB" w:rsidR="003D3897">
        <w:t>eeping the requirement to randomly select production engines for testing, but we are clarifying that</w:t>
      </w:r>
      <w:r w:rsidRPr="007E49EB" w:rsidR="009A1E74">
        <w:t>:</w:t>
      </w:r>
    </w:p>
    <w:p w:rsidRPr="007E49EB" w:rsidR="009A1E74" w:rsidP="004155D9" w:rsidRDefault="009A1E74" w14:paraId="2C34BB62" w14:textId="1E392A42">
      <w:pPr>
        <w:pStyle w:val="ListParagraph"/>
        <w:numPr>
          <w:ilvl w:val="1"/>
          <w:numId w:val="16"/>
        </w:numPr>
      </w:pPr>
      <w:r w:rsidRPr="007E49EB">
        <w:t>Must</w:t>
      </w:r>
      <w:r w:rsidRPr="007E49EB" w:rsidR="003D3897">
        <w:t xml:space="preserve"> ensure that test engines have been assembled using the same instructions, procedures, and quality-control oversight that applies for other production engines</w:t>
      </w:r>
      <w:r w:rsidR="0040056C">
        <w:t>,</w:t>
      </w:r>
      <w:r w:rsidRPr="007E49EB" w:rsidR="003D3897">
        <w:t xml:space="preserve"> and </w:t>
      </w:r>
    </w:p>
    <w:p w:rsidRPr="007E49EB" w:rsidR="003D3897" w:rsidP="004155D9" w:rsidRDefault="009A1E74" w14:paraId="45BDA413" w14:textId="6A1AB907">
      <w:pPr>
        <w:pStyle w:val="ListParagraph"/>
        <w:numPr>
          <w:ilvl w:val="1"/>
          <w:numId w:val="16"/>
        </w:numPr>
      </w:pPr>
      <w:r w:rsidRPr="007E49EB">
        <w:t>R</w:t>
      </w:r>
      <w:r w:rsidRPr="007E49EB" w:rsidR="003D3897">
        <w:t>andom selection can include preferentially selecting engines earlier than we specify. For example, a manufacturer may randomly select a test engine for a high-volume Category 1 engine family in the first 20 days of production instead of randomly selecting a test engine from the first 60 days of production</w:t>
      </w:r>
    </w:p>
    <w:p w:rsidR="003D3897" w:rsidP="004155D9" w:rsidRDefault="002C6828" w14:paraId="174C41CD" w14:textId="5621F0FE">
      <w:pPr>
        <w:pStyle w:val="ListParagraph"/>
        <w:numPr>
          <w:ilvl w:val="0"/>
          <w:numId w:val="16"/>
        </w:numPr>
      </w:pPr>
      <w:r w:rsidRPr="007E49EB">
        <w:t>N</w:t>
      </w:r>
      <w:r w:rsidRPr="007E49EB" w:rsidR="003D3897">
        <w:t>o test requirements until after the manufacturer starts production for a given engine family.</w:t>
      </w:r>
    </w:p>
    <w:p w:rsidRPr="003E7D25" w:rsidR="00AD789A" w:rsidP="00232884" w:rsidRDefault="00AD789A" w14:paraId="23FB3EC7" w14:textId="77777777">
      <w:pPr>
        <w:numPr>
          <w:ilvl w:val="12"/>
          <w:numId w:val="0"/>
        </w:numPr>
        <w:ind w:left="720" w:hanging="360"/>
      </w:pPr>
    </w:p>
    <w:p w:rsidRPr="003E7D25" w:rsidR="00A148FB" w:rsidP="00A148FB" w:rsidRDefault="00A148FB" w14:paraId="6819CF6D" w14:textId="77777777">
      <w:pPr>
        <w:numPr>
          <w:ilvl w:val="12"/>
          <w:numId w:val="0"/>
        </w:numPr>
        <w:ind w:left="720" w:hanging="360"/>
      </w:pPr>
    </w:p>
    <w:p w:rsidRPr="006453F8" w:rsidR="001F67AD" w:rsidP="001F67AD" w:rsidRDefault="006453F8" w14:paraId="69F9A0B5" w14:textId="42966AD0">
      <w:pPr>
        <w:ind w:left="720" w:firstLine="720"/>
        <w:rPr>
          <w:i/>
        </w:rPr>
      </w:pPr>
      <w:r w:rsidRPr="006453F8">
        <w:rPr>
          <w:i/>
        </w:rPr>
        <w:t xml:space="preserve"> </w:t>
      </w:r>
      <w:r w:rsidRPr="006453F8" w:rsidR="001F67AD">
        <w:rPr>
          <w:i/>
        </w:rPr>
        <w:t>(4)(b)(</w:t>
      </w:r>
      <w:proofErr w:type="spellStart"/>
      <w:r w:rsidRPr="006453F8" w:rsidR="001F67AD">
        <w:rPr>
          <w:i/>
        </w:rPr>
        <w:t>i</w:t>
      </w:r>
      <w:proofErr w:type="spellEnd"/>
      <w:r w:rsidRPr="006453F8" w:rsidR="001F67AD">
        <w:rPr>
          <w:i/>
        </w:rPr>
        <w:t>)(4) In-use Testing</w:t>
      </w:r>
      <w:r w:rsidR="00221592">
        <w:rPr>
          <w:i/>
        </w:rPr>
        <w:t xml:space="preserve"> – Heavy-duty engines</w:t>
      </w:r>
    </w:p>
    <w:p w:rsidRPr="006453F8" w:rsidR="001F67AD" w:rsidP="001F67AD" w:rsidRDefault="001F67AD" w14:paraId="2897219D" w14:textId="77777777"/>
    <w:p w:rsidRPr="0051770D" w:rsidR="00233478" w:rsidP="00233478" w:rsidRDefault="006B787F" w14:paraId="442281DF" w14:textId="77777777">
      <w:pPr>
        <w:pStyle w:val="BodyText"/>
        <w:ind w:firstLine="360"/>
      </w:pPr>
      <w:bookmarkStart w:name="_Hlk520668285" w:id="13"/>
      <w:r w:rsidRPr="0051770D">
        <w:t xml:space="preserve">The HD In-use testing program requirements are being modified to reflect proposed changes in testing and data analysis requirements. </w:t>
      </w:r>
    </w:p>
    <w:p w:rsidRPr="00E13434" w:rsidR="00E13434" w:rsidP="00E13434" w:rsidRDefault="00E13434" w14:paraId="415DE542" w14:textId="2B47D05E">
      <w:pPr>
        <w:pStyle w:val="ListParagraph"/>
        <w:numPr>
          <w:ilvl w:val="0"/>
          <w:numId w:val="28"/>
        </w:numPr>
      </w:pPr>
      <w:r w:rsidRPr="00E13434">
        <w:t>Migrating the manufacturer-run field testing program provisions for CI engines from Part 86, subpart T to Part 1036</w:t>
      </w:r>
    </w:p>
    <w:p w:rsidR="00C365E7" w:rsidP="00C365E7" w:rsidRDefault="00C365E7" w14:paraId="1C7B0FF8" w14:textId="77777777">
      <w:pPr>
        <w:pStyle w:val="ListParagraph"/>
        <w:numPr>
          <w:ilvl w:val="1"/>
          <w:numId w:val="28"/>
        </w:numPr>
      </w:pPr>
      <w:r w:rsidRPr="00E13434">
        <w:t>Not proposing a manufacturer-run in-use testing program for Spark-ignition HDE at this time, though we may consider it in future rulemakings</w:t>
      </w:r>
    </w:p>
    <w:p w:rsidRPr="0051770D" w:rsidR="000F4FCB" w:rsidP="00C10C3F" w:rsidRDefault="00EE0D39" w14:paraId="3AD8CA63" w14:textId="57B4D86C">
      <w:pPr>
        <w:pStyle w:val="BodyText"/>
        <w:numPr>
          <w:ilvl w:val="0"/>
          <w:numId w:val="28"/>
        </w:numPr>
        <w:spacing w:after="0"/>
      </w:pPr>
      <w:r>
        <w:t xml:space="preserve">Use of the </w:t>
      </w:r>
      <w:r w:rsidRPr="0051770D" w:rsidR="00233478">
        <w:t xml:space="preserve">proposed </w:t>
      </w:r>
      <w:r w:rsidRPr="0051770D" w:rsidR="000F4FCB">
        <w:t xml:space="preserve">moving average window (MAW) procedure </w:t>
      </w:r>
      <w:r w:rsidRPr="0051770D" w:rsidR="00233478">
        <w:t>(</w:t>
      </w:r>
      <w:r w:rsidRPr="0051770D" w:rsidR="00C10C3F">
        <w:t xml:space="preserve">proposed </w:t>
      </w:r>
      <w:r w:rsidRPr="0051770D" w:rsidR="000F4FCB">
        <w:t>1036.515</w:t>
      </w:r>
      <w:r w:rsidRPr="0051770D" w:rsidR="00233478">
        <w:t>)</w:t>
      </w:r>
      <w:r w:rsidRPr="0051770D" w:rsidR="000F4FCB">
        <w:t xml:space="preserve"> that separates in-use operation into idle, low load and medium/high load bins. </w:t>
      </w:r>
    </w:p>
    <w:p w:rsidR="0032694B" w:rsidP="004155D9" w:rsidRDefault="0032694B" w14:paraId="7FEB2D43" w14:textId="5790C47E">
      <w:pPr>
        <w:pStyle w:val="ListParagraph"/>
        <w:numPr>
          <w:ilvl w:val="0"/>
          <w:numId w:val="7"/>
        </w:numPr>
      </w:pPr>
      <w:r>
        <w:t>Proposed changes to t</w:t>
      </w:r>
      <w:r w:rsidR="00EE0D39">
        <w:t>esting limits</w:t>
      </w:r>
      <w:r>
        <w:t xml:space="preserve"> and determination of pass/fail status</w:t>
      </w:r>
    </w:p>
    <w:p w:rsidRPr="00221592" w:rsidR="00A03FEC" w:rsidP="006A63F6" w:rsidRDefault="00FF736E" w14:paraId="0EA978A2" w14:textId="5038AE9C">
      <w:pPr>
        <w:pStyle w:val="ListParagraph"/>
        <w:numPr>
          <w:ilvl w:val="1"/>
          <w:numId w:val="7"/>
        </w:numPr>
      </w:pPr>
      <w:r w:rsidRPr="00221592">
        <w:t>Proposing to not carry forward the Phase 2 requirements in 86.1915 beginning with MY 2027</w:t>
      </w:r>
      <w:r w:rsidR="006A63F6">
        <w:t xml:space="preserve"> </w:t>
      </w:r>
    </w:p>
    <w:p w:rsidRPr="00221592" w:rsidR="000742E8" w:rsidP="00931FA5" w:rsidRDefault="0051770D" w14:paraId="2618211C" w14:textId="08877F4C">
      <w:pPr>
        <w:pStyle w:val="ListParagraph"/>
        <w:numPr>
          <w:ilvl w:val="1"/>
          <w:numId w:val="7"/>
        </w:numPr>
      </w:pPr>
      <w:r>
        <w:t>C</w:t>
      </w:r>
      <w:r w:rsidRPr="00221592" w:rsidR="00A03FEC">
        <w:t xml:space="preserve">ompliance with the off-cycle standards would be determined by testing a maximum of 10 engines, which was the original limit under Phase 1 </w:t>
      </w:r>
    </w:p>
    <w:p w:rsidR="004A2B2F" w:rsidP="004155D9" w:rsidRDefault="002F028A" w14:paraId="185D5A2D" w14:textId="5059338F">
      <w:pPr>
        <w:pStyle w:val="ListParagraph"/>
        <w:numPr>
          <w:ilvl w:val="1"/>
          <w:numId w:val="7"/>
        </w:numPr>
      </w:pPr>
      <w:r>
        <w:t>P</w:t>
      </w:r>
      <w:r w:rsidRPr="00221592" w:rsidR="00A03FEC">
        <w:t xml:space="preserve">roposed 1036.425 requires initially testing five engines  </w:t>
      </w:r>
    </w:p>
    <w:p w:rsidR="00655B83" w:rsidP="004155D9" w:rsidRDefault="008735D2" w14:paraId="2167A521" w14:textId="5FFD6B0F">
      <w:pPr>
        <w:pStyle w:val="ListParagraph"/>
        <w:numPr>
          <w:ilvl w:val="1"/>
          <w:numId w:val="7"/>
        </w:numPr>
      </w:pPr>
      <w:r>
        <w:t xml:space="preserve">Engine family passes if </w:t>
      </w:r>
      <w:r w:rsidR="002C33AD">
        <w:t xml:space="preserve">all </w:t>
      </w:r>
      <w:r w:rsidRPr="00221592" w:rsidR="00A03FEC">
        <w:t>five engines</w:t>
      </w:r>
      <w:r w:rsidR="002E1196">
        <w:t xml:space="preserve"> obtain </w:t>
      </w:r>
      <w:r w:rsidRPr="00221592" w:rsidR="00A03FEC">
        <w:t>pass</w:t>
      </w:r>
      <w:r w:rsidR="002C33AD">
        <w:t>ing results</w:t>
      </w:r>
    </w:p>
    <w:p w:rsidR="00EB776A" w:rsidP="004155D9" w:rsidRDefault="002E1196" w14:paraId="7B4AAF47" w14:textId="4620523E">
      <w:pPr>
        <w:pStyle w:val="ListParagraph"/>
        <w:numPr>
          <w:ilvl w:val="1"/>
          <w:numId w:val="7"/>
        </w:numPr>
      </w:pPr>
      <w:r>
        <w:t xml:space="preserve">If there are failures, </w:t>
      </w:r>
      <w:r w:rsidR="00A741D0">
        <w:t>additional engines</w:t>
      </w:r>
      <w:r w:rsidRPr="00731688" w:rsidR="00A741D0">
        <w:t xml:space="preserve"> </w:t>
      </w:r>
      <w:r w:rsidR="00A741D0">
        <w:t>would be tested</w:t>
      </w:r>
      <w:r w:rsidR="0092331A">
        <w:t>,</w:t>
      </w:r>
      <w:r w:rsidR="00A741D0">
        <w:t xml:space="preserve"> </w:t>
      </w:r>
      <w:r w:rsidR="00731688">
        <w:t xml:space="preserve">up </w:t>
      </w:r>
      <w:r w:rsidR="00A15F7B">
        <w:t>to</w:t>
      </w:r>
      <w:r w:rsidR="00523368">
        <w:t xml:space="preserve"> </w:t>
      </w:r>
      <w:r w:rsidR="0092331A">
        <w:t xml:space="preserve">a maximum of </w:t>
      </w:r>
      <w:r w:rsidR="00523368">
        <w:t>10</w:t>
      </w:r>
      <w:r w:rsidR="00763501">
        <w:t xml:space="preserve"> </w:t>
      </w:r>
    </w:p>
    <w:p w:rsidRPr="00221592" w:rsidR="00221592" w:rsidP="00CB4501" w:rsidRDefault="00CB4501" w14:paraId="02924863" w14:textId="72CA02EE">
      <w:pPr>
        <w:pStyle w:val="ListParagraph"/>
        <w:numPr>
          <w:ilvl w:val="1"/>
          <w:numId w:val="7"/>
        </w:numPr>
      </w:pPr>
      <w:r>
        <w:t>Engine family fails i</w:t>
      </w:r>
      <w:r w:rsidRPr="00221592" w:rsidR="00A03FEC">
        <w:t xml:space="preserve">f the arithmetic mean of the sum-over-sum emissions from the ten engines for any of the 3 bins for any of the pollutants is above the off-cycle bin standards </w:t>
      </w:r>
    </w:p>
    <w:p w:rsidRPr="00221592" w:rsidR="00221592" w:rsidP="004155D9" w:rsidRDefault="00221592" w14:paraId="1EAE97C0" w14:textId="3A33EC83">
      <w:pPr>
        <w:pStyle w:val="BodyText"/>
        <w:numPr>
          <w:ilvl w:val="1"/>
          <w:numId w:val="7"/>
        </w:numPr>
        <w:spacing w:after="0"/>
      </w:pPr>
      <w:r w:rsidRPr="00221592">
        <w:t>P</w:t>
      </w:r>
      <w:r w:rsidRPr="00221592" w:rsidR="00A03FEC">
        <w:t>roposing to allow manufacturers to test a minimum of 2 engines using PEMS</w:t>
      </w:r>
      <w:r w:rsidR="00EE65FF">
        <w:t xml:space="preserve"> </w:t>
      </w:r>
      <w:r w:rsidRPr="00221592" w:rsidR="00A03FEC">
        <w:t xml:space="preserve">provided they </w:t>
      </w:r>
      <w:proofErr w:type="gramStart"/>
      <w:r w:rsidRPr="00221592" w:rsidR="00347BF6">
        <w:t>measure</w:t>
      </w:r>
      <w:proofErr w:type="gramEnd"/>
      <w:r w:rsidR="00B81A58">
        <w:t xml:space="preserve"> </w:t>
      </w:r>
      <w:r w:rsidRPr="00221592" w:rsidR="00A03FEC">
        <w:t>and report in-use data collected from the engine’s on-board NO</w:t>
      </w:r>
      <w:r w:rsidRPr="00221592" w:rsidR="00A03FEC">
        <w:rPr>
          <w:vertAlign w:val="subscript"/>
        </w:rPr>
        <w:t>X</w:t>
      </w:r>
      <w:r w:rsidRPr="00221592" w:rsidR="00A03FEC">
        <w:t xml:space="preserve"> measurement system</w:t>
      </w:r>
    </w:p>
    <w:p w:rsidR="00A03FEC" w:rsidP="00291412" w:rsidRDefault="00221592" w14:paraId="2ED796E0" w14:textId="497A6936">
      <w:pPr>
        <w:pStyle w:val="BodyText"/>
        <w:numPr>
          <w:ilvl w:val="2"/>
          <w:numId w:val="7"/>
        </w:numPr>
        <w:spacing w:after="0"/>
      </w:pPr>
      <w:r w:rsidRPr="00221592">
        <w:t xml:space="preserve">Requires Agency approval </w:t>
      </w:r>
      <w:r w:rsidR="00347BF6">
        <w:t>per</w:t>
      </w:r>
      <w:r w:rsidRPr="00221592" w:rsidR="00A03FEC">
        <w:t xml:space="preserve"> 1036.405(g)</w:t>
      </w:r>
    </w:p>
    <w:p w:rsidR="00693181" w:rsidP="00693181" w:rsidRDefault="00DC7970" w14:paraId="4CD5C554" w14:textId="3D160512">
      <w:pPr>
        <w:pStyle w:val="BodyText"/>
        <w:numPr>
          <w:ilvl w:val="0"/>
          <w:numId w:val="7"/>
        </w:numPr>
        <w:spacing w:after="0"/>
      </w:pPr>
      <w:r>
        <w:t>Requesting</w:t>
      </w:r>
      <w:r w:rsidRPr="00DC7970" w:rsidR="00193AEE">
        <w:t xml:space="preserve"> comment on </w:t>
      </w:r>
      <w:r w:rsidR="00A84578">
        <w:t>option to</w:t>
      </w:r>
      <w:r w:rsidR="00AA61A8">
        <w:t xml:space="preserve"> request</w:t>
      </w:r>
      <w:r w:rsidR="00130B07">
        <w:t xml:space="preserve"> and, </w:t>
      </w:r>
      <w:r w:rsidR="00A84578">
        <w:t>if approved by EPA,</w:t>
      </w:r>
      <w:r w:rsidRPr="00DC7970" w:rsidR="00193AEE">
        <w:t xml:space="preserve"> </w:t>
      </w:r>
      <w:r w:rsidR="00130B07">
        <w:t xml:space="preserve">exempt </w:t>
      </w:r>
      <w:r w:rsidRPr="00DC7970" w:rsidR="00193AEE">
        <w:t xml:space="preserve">test results </w:t>
      </w:r>
      <w:r w:rsidR="00C51FEB">
        <w:t>from a vehicle selected for in-use testing</w:t>
      </w:r>
      <w:r w:rsidRPr="00DC7970" w:rsidR="00193AEE">
        <w:t xml:space="preserve"> if </w:t>
      </w:r>
      <w:r w:rsidR="00C51FEB">
        <w:t>the</w:t>
      </w:r>
      <w:r w:rsidRPr="00DC7970" w:rsidR="00193AEE">
        <w:t xml:space="preserve"> engine manufacturer can show that the vehicle was historically fueled with biodiesel blends whose B100 blend stock did not meet the ASTM D6751-20a limit</w:t>
      </w:r>
      <w:r w:rsidRPr="004F330C" w:rsidR="00193AEE">
        <w:t xml:space="preserve"> for Na, K, Ca, and/or Mg metal (metals which are a byproduct of biodiesel production).  </w:t>
      </w:r>
    </w:p>
    <w:p w:rsidR="006453F8" w:rsidP="00B46F93" w:rsidRDefault="002C3CF8" w14:paraId="4A9FA279" w14:textId="5397B043">
      <w:pPr>
        <w:pStyle w:val="BodyText"/>
        <w:numPr>
          <w:ilvl w:val="1"/>
          <w:numId w:val="7"/>
        </w:numPr>
        <w:spacing w:after="0"/>
      </w:pPr>
      <w:r>
        <w:t>T</w:t>
      </w:r>
      <w:r w:rsidRPr="004F330C" w:rsidR="00193AEE">
        <w:t xml:space="preserve">he engine manufacturer </w:t>
      </w:r>
      <w:r>
        <w:t>would need t</w:t>
      </w:r>
      <w:r w:rsidRPr="004F330C" w:rsidR="00193AEE">
        <w:t xml:space="preserve">o provide proof of historic </w:t>
      </w:r>
      <w:r w:rsidRPr="004F330C" w:rsidR="00420025">
        <w:t>misfuelling</w:t>
      </w:r>
      <w:r w:rsidRPr="004F330C" w:rsidR="00193AEE">
        <w:t xml:space="preserve"> with off-specification biodiesel blends</w:t>
      </w:r>
      <w:r w:rsidR="005F5F7F">
        <w:t xml:space="preserve"> and an</w:t>
      </w:r>
      <w:r w:rsidRPr="004F330C" w:rsidR="00193AEE">
        <w:t xml:space="preserve"> analysis of the level of the poisoning agents on the catalysts </w:t>
      </w:r>
      <w:bookmarkEnd w:id="13"/>
    </w:p>
    <w:p w:rsidRPr="005F5F7F" w:rsidR="005F5F7F" w:rsidP="005F5F7F" w:rsidRDefault="005F5F7F" w14:paraId="49F1DB9A" w14:textId="77777777">
      <w:pPr>
        <w:pStyle w:val="BodyText"/>
        <w:spacing w:after="0"/>
        <w:ind w:left="1440"/>
      </w:pPr>
    </w:p>
    <w:p w:rsidR="00693181" w:rsidP="00085168" w:rsidRDefault="00693181" w14:paraId="2E1CC12B" w14:textId="77777777">
      <w:pPr>
        <w:ind w:left="720" w:firstLine="720"/>
        <w:rPr>
          <w:i/>
        </w:rPr>
      </w:pPr>
      <w:bookmarkStart w:name="_Hlk520668825" w:id="14"/>
    </w:p>
    <w:p w:rsidRPr="006453F8" w:rsidR="00085168" w:rsidP="00085168" w:rsidRDefault="00085168" w14:paraId="7BC6CA98" w14:textId="4AE77FC0">
      <w:pPr>
        <w:ind w:left="720" w:firstLine="720"/>
        <w:rPr>
          <w:i/>
        </w:rPr>
      </w:pPr>
      <w:r w:rsidRPr="006453F8">
        <w:rPr>
          <w:i/>
        </w:rPr>
        <w:t>(4)(b</w:t>
      </w:r>
      <w:r w:rsidRPr="00F612E1">
        <w:rPr>
          <w:i/>
        </w:rPr>
        <w:t>)(</w:t>
      </w:r>
      <w:proofErr w:type="spellStart"/>
      <w:r w:rsidRPr="00F612E1">
        <w:rPr>
          <w:i/>
        </w:rPr>
        <w:t>i</w:t>
      </w:r>
      <w:proofErr w:type="spellEnd"/>
      <w:r w:rsidRPr="00F612E1">
        <w:rPr>
          <w:i/>
        </w:rPr>
        <w:t>)(</w:t>
      </w:r>
      <w:r w:rsidRPr="00F612E1" w:rsidR="00F612E1">
        <w:rPr>
          <w:i/>
        </w:rPr>
        <w:t>5</w:t>
      </w:r>
      <w:r w:rsidRPr="006453F8">
        <w:rPr>
          <w:i/>
        </w:rPr>
        <w:t xml:space="preserve">) </w:t>
      </w:r>
      <w:r>
        <w:rPr>
          <w:i/>
        </w:rPr>
        <w:t>Special Provisions</w:t>
      </w:r>
      <w:r w:rsidR="00F259A1">
        <w:rPr>
          <w:i/>
        </w:rPr>
        <w:t xml:space="preserve"> </w:t>
      </w:r>
      <w:r w:rsidR="00E26939">
        <w:rPr>
          <w:i/>
        </w:rPr>
        <w:t>and other considerations</w:t>
      </w:r>
    </w:p>
    <w:p w:rsidR="00085168" w:rsidP="0086771C" w:rsidRDefault="00085168" w14:paraId="361917B9" w14:textId="44E07933">
      <w:pPr>
        <w:pStyle w:val="Style6"/>
        <w:jc w:val="left"/>
        <w:rPr>
          <w:szCs w:val="20"/>
        </w:rPr>
      </w:pPr>
    </w:p>
    <w:p w:rsidRPr="003F773F" w:rsidR="003F773F" w:rsidP="004155D9" w:rsidRDefault="00E8752D" w14:paraId="20F06720" w14:textId="1AE9AF14">
      <w:pPr>
        <w:pStyle w:val="Style6"/>
        <w:numPr>
          <w:ilvl w:val="0"/>
          <w:numId w:val="7"/>
        </w:numPr>
        <w:jc w:val="left"/>
        <w:rPr>
          <w:szCs w:val="20"/>
        </w:rPr>
      </w:pPr>
      <w:r>
        <w:rPr>
          <w:szCs w:val="20"/>
        </w:rPr>
        <w:lastRenderedPageBreak/>
        <w:t xml:space="preserve">Confidentiality determinations – </w:t>
      </w:r>
      <w:r w:rsidRPr="003F773F" w:rsidR="00A07A13">
        <w:t xml:space="preserve">EPA is proposing regulations to establish </w:t>
      </w:r>
      <w:r w:rsidRPr="003F773F" w:rsidR="00E43363">
        <w:t xml:space="preserve">eight </w:t>
      </w:r>
      <w:r w:rsidRPr="003F773F" w:rsidR="00A07A13">
        <w:t xml:space="preserve">categories </w:t>
      </w:r>
      <w:r w:rsidRPr="003F773F" w:rsidR="008A6613">
        <w:t xml:space="preserve">of </w:t>
      </w:r>
      <w:r w:rsidRPr="003F773F" w:rsidR="00A07A13">
        <w:t>information submitted</w:t>
      </w:r>
      <w:r w:rsidRPr="003F773F" w:rsidR="00E43363">
        <w:t xml:space="preserve"> to the agency through</w:t>
      </w:r>
      <w:r w:rsidRPr="003F773F" w:rsidR="007A66C7">
        <w:t xml:space="preserve"> its</w:t>
      </w:r>
      <w:r w:rsidRPr="003F773F" w:rsidR="00E43363">
        <w:t xml:space="preserve"> </w:t>
      </w:r>
      <w:r w:rsidRPr="003F773F" w:rsidR="007A66C7">
        <w:t xml:space="preserve">certification and compliance data collections </w:t>
      </w:r>
      <w:r w:rsidRPr="003F773F" w:rsidR="008A6613">
        <w:t xml:space="preserve">that may not qualify for </w:t>
      </w:r>
      <w:r w:rsidRPr="003F773F" w:rsidR="003F773F">
        <w:t xml:space="preserve">the protections afforded to </w:t>
      </w:r>
      <w:r w:rsidRPr="003F773F" w:rsidR="008A6613">
        <w:t xml:space="preserve">proprietary </w:t>
      </w:r>
      <w:r w:rsidRPr="003F773F" w:rsidR="003F773F">
        <w:t xml:space="preserve">information under the CAA </w:t>
      </w:r>
    </w:p>
    <w:p w:rsidRPr="003F773F" w:rsidR="00676BB1" w:rsidP="004155D9" w:rsidRDefault="00BA18A9" w14:paraId="2EF82CFE" w14:textId="1A79E271">
      <w:pPr>
        <w:pStyle w:val="Style6"/>
        <w:numPr>
          <w:ilvl w:val="1"/>
          <w:numId w:val="7"/>
        </w:numPr>
        <w:jc w:val="left"/>
        <w:rPr>
          <w:szCs w:val="20"/>
        </w:rPr>
      </w:pPr>
      <w:r w:rsidRPr="003F773F">
        <w:t xml:space="preserve">Currently, data </w:t>
      </w:r>
      <w:r w:rsidRPr="003F773F" w:rsidR="003815B8">
        <w:t>may be published voluntarily by the agency</w:t>
      </w:r>
      <w:r w:rsidR="00131C92">
        <w:t>, through</w:t>
      </w:r>
      <w:r w:rsidRPr="003F773F" w:rsidR="003815B8">
        <w:t xml:space="preserve"> </w:t>
      </w:r>
      <w:r w:rsidRPr="003F773F" w:rsidR="00676BB1">
        <w:t xml:space="preserve">FOIA </w:t>
      </w:r>
      <w:r w:rsidRPr="003F773F">
        <w:t>request</w:t>
      </w:r>
      <w:r w:rsidRPr="003F773F" w:rsidR="00676BB1">
        <w:t>s or litigation</w:t>
      </w:r>
    </w:p>
    <w:p w:rsidRPr="003F773F" w:rsidR="008B7F3B" w:rsidP="004155D9" w:rsidRDefault="003036E9" w14:paraId="2BF80A8B" w14:textId="6428D0CD">
      <w:pPr>
        <w:pStyle w:val="Style6"/>
        <w:numPr>
          <w:ilvl w:val="1"/>
          <w:numId w:val="7"/>
        </w:numPr>
        <w:jc w:val="left"/>
        <w:rPr>
          <w:szCs w:val="20"/>
        </w:rPr>
      </w:pPr>
      <w:r>
        <w:t>Current process to challenge claims of confidentiality c</w:t>
      </w:r>
      <w:r w:rsidRPr="003F773F" w:rsidR="008B7F3B">
        <w:t>ould be a time-consuming process with inequitable results</w:t>
      </w:r>
    </w:p>
    <w:p w:rsidRPr="003F773F" w:rsidR="005279C0" w:rsidP="004155D9" w:rsidRDefault="008B7F3B" w14:paraId="72966D5F" w14:textId="495870BC">
      <w:pPr>
        <w:pStyle w:val="Style6"/>
        <w:numPr>
          <w:ilvl w:val="1"/>
          <w:numId w:val="7"/>
        </w:numPr>
        <w:jc w:val="left"/>
        <w:rPr>
          <w:szCs w:val="20"/>
        </w:rPr>
      </w:pPr>
      <w:r w:rsidRPr="003F773F">
        <w:t xml:space="preserve">Proposal </w:t>
      </w:r>
      <w:r w:rsidRPr="003F773F" w:rsidR="00D81AE8">
        <w:t>would apply to a wide range of products a under Parts</w:t>
      </w:r>
      <w:r w:rsidRPr="003F773F" w:rsidR="00A07A13">
        <w:t xml:space="preserve"> 59, 60, 85, 86, 87, 1030, 1033, 1036, 1037, 1043, 1045, 1048, 1051, 1054, 1060, and 1068.</w:t>
      </w:r>
    </w:p>
    <w:p w:rsidRPr="00131C92" w:rsidR="00131C92" w:rsidP="004155D9" w:rsidRDefault="002408CE" w14:paraId="5946C179" w14:textId="77777777">
      <w:pPr>
        <w:pStyle w:val="Style6"/>
        <w:numPr>
          <w:ilvl w:val="2"/>
          <w:numId w:val="7"/>
        </w:numPr>
        <w:jc w:val="left"/>
        <w:rPr>
          <w:szCs w:val="20"/>
        </w:rPr>
      </w:pPr>
      <w:r w:rsidRPr="003F773F">
        <w:t>All highway and stationary engine and vehicle categories</w:t>
      </w:r>
      <w:r w:rsidRPr="003F773F" w:rsidR="00117B0B">
        <w:t>, including stationary engines</w:t>
      </w:r>
    </w:p>
    <w:p w:rsidRPr="003F773F" w:rsidR="002408CE" w:rsidP="004155D9" w:rsidRDefault="00131C92" w14:paraId="60E9BA68" w14:textId="21F029CD">
      <w:pPr>
        <w:pStyle w:val="Style6"/>
        <w:numPr>
          <w:ilvl w:val="2"/>
          <w:numId w:val="7"/>
        </w:numPr>
        <w:jc w:val="left"/>
        <w:rPr>
          <w:szCs w:val="20"/>
        </w:rPr>
      </w:pPr>
      <w:r>
        <w:t>A</w:t>
      </w:r>
      <w:r w:rsidRPr="003F773F" w:rsidR="00117B0B">
        <w:t>ircraft</w:t>
      </w:r>
      <w:r>
        <w:t xml:space="preserve"> </w:t>
      </w:r>
      <w:r w:rsidRPr="003F773F">
        <w:t>and</w:t>
      </w:r>
      <w:r>
        <w:t xml:space="preserve"> aircraft engines</w:t>
      </w:r>
    </w:p>
    <w:p w:rsidRPr="003F773F" w:rsidR="002408CE" w:rsidP="004155D9" w:rsidRDefault="00131C92" w14:paraId="0A94914B" w14:textId="787197A4">
      <w:pPr>
        <w:pStyle w:val="Style6"/>
        <w:numPr>
          <w:ilvl w:val="2"/>
          <w:numId w:val="7"/>
        </w:numPr>
        <w:jc w:val="left"/>
        <w:rPr>
          <w:szCs w:val="20"/>
        </w:rPr>
      </w:pPr>
      <w:r>
        <w:t>P</w:t>
      </w:r>
      <w:r w:rsidRPr="003F773F" w:rsidR="002408CE">
        <w:t>ortable fuel containers</w:t>
      </w:r>
    </w:p>
    <w:p w:rsidRPr="00131C92" w:rsidR="002408CE" w:rsidP="004155D9" w:rsidRDefault="00131C92" w14:paraId="67888912" w14:textId="5BB1B48A">
      <w:pPr>
        <w:pStyle w:val="Style6"/>
        <w:numPr>
          <w:ilvl w:val="2"/>
          <w:numId w:val="7"/>
        </w:numPr>
        <w:jc w:val="left"/>
        <w:rPr>
          <w:szCs w:val="20"/>
        </w:rPr>
      </w:pPr>
      <w:r>
        <w:t>F</w:t>
      </w:r>
      <w:r w:rsidRPr="003F773F" w:rsidR="002408CE">
        <w:t xml:space="preserve">uel tanks and fuel lines used with some types of nonroad equipment. </w:t>
      </w:r>
    </w:p>
    <w:p w:rsidRPr="00924490" w:rsidR="00924490" w:rsidP="004155D9" w:rsidRDefault="00924490" w14:paraId="0C0BB280" w14:textId="1356BA6C">
      <w:pPr>
        <w:pStyle w:val="Style6"/>
        <w:numPr>
          <w:ilvl w:val="1"/>
          <w:numId w:val="7"/>
        </w:numPr>
        <w:jc w:val="left"/>
        <w:rPr>
          <w:szCs w:val="20"/>
        </w:rPr>
      </w:pPr>
      <w:r w:rsidRPr="00924490">
        <w:t>The information categories are:</w:t>
      </w:r>
    </w:p>
    <w:p w:rsidRPr="00924490" w:rsidR="00924490" w:rsidP="00924490" w:rsidRDefault="00924490" w14:paraId="37CB8695" w14:textId="77777777">
      <w:pPr>
        <w:pStyle w:val="Style6"/>
        <w:ind w:left="1440"/>
      </w:pPr>
      <w:r w:rsidRPr="00924490">
        <w:t xml:space="preserve">(1) certification and compliance information, </w:t>
      </w:r>
    </w:p>
    <w:p w:rsidRPr="00924490" w:rsidR="00924490" w:rsidP="00924490" w:rsidRDefault="00924490" w14:paraId="15F6D0CE" w14:textId="77777777">
      <w:pPr>
        <w:pStyle w:val="Style6"/>
        <w:ind w:left="1440"/>
      </w:pPr>
      <w:r w:rsidRPr="00924490">
        <w:t xml:space="preserve">(2) fleet value information, </w:t>
      </w:r>
    </w:p>
    <w:p w:rsidRPr="00924490" w:rsidR="00924490" w:rsidP="00924490" w:rsidRDefault="00924490" w14:paraId="38B53E09" w14:textId="77777777">
      <w:pPr>
        <w:pStyle w:val="Style6"/>
        <w:ind w:left="1440"/>
      </w:pPr>
      <w:r w:rsidRPr="00924490">
        <w:t xml:space="preserve">(3) source family information, </w:t>
      </w:r>
    </w:p>
    <w:p w:rsidRPr="00924490" w:rsidR="00924490" w:rsidP="00924490" w:rsidRDefault="00924490" w14:paraId="1C19B8E3" w14:textId="77777777">
      <w:pPr>
        <w:pStyle w:val="Style6"/>
        <w:ind w:left="1440"/>
      </w:pPr>
      <w:r w:rsidRPr="00924490">
        <w:t xml:space="preserve">(4) test information and results, </w:t>
      </w:r>
    </w:p>
    <w:p w:rsidRPr="00924490" w:rsidR="00924490" w:rsidP="00924490" w:rsidRDefault="00924490" w14:paraId="21D6993C" w14:textId="193041EE">
      <w:pPr>
        <w:pStyle w:val="Style6"/>
        <w:ind w:left="1440"/>
      </w:pPr>
      <w:r w:rsidRPr="00924490">
        <w:t>(5) averaging, banking, and trading (AB</w:t>
      </w:r>
      <w:r w:rsidR="00982579">
        <w:t>&amp;</w:t>
      </w:r>
      <w:r w:rsidRPr="00924490">
        <w:t xml:space="preserve">T) credit information, </w:t>
      </w:r>
    </w:p>
    <w:p w:rsidRPr="00924490" w:rsidR="00924490" w:rsidP="00924490" w:rsidRDefault="00924490" w14:paraId="40C15230" w14:textId="77777777">
      <w:pPr>
        <w:pStyle w:val="Style6"/>
        <w:ind w:left="1440"/>
      </w:pPr>
      <w:r w:rsidRPr="00924490">
        <w:t xml:space="preserve">(6) production volume information, </w:t>
      </w:r>
    </w:p>
    <w:p w:rsidRPr="00924490" w:rsidR="00924490" w:rsidP="00924490" w:rsidRDefault="00924490" w14:paraId="537AC88A" w14:textId="77777777">
      <w:pPr>
        <w:pStyle w:val="Style6"/>
        <w:ind w:left="1440"/>
      </w:pPr>
      <w:r w:rsidRPr="00924490">
        <w:t xml:space="preserve">(7) defect and recall information, and </w:t>
      </w:r>
    </w:p>
    <w:p w:rsidRPr="00924490" w:rsidR="00924490" w:rsidP="006D435F" w:rsidRDefault="00924490" w14:paraId="286C2C74" w14:textId="13CEC88E">
      <w:pPr>
        <w:pStyle w:val="Style6"/>
        <w:ind w:left="1440"/>
      </w:pPr>
      <w:r w:rsidRPr="00924490">
        <w:t xml:space="preserve">(8) selective enforcement audit (SEA) compliance information. </w:t>
      </w:r>
    </w:p>
    <w:p w:rsidR="0009247B" w:rsidP="004155D9" w:rsidRDefault="00633C54" w14:paraId="59655BCD" w14:textId="77777777">
      <w:pPr>
        <w:pStyle w:val="BodyText"/>
        <w:numPr>
          <w:ilvl w:val="0"/>
          <w:numId w:val="7"/>
        </w:numPr>
        <w:spacing w:after="0"/>
      </w:pPr>
      <w:bookmarkStart w:name="_Hlk95887166" w:id="15"/>
      <w:bookmarkEnd w:id="14"/>
      <w:r>
        <w:t xml:space="preserve">Adjustable parameters - </w:t>
      </w:r>
      <w:r w:rsidRPr="007A7961" w:rsidR="00F0490A">
        <w:t xml:space="preserve">proposing a new 1068.50 to update the current regulatory provisions </w:t>
      </w:r>
      <w:r w:rsidR="00F0490A">
        <w:t xml:space="preserve">to better </w:t>
      </w:r>
      <w:r w:rsidRPr="007A7961" w:rsidR="00F0490A">
        <w:t xml:space="preserve">describe how the established principles </w:t>
      </w:r>
      <w:r w:rsidR="00F0490A">
        <w:t xml:space="preserve">and requirements </w:t>
      </w:r>
      <w:r w:rsidRPr="007A7961" w:rsidR="00F0490A">
        <w:t xml:space="preserve">related to adjustable parameters </w:t>
      </w:r>
      <w:r w:rsidR="00F0490A">
        <w:t xml:space="preserve">also </w:t>
      </w:r>
      <w:r w:rsidRPr="007A7961" w:rsidR="00F0490A">
        <w:t xml:space="preserve">apply for </w:t>
      </w:r>
      <w:r w:rsidR="00F0490A">
        <w:t xml:space="preserve">current </w:t>
      </w:r>
      <w:r w:rsidRPr="007A7961" w:rsidR="00F0490A">
        <w:t xml:space="preserve">technologies. </w:t>
      </w:r>
    </w:p>
    <w:p w:rsidR="0009247B" w:rsidP="004155D9" w:rsidRDefault="0009247B" w14:paraId="70DB0F72" w14:textId="77777777">
      <w:pPr>
        <w:pStyle w:val="BodyText"/>
        <w:numPr>
          <w:ilvl w:val="1"/>
          <w:numId w:val="7"/>
        </w:numPr>
        <w:spacing w:after="0"/>
      </w:pPr>
      <w:r>
        <w:t>L</w:t>
      </w:r>
      <w:r w:rsidRPr="007A7961" w:rsidR="00F0490A">
        <w:t xml:space="preserve">argely based on the regulations that already apply for highway engines and vehicles under 86.094-22(e) and 86.1833-01. </w:t>
      </w:r>
    </w:p>
    <w:p w:rsidR="00A77B78" w:rsidP="004155D9" w:rsidRDefault="0009247B" w14:paraId="178FFE05" w14:textId="4D258A55">
      <w:pPr>
        <w:pStyle w:val="BodyText"/>
        <w:numPr>
          <w:ilvl w:val="1"/>
          <w:numId w:val="7"/>
        </w:numPr>
        <w:spacing w:after="0"/>
      </w:pPr>
      <w:r>
        <w:t>A</w:t>
      </w:r>
      <w:r w:rsidRPr="007A7961" w:rsidR="00F0490A">
        <w:t>ttempt to codify in one place a set of provisions that are consistent with current practice.</w:t>
      </w:r>
    </w:p>
    <w:bookmarkEnd w:id="15"/>
    <w:p w:rsidR="00A7530B" w:rsidP="004155D9" w:rsidRDefault="00B3106D" w14:paraId="7883EF9F" w14:textId="2D48C187">
      <w:pPr>
        <w:pStyle w:val="BodyText"/>
        <w:numPr>
          <w:ilvl w:val="0"/>
          <w:numId w:val="7"/>
        </w:numPr>
        <w:spacing w:after="0"/>
      </w:pPr>
      <w:r>
        <w:t xml:space="preserve">Updates and clarifications </w:t>
      </w:r>
      <w:r w:rsidR="00A7530B">
        <w:t>to</w:t>
      </w:r>
      <w:r w:rsidR="004B0575">
        <w:t>, such as</w:t>
      </w:r>
      <w:r w:rsidR="00A7530B">
        <w:t>:</w:t>
      </w:r>
    </w:p>
    <w:p w:rsidR="00B3106D" w:rsidP="004155D9" w:rsidRDefault="00A7530B" w14:paraId="3438B8A5" w14:textId="3C3404D2">
      <w:pPr>
        <w:pStyle w:val="BodyText"/>
        <w:numPr>
          <w:ilvl w:val="1"/>
          <w:numId w:val="7"/>
        </w:numPr>
        <w:spacing w:after="0"/>
      </w:pPr>
      <w:r>
        <w:t>M</w:t>
      </w:r>
      <w:r w:rsidR="007D2112">
        <w:t>iscellaneous</w:t>
      </w:r>
      <w:r w:rsidR="00B3106D">
        <w:t xml:space="preserve"> exemptions</w:t>
      </w:r>
    </w:p>
    <w:p w:rsidR="00372DC3" w:rsidP="004155D9" w:rsidRDefault="00372DC3" w14:paraId="32A9CDC6" w14:textId="779A35BC">
      <w:pPr>
        <w:pStyle w:val="BodyText"/>
        <w:numPr>
          <w:ilvl w:val="1"/>
          <w:numId w:val="7"/>
        </w:numPr>
        <w:spacing w:after="0"/>
      </w:pPr>
      <w:r>
        <w:t>Miscellaneous 1068 provisions</w:t>
      </w:r>
    </w:p>
    <w:p w:rsidR="00372DC3" w:rsidP="004155D9" w:rsidRDefault="00372DC3" w14:paraId="720C7477" w14:textId="69B98032">
      <w:pPr>
        <w:pStyle w:val="BodyText"/>
        <w:numPr>
          <w:ilvl w:val="1"/>
          <w:numId w:val="7"/>
        </w:numPr>
        <w:spacing w:after="0"/>
      </w:pPr>
      <w:r>
        <w:t>Miscellaneous testing requirements</w:t>
      </w:r>
    </w:p>
    <w:p w:rsidR="006D435F" w:rsidP="004155D9" w:rsidRDefault="00D51C96" w14:paraId="568D607D" w14:textId="1C1FF5AE">
      <w:pPr>
        <w:pStyle w:val="BodyText"/>
        <w:numPr>
          <w:ilvl w:val="0"/>
          <w:numId w:val="7"/>
        </w:numPr>
        <w:spacing w:after="0"/>
      </w:pPr>
      <w:r>
        <w:t xml:space="preserve">Codification of 2016 guidance on Vanadium SCRs on </w:t>
      </w:r>
      <w:r w:rsidR="00A77B37">
        <w:t>reasonable steps</w:t>
      </w:r>
      <w:r>
        <w:t xml:space="preserve"> to prevent excessive loss of vanadium through sublimation</w:t>
      </w:r>
    </w:p>
    <w:p w:rsidR="00161665" w:rsidP="004155D9" w:rsidRDefault="00EF225A" w14:paraId="1120D7CD" w14:textId="08716B03">
      <w:pPr>
        <w:pStyle w:val="BodyText"/>
        <w:numPr>
          <w:ilvl w:val="0"/>
          <w:numId w:val="7"/>
        </w:numPr>
        <w:spacing w:after="0"/>
      </w:pPr>
      <w:r>
        <w:t xml:space="preserve">Proposal to end </w:t>
      </w:r>
      <w:r w:rsidR="007115B8">
        <w:t>existing</w:t>
      </w:r>
      <w:r w:rsidR="00161665">
        <w:t xml:space="preserve"> exemption </w:t>
      </w:r>
      <w:r w:rsidR="00E903E9">
        <w:t xml:space="preserve">from </w:t>
      </w:r>
      <w:r w:rsidR="008E3200">
        <w:t xml:space="preserve">the 15-ppm </w:t>
      </w:r>
      <w:r w:rsidR="00220EE1">
        <w:t xml:space="preserve">sulfur </w:t>
      </w:r>
      <w:r w:rsidR="008E3200">
        <w:t xml:space="preserve">fuel standard for highway and nonroad engines and vehicles </w:t>
      </w:r>
      <w:r w:rsidR="00161665">
        <w:t>in Guam</w:t>
      </w:r>
      <w:r w:rsidR="007115B8">
        <w:t xml:space="preserve"> </w:t>
      </w:r>
      <w:r w:rsidR="00220EE1">
        <w:t xml:space="preserve">since </w:t>
      </w:r>
      <w:r w:rsidR="007115B8">
        <w:t xml:space="preserve">Guam has adopted rules requiring </w:t>
      </w:r>
      <w:r w:rsidR="00462F8C">
        <w:t>the 15</w:t>
      </w:r>
      <w:r w:rsidR="007115B8">
        <w:t xml:space="preserve">-ppm sulfur standard for in-use diesel fuel for </w:t>
      </w:r>
      <w:r>
        <w:t>those engines and vehicles</w:t>
      </w:r>
    </w:p>
    <w:p w:rsidR="00A41EDE" w:rsidP="004155D9" w:rsidRDefault="00F32612" w14:paraId="120004C0" w14:textId="4B2E3C44">
      <w:pPr>
        <w:pStyle w:val="BodyText"/>
        <w:numPr>
          <w:ilvl w:val="0"/>
          <w:numId w:val="7"/>
        </w:numPr>
        <w:spacing w:after="0"/>
      </w:pPr>
      <w:r>
        <w:t>Streamlining</w:t>
      </w:r>
      <w:r w:rsidR="00A41EDE">
        <w:t xml:space="preserve"> of miscellane</w:t>
      </w:r>
      <w:r>
        <w:t>ous fuel refueling provisions</w:t>
      </w:r>
      <w:r w:rsidR="00AA2AB3">
        <w:t xml:space="preserve"> 80</w:t>
      </w:r>
    </w:p>
    <w:p w:rsidR="00E402AE" w:rsidP="004155D9" w:rsidRDefault="00E402AE" w14:paraId="47CACA8E" w14:textId="2BCF61CE">
      <w:pPr>
        <w:pStyle w:val="BodyText"/>
        <w:numPr>
          <w:ilvl w:val="0"/>
          <w:numId w:val="7"/>
        </w:numPr>
        <w:spacing w:after="0"/>
      </w:pPr>
      <w:r>
        <w:t>Inducement provisions</w:t>
      </w:r>
    </w:p>
    <w:p w:rsidR="00F612E1" w:rsidP="006D435F" w:rsidRDefault="00F612E1" w14:paraId="45895B7C" w14:textId="41876D8D">
      <w:pPr>
        <w:pStyle w:val="Style6"/>
        <w:jc w:val="left"/>
        <w:rPr>
          <w:szCs w:val="20"/>
        </w:rPr>
      </w:pPr>
    </w:p>
    <w:p w:rsidR="006453F8" w:rsidP="0086771C" w:rsidRDefault="006453F8" w14:paraId="609E6DC2" w14:textId="77777777">
      <w:pPr>
        <w:pStyle w:val="Style6"/>
        <w:jc w:val="left"/>
        <w:rPr>
          <w:spacing w:val="6"/>
        </w:rPr>
      </w:pPr>
    </w:p>
    <w:p w:rsidRPr="00F612E1" w:rsidR="005E13B8" w:rsidP="006A5704" w:rsidRDefault="0098228E" w14:paraId="60397B15" w14:textId="4A75F03E">
      <w:pPr>
        <w:pStyle w:val="Style6"/>
        <w:ind w:left="360" w:firstLine="360"/>
        <w:jc w:val="left"/>
        <w:rPr>
          <w:b/>
          <w:spacing w:val="6"/>
        </w:rPr>
      </w:pPr>
      <w:r>
        <w:rPr>
          <w:b/>
          <w:spacing w:val="6"/>
        </w:rPr>
        <w:t>(4)(b)(ii)</w:t>
      </w:r>
      <w:r>
        <w:rPr>
          <w:b/>
          <w:spacing w:val="6"/>
        </w:rPr>
        <w:tab/>
      </w:r>
      <w:r w:rsidRPr="00F612E1" w:rsidR="00F51EEF">
        <w:rPr>
          <w:b/>
          <w:spacing w:val="6"/>
        </w:rPr>
        <w:t>Respondent Activities</w:t>
      </w:r>
    </w:p>
    <w:p w:rsidR="00F51EEF" w:rsidP="00F51EEF" w:rsidRDefault="00F51EEF" w14:paraId="1833C5B3" w14:textId="77777777">
      <w:pPr>
        <w:pStyle w:val="Style6"/>
        <w:ind w:left="360"/>
        <w:jc w:val="left"/>
        <w:rPr>
          <w:spacing w:val="6"/>
        </w:rPr>
      </w:pPr>
    </w:p>
    <w:p w:rsidR="003B2884" w:rsidP="00FA6204" w:rsidRDefault="00F51EEF" w14:paraId="0B035B34" w14:textId="210FADE9">
      <w:pPr>
        <w:pStyle w:val="Style6"/>
        <w:jc w:val="left"/>
        <w:rPr>
          <w:spacing w:val="6"/>
        </w:rPr>
      </w:pPr>
      <w:r>
        <w:rPr>
          <w:spacing w:val="6"/>
        </w:rPr>
        <w:tab/>
      </w:r>
      <w:r w:rsidR="00610119">
        <w:rPr>
          <w:spacing w:val="6"/>
        </w:rPr>
        <w:t xml:space="preserve">Respondent </w:t>
      </w:r>
      <w:r w:rsidR="00FA6204">
        <w:rPr>
          <w:spacing w:val="6"/>
        </w:rPr>
        <w:t>activities</w:t>
      </w:r>
      <w:r>
        <w:rPr>
          <w:spacing w:val="6"/>
        </w:rPr>
        <w:t xml:space="preserve"> </w:t>
      </w:r>
      <w:r w:rsidR="004935E5">
        <w:rPr>
          <w:spacing w:val="6"/>
        </w:rPr>
        <w:t xml:space="preserve">are generally unchanged from those already indicated </w:t>
      </w:r>
      <w:r w:rsidR="00630266">
        <w:rPr>
          <w:spacing w:val="6"/>
        </w:rPr>
        <w:t xml:space="preserve">in the programmatic ICR </w:t>
      </w:r>
      <w:r w:rsidR="004935E5">
        <w:rPr>
          <w:spacing w:val="6"/>
        </w:rPr>
        <w:t xml:space="preserve">(ICR </w:t>
      </w:r>
      <w:r w:rsidR="00630266">
        <w:rPr>
          <w:spacing w:val="6"/>
        </w:rPr>
        <w:t>1684.</w:t>
      </w:r>
      <w:r w:rsidR="008D3079">
        <w:rPr>
          <w:spacing w:val="6"/>
        </w:rPr>
        <w:t>20</w:t>
      </w:r>
      <w:r w:rsidR="004935E5">
        <w:rPr>
          <w:spacing w:val="6"/>
        </w:rPr>
        <w:t>)</w:t>
      </w:r>
      <w:r w:rsidR="008D3079">
        <w:rPr>
          <w:spacing w:val="6"/>
        </w:rPr>
        <w:t>. Th</w:t>
      </w:r>
      <w:r w:rsidR="00610119">
        <w:rPr>
          <w:spacing w:val="6"/>
        </w:rPr>
        <w:t>ose are</w:t>
      </w:r>
      <w:r w:rsidR="00FA6204">
        <w:rPr>
          <w:spacing w:val="6"/>
        </w:rPr>
        <w:t xml:space="preserve">: </w:t>
      </w:r>
    </w:p>
    <w:p w:rsidR="00F51EEF" w:rsidP="004155D9" w:rsidRDefault="00F51EEF" w14:paraId="1ACE82CE" w14:textId="28DC7B09">
      <w:pPr>
        <w:pStyle w:val="Style6"/>
        <w:numPr>
          <w:ilvl w:val="0"/>
          <w:numId w:val="3"/>
        </w:numPr>
        <w:jc w:val="left"/>
        <w:rPr>
          <w:spacing w:val="6"/>
        </w:rPr>
      </w:pPr>
      <w:bookmarkStart w:name="_Hlk520669067" w:id="16"/>
      <w:r>
        <w:rPr>
          <w:spacing w:val="6"/>
        </w:rPr>
        <w:t>Review the regulations and guidance document</w:t>
      </w:r>
      <w:r w:rsidR="00FA6204">
        <w:rPr>
          <w:spacing w:val="6"/>
        </w:rPr>
        <w:t>s</w:t>
      </w:r>
    </w:p>
    <w:p w:rsidRPr="00CE602A" w:rsidR="00CE602A" w:rsidP="004155D9" w:rsidRDefault="00CE602A" w14:paraId="7F7CD30D" w14:textId="77777777">
      <w:pPr>
        <w:pStyle w:val="Style6"/>
        <w:numPr>
          <w:ilvl w:val="0"/>
          <w:numId w:val="3"/>
        </w:numPr>
        <w:jc w:val="left"/>
        <w:rPr>
          <w:spacing w:val="6"/>
        </w:rPr>
      </w:pPr>
      <w:r>
        <w:rPr>
          <w:spacing w:val="6"/>
        </w:rPr>
        <w:t xml:space="preserve">Prepare </w:t>
      </w:r>
      <w:r w:rsidR="009146AA">
        <w:rPr>
          <w:spacing w:val="6"/>
        </w:rPr>
        <w:t xml:space="preserve">and </w:t>
      </w:r>
      <w:r w:rsidR="00C30006">
        <w:rPr>
          <w:spacing w:val="6"/>
        </w:rPr>
        <w:t xml:space="preserve">submit </w:t>
      </w:r>
      <w:r>
        <w:rPr>
          <w:spacing w:val="6"/>
        </w:rPr>
        <w:t>pre-model year reports</w:t>
      </w:r>
      <w:r w:rsidR="0063384A">
        <w:rPr>
          <w:spacing w:val="6"/>
        </w:rPr>
        <w:t xml:space="preserve"> or related production data for certification applications</w:t>
      </w:r>
    </w:p>
    <w:p w:rsidR="00F51EEF" w:rsidP="004155D9" w:rsidRDefault="00F51EEF" w14:paraId="72B99F18" w14:textId="77777777">
      <w:pPr>
        <w:pStyle w:val="Style6"/>
        <w:numPr>
          <w:ilvl w:val="0"/>
          <w:numId w:val="3"/>
        </w:numPr>
        <w:jc w:val="left"/>
        <w:rPr>
          <w:spacing w:val="6"/>
        </w:rPr>
      </w:pPr>
      <w:r>
        <w:rPr>
          <w:spacing w:val="6"/>
        </w:rPr>
        <w:t xml:space="preserve">Develop engine or vehicle </w:t>
      </w:r>
      <w:r w:rsidR="0063384A">
        <w:rPr>
          <w:spacing w:val="6"/>
        </w:rPr>
        <w:t>“test” or “</w:t>
      </w:r>
      <w:r>
        <w:rPr>
          <w:spacing w:val="6"/>
        </w:rPr>
        <w:t>family</w:t>
      </w:r>
      <w:r w:rsidR="0063384A">
        <w:rPr>
          <w:spacing w:val="6"/>
        </w:rPr>
        <w:t>”</w:t>
      </w:r>
      <w:r>
        <w:rPr>
          <w:spacing w:val="6"/>
        </w:rPr>
        <w:t xml:space="preserve"> groups</w:t>
      </w:r>
    </w:p>
    <w:p w:rsidR="00F51EEF" w:rsidP="004155D9" w:rsidRDefault="00F51EEF" w14:paraId="561941D8" w14:textId="77777777">
      <w:pPr>
        <w:pStyle w:val="Style6"/>
        <w:numPr>
          <w:ilvl w:val="0"/>
          <w:numId w:val="3"/>
        </w:numPr>
        <w:jc w:val="left"/>
        <w:rPr>
          <w:spacing w:val="6"/>
        </w:rPr>
      </w:pPr>
      <w:r>
        <w:rPr>
          <w:spacing w:val="6"/>
        </w:rPr>
        <w:t xml:space="preserve">Test engines and vehicles for compliance with emission </w:t>
      </w:r>
      <w:r w:rsidR="00CA7EB0">
        <w:rPr>
          <w:spacing w:val="6"/>
        </w:rPr>
        <w:t xml:space="preserve">and fuel consumption </w:t>
      </w:r>
      <w:r>
        <w:rPr>
          <w:spacing w:val="6"/>
        </w:rPr>
        <w:t>standards</w:t>
      </w:r>
    </w:p>
    <w:p w:rsidR="00E96F47" w:rsidP="004155D9" w:rsidRDefault="00F51EEF" w14:paraId="21FFEB7D" w14:textId="77777777">
      <w:pPr>
        <w:pStyle w:val="Style6"/>
        <w:numPr>
          <w:ilvl w:val="0"/>
          <w:numId w:val="3"/>
        </w:numPr>
        <w:jc w:val="left"/>
        <w:rPr>
          <w:spacing w:val="6"/>
        </w:rPr>
      </w:pPr>
      <w:r>
        <w:rPr>
          <w:spacing w:val="6"/>
        </w:rPr>
        <w:t xml:space="preserve">Gather </w:t>
      </w:r>
      <w:r w:rsidR="00E96F47">
        <w:rPr>
          <w:spacing w:val="6"/>
        </w:rPr>
        <w:t xml:space="preserve">and analyze </w:t>
      </w:r>
      <w:r w:rsidR="00993C68">
        <w:rPr>
          <w:spacing w:val="6"/>
        </w:rPr>
        <w:t>test results</w:t>
      </w:r>
      <w:r>
        <w:rPr>
          <w:spacing w:val="6"/>
        </w:rPr>
        <w:t xml:space="preserve"> </w:t>
      </w:r>
    </w:p>
    <w:p w:rsidR="00993C68" w:rsidP="004155D9" w:rsidRDefault="00E96F47" w14:paraId="71F9E316" w14:textId="77777777">
      <w:pPr>
        <w:pStyle w:val="Style6"/>
        <w:numPr>
          <w:ilvl w:val="0"/>
          <w:numId w:val="3"/>
        </w:numPr>
        <w:jc w:val="left"/>
        <w:rPr>
          <w:spacing w:val="6"/>
        </w:rPr>
      </w:pPr>
      <w:r>
        <w:rPr>
          <w:spacing w:val="6"/>
        </w:rPr>
        <w:t xml:space="preserve">Collect </w:t>
      </w:r>
      <w:r w:rsidR="00F51EEF">
        <w:rPr>
          <w:spacing w:val="6"/>
        </w:rPr>
        <w:t xml:space="preserve">inputs </w:t>
      </w:r>
      <w:r w:rsidR="00993C68">
        <w:rPr>
          <w:spacing w:val="6"/>
        </w:rPr>
        <w:t xml:space="preserve">and run </w:t>
      </w:r>
      <w:r w:rsidR="00F51EEF">
        <w:rPr>
          <w:spacing w:val="6"/>
        </w:rPr>
        <w:t>GEM</w:t>
      </w:r>
      <w:r w:rsidR="00993C68">
        <w:rPr>
          <w:spacing w:val="6"/>
        </w:rPr>
        <w:t>, as needed</w:t>
      </w:r>
      <w:r w:rsidR="00F51EEF">
        <w:rPr>
          <w:spacing w:val="6"/>
        </w:rPr>
        <w:t xml:space="preserve"> </w:t>
      </w:r>
    </w:p>
    <w:p w:rsidR="00F51EEF" w:rsidP="004155D9" w:rsidRDefault="00F51EEF" w14:paraId="1A89CA8A" w14:textId="77777777">
      <w:pPr>
        <w:pStyle w:val="Style6"/>
        <w:numPr>
          <w:ilvl w:val="0"/>
          <w:numId w:val="3"/>
        </w:numPr>
        <w:jc w:val="left"/>
        <w:rPr>
          <w:spacing w:val="6"/>
        </w:rPr>
      </w:pPr>
      <w:r>
        <w:rPr>
          <w:spacing w:val="6"/>
        </w:rPr>
        <w:t>Submit the Application for Certification</w:t>
      </w:r>
    </w:p>
    <w:p w:rsidR="001B41AA" w:rsidP="004155D9" w:rsidRDefault="001B41AA" w14:paraId="332BDA3D" w14:textId="77777777">
      <w:pPr>
        <w:pStyle w:val="Style6"/>
        <w:numPr>
          <w:ilvl w:val="0"/>
          <w:numId w:val="3"/>
        </w:numPr>
        <w:jc w:val="left"/>
        <w:rPr>
          <w:spacing w:val="6"/>
        </w:rPr>
      </w:pPr>
      <w:r>
        <w:rPr>
          <w:spacing w:val="6"/>
        </w:rPr>
        <w:t>Label certified vehicles</w:t>
      </w:r>
    </w:p>
    <w:p w:rsidR="00993C68" w:rsidP="004155D9" w:rsidRDefault="00993C68" w14:paraId="3460224A" w14:textId="77777777">
      <w:pPr>
        <w:pStyle w:val="Style6"/>
        <w:numPr>
          <w:ilvl w:val="0"/>
          <w:numId w:val="3"/>
        </w:numPr>
        <w:jc w:val="left"/>
        <w:rPr>
          <w:spacing w:val="6"/>
        </w:rPr>
      </w:pPr>
      <w:r>
        <w:rPr>
          <w:spacing w:val="6"/>
        </w:rPr>
        <w:t>Prepare and submit carryover applications</w:t>
      </w:r>
    </w:p>
    <w:p w:rsidR="00993C68" w:rsidP="004155D9" w:rsidRDefault="00993C68" w14:paraId="67103956" w14:textId="77777777">
      <w:pPr>
        <w:pStyle w:val="Style6"/>
        <w:numPr>
          <w:ilvl w:val="0"/>
          <w:numId w:val="3"/>
        </w:numPr>
        <w:jc w:val="left"/>
        <w:rPr>
          <w:spacing w:val="6"/>
        </w:rPr>
      </w:pPr>
      <w:r>
        <w:rPr>
          <w:spacing w:val="6"/>
        </w:rPr>
        <w:t>Prepare GHG compliance plan</w:t>
      </w:r>
      <w:r w:rsidR="00CE602A">
        <w:rPr>
          <w:spacing w:val="6"/>
        </w:rPr>
        <w:t xml:space="preserve"> and reports</w:t>
      </w:r>
      <w:r>
        <w:rPr>
          <w:spacing w:val="6"/>
        </w:rPr>
        <w:t>, as needed</w:t>
      </w:r>
    </w:p>
    <w:p w:rsidR="009146AA" w:rsidP="004155D9" w:rsidRDefault="009146AA" w14:paraId="74748AE1" w14:textId="327C0279">
      <w:pPr>
        <w:pStyle w:val="Style6"/>
        <w:numPr>
          <w:ilvl w:val="0"/>
          <w:numId w:val="3"/>
        </w:numPr>
        <w:jc w:val="left"/>
        <w:rPr>
          <w:spacing w:val="6"/>
        </w:rPr>
      </w:pPr>
      <w:r>
        <w:rPr>
          <w:spacing w:val="6"/>
        </w:rPr>
        <w:t>Prepare and submit</w:t>
      </w:r>
      <w:r w:rsidR="00FA6204">
        <w:rPr>
          <w:spacing w:val="6"/>
        </w:rPr>
        <w:t xml:space="preserve"> annual production reports and AB&amp;T r</w:t>
      </w:r>
      <w:r>
        <w:rPr>
          <w:spacing w:val="6"/>
        </w:rPr>
        <w:t>eports</w:t>
      </w:r>
    </w:p>
    <w:p w:rsidR="009B0A05" w:rsidP="004155D9" w:rsidRDefault="009B0A05" w14:paraId="3600D67F" w14:textId="77777777">
      <w:pPr>
        <w:pStyle w:val="Style6"/>
        <w:numPr>
          <w:ilvl w:val="0"/>
          <w:numId w:val="3"/>
        </w:numPr>
        <w:jc w:val="left"/>
        <w:rPr>
          <w:spacing w:val="6"/>
        </w:rPr>
      </w:pPr>
      <w:r>
        <w:rPr>
          <w:spacing w:val="6"/>
        </w:rPr>
        <w:lastRenderedPageBreak/>
        <w:t>Store, file and maintain records</w:t>
      </w:r>
    </w:p>
    <w:bookmarkEnd w:id="16"/>
    <w:p w:rsidR="00E96F47" w:rsidP="007D0D04" w:rsidRDefault="00E96F47" w14:paraId="59318A3F" w14:textId="08702EDB">
      <w:pPr>
        <w:pStyle w:val="Style6"/>
        <w:jc w:val="left"/>
        <w:rPr>
          <w:spacing w:val="6"/>
        </w:rPr>
      </w:pPr>
    </w:p>
    <w:p w:rsidR="00FA6204" w:rsidP="007D0D04" w:rsidRDefault="00FA6204" w14:paraId="52C24D04" w14:textId="77777777">
      <w:pPr>
        <w:pStyle w:val="Style6"/>
        <w:jc w:val="left"/>
        <w:rPr>
          <w:spacing w:val="6"/>
        </w:rPr>
      </w:pPr>
    </w:p>
    <w:p w:rsidRPr="009647E5" w:rsidR="000362E7" w:rsidRDefault="000362E7" w14:paraId="5C9170FF" w14:textId="6DAFF07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9647E5">
        <w:t>5.</w:t>
      </w:r>
      <w:r w:rsidRPr="009647E5" w:rsidR="006A5704">
        <w:tab/>
      </w:r>
      <w:r w:rsidRPr="009647E5">
        <w:rPr>
          <w:u w:val="single"/>
        </w:rPr>
        <w:t>The Information Collected--Agency Activities, Collection Methodology, and Information Management</w:t>
      </w:r>
    </w:p>
    <w:p w:rsidRPr="00C208A1" w:rsidR="000362E7" w:rsidRDefault="000362E7" w14:paraId="52A8C5D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A308C3" w:rsidR="000362E7" w:rsidRDefault="0098228E" w14:paraId="2FBBD0AF" w14:textId="298E4A8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r w:rsidRPr="00A308C3" w:rsidR="000362E7">
        <w:rPr>
          <w:b/>
        </w:rPr>
        <w:t>5(a)</w:t>
      </w:r>
      <w:r w:rsidRPr="00A308C3" w:rsidR="000362E7">
        <w:rPr>
          <w:b/>
        </w:rPr>
        <w:tab/>
        <w:t>Agency Activities</w:t>
      </w:r>
    </w:p>
    <w:p w:rsidRPr="00C208A1" w:rsidR="000362E7" w:rsidRDefault="000362E7" w14:paraId="534186C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C208A1" w:rsidR="000362E7" w:rsidRDefault="008F1C0B" w14:paraId="13DCDC96" w14:textId="55894B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lang w:val="en"/>
        </w:rPr>
        <w:tab/>
      </w:r>
      <w:r w:rsidR="008D3079">
        <w:rPr>
          <w:lang w:val="en"/>
        </w:rPr>
        <w:t>Agency activities are generally unchanged</w:t>
      </w:r>
      <w:r w:rsidRPr="00C208A1" w:rsidR="000362E7">
        <w:t>:</w:t>
      </w:r>
    </w:p>
    <w:p w:rsidR="000362E7" w:rsidRDefault="000362E7" w14:paraId="1B071AD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P="007F49BD" w:rsidRDefault="000362E7" w14:paraId="7A9E8F36" w14:textId="072650C9">
      <w:pPr>
        <w:pStyle w:val="BodyText"/>
        <w:numPr>
          <w:ilvl w:val="0"/>
          <w:numId w:val="7"/>
        </w:numPr>
        <w:spacing w:after="0"/>
      </w:pPr>
      <w:bookmarkStart w:name="_Hlk520669451" w:id="17"/>
      <w:r w:rsidRPr="00C208A1">
        <w:t>Review and interpret regulations, provide guidance</w:t>
      </w:r>
    </w:p>
    <w:p w:rsidR="00864D25" w:rsidP="007F49BD" w:rsidRDefault="00864D25" w14:paraId="488628ED" w14:textId="20E12982">
      <w:pPr>
        <w:pStyle w:val="BodyText"/>
        <w:numPr>
          <w:ilvl w:val="0"/>
          <w:numId w:val="7"/>
        </w:numPr>
        <w:spacing w:after="0"/>
      </w:pPr>
      <w:r>
        <w:t xml:space="preserve">Review pre-model reports, evaluate test </w:t>
      </w:r>
      <w:r w:rsidR="00462F8C">
        <w:t>plans,</w:t>
      </w:r>
      <w:r>
        <w:t xml:space="preserve"> and credit projections</w:t>
      </w:r>
    </w:p>
    <w:p w:rsidRPr="00C208A1" w:rsidR="00864D25" w:rsidP="007F49BD" w:rsidRDefault="00864D25" w14:paraId="6AB69778" w14:textId="6F26D3C2">
      <w:pPr>
        <w:pStyle w:val="BodyText"/>
        <w:numPr>
          <w:ilvl w:val="0"/>
          <w:numId w:val="7"/>
        </w:numPr>
        <w:spacing w:after="0"/>
      </w:pPr>
      <w:r>
        <w:t>Meet with respondents as requested</w:t>
      </w:r>
    </w:p>
    <w:p w:rsidRPr="00C208A1" w:rsidR="000362E7" w:rsidP="007F49BD" w:rsidRDefault="000362E7" w14:paraId="2FE8FF48" w14:textId="2AB742EC">
      <w:pPr>
        <w:pStyle w:val="BodyText"/>
        <w:numPr>
          <w:ilvl w:val="0"/>
          <w:numId w:val="7"/>
        </w:numPr>
        <w:spacing w:after="0"/>
      </w:pPr>
      <w:r w:rsidRPr="00C208A1">
        <w:t xml:space="preserve">Review </w:t>
      </w:r>
      <w:r w:rsidR="00F51EEF">
        <w:t xml:space="preserve">certification </w:t>
      </w:r>
      <w:r w:rsidRPr="00C208A1">
        <w:t>applications for completeness and accuracy</w:t>
      </w:r>
    </w:p>
    <w:p w:rsidR="000362E7" w:rsidP="007F49BD" w:rsidRDefault="000362E7" w14:paraId="676461F2" w14:textId="33DFA139">
      <w:pPr>
        <w:pStyle w:val="BodyText"/>
        <w:numPr>
          <w:ilvl w:val="0"/>
          <w:numId w:val="7"/>
        </w:numPr>
        <w:spacing w:after="0"/>
      </w:pPr>
      <w:r w:rsidRPr="00C208A1">
        <w:t xml:space="preserve">Verify that the correct engines </w:t>
      </w:r>
      <w:r w:rsidR="00F51EEF">
        <w:t xml:space="preserve">and vehicles </w:t>
      </w:r>
      <w:r w:rsidRPr="00C208A1">
        <w:t>have been selected and tested</w:t>
      </w:r>
    </w:p>
    <w:p w:rsidRPr="000E5AC6" w:rsidR="000E5AC6" w:rsidP="007F49BD" w:rsidRDefault="00635ED5" w14:paraId="0A4A7CD6" w14:textId="10AD183E">
      <w:pPr>
        <w:pStyle w:val="BodyText"/>
        <w:numPr>
          <w:ilvl w:val="0"/>
          <w:numId w:val="7"/>
        </w:numPr>
        <w:spacing w:after="0"/>
      </w:pPr>
      <w:r w:rsidRPr="007F49BD">
        <w:t>Evaluate</w:t>
      </w:r>
      <w:r w:rsidRPr="007F49BD" w:rsidR="000E5AC6">
        <w:t xml:space="preserve"> test and related technical documents</w:t>
      </w:r>
    </w:p>
    <w:p w:rsidRPr="007F49BD" w:rsidR="000362E7" w:rsidP="00D11462" w:rsidRDefault="000362E7" w14:paraId="110E7881" w14:textId="76F1681C">
      <w:pPr>
        <w:pStyle w:val="BodyText"/>
        <w:numPr>
          <w:ilvl w:val="0"/>
          <w:numId w:val="7"/>
        </w:numPr>
        <w:spacing w:after="0"/>
      </w:pPr>
      <w:r w:rsidRPr="007F49BD">
        <w:t xml:space="preserve">Determining if </w:t>
      </w:r>
      <w:r w:rsidR="00D11462">
        <w:t xml:space="preserve">the use of </w:t>
      </w:r>
      <w:r w:rsidRPr="007F49BD">
        <w:t>carry</w:t>
      </w:r>
      <w:r w:rsidR="00B46F93">
        <w:t>-</w:t>
      </w:r>
      <w:r w:rsidRPr="007F49BD">
        <w:t>over</w:t>
      </w:r>
      <w:r w:rsidR="00D11462">
        <w:t>/across</w:t>
      </w:r>
      <w:r w:rsidRPr="007F49BD">
        <w:t xml:space="preserve"> data is appropriate </w:t>
      </w:r>
    </w:p>
    <w:p w:rsidRPr="007F49BD" w:rsidR="000E5AC6" w:rsidP="007F49BD" w:rsidRDefault="000E5AC6" w14:paraId="3B412336" w14:textId="030B0ABF">
      <w:pPr>
        <w:pStyle w:val="BodyText"/>
        <w:numPr>
          <w:ilvl w:val="0"/>
          <w:numId w:val="7"/>
        </w:numPr>
        <w:spacing w:after="0"/>
      </w:pPr>
      <w:r w:rsidRPr="007F49BD">
        <w:t xml:space="preserve">Issue appropriate certificates of conformity </w:t>
      </w:r>
      <w:r w:rsidRPr="007F49BD">
        <w:tab/>
      </w:r>
    </w:p>
    <w:p w:rsidRPr="007F49BD" w:rsidR="00864D25" w:rsidP="007F49BD" w:rsidRDefault="000E5AC6" w14:paraId="35C9F798" w14:textId="47BC92F9">
      <w:pPr>
        <w:pStyle w:val="BodyText"/>
        <w:numPr>
          <w:ilvl w:val="0"/>
          <w:numId w:val="7"/>
        </w:numPr>
        <w:spacing w:after="0"/>
      </w:pPr>
      <w:r w:rsidRPr="007F49BD">
        <w:t>Collect and r</w:t>
      </w:r>
      <w:r w:rsidRPr="007F49BD" w:rsidR="009146AA">
        <w:t xml:space="preserve">eview </w:t>
      </w:r>
      <w:r w:rsidRPr="007F49BD" w:rsidR="00864D25">
        <w:t>the various reports described in this ICR</w:t>
      </w:r>
    </w:p>
    <w:p w:rsidRPr="007F49BD" w:rsidR="000E5AC6" w:rsidP="007F49BD" w:rsidRDefault="000E5AC6" w14:paraId="1114F31B" w14:textId="14F04C80">
      <w:pPr>
        <w:pStyle w:val="BodyText"/>
        <w:numPr>
          <w:ilvl w:val="0"/>
          <w:numId w:val="7"/>
        </w:numPr>
        <w:spacing w:after="0"/>
      </w:pPr>
      <w:r w:rsidRPr="007F49BD">
        <w:t xml:space="preserve">Determine compliance with all regulatory programs and provisions </w:t>
      </w:r>
    </w:p>
    <w:p w:rsidRPr="007F49BD" w:rsidR="000E5AC6" w:rsidP="007F49BD" w:rsidRDefault="000E5AC6" w14:paraId="48D65F58" w14:textId="3E03EDBA">
      <w:pPr>
        <w:pStyle w:val="BodyText"/>
        <w:numPr>
          <w:ilvl w:val="0"/>
          <w:numId w:val="7"/>
        </w:numPr>
        <w:spacing w:after="0"/>
      </w:pPr>
      <w:r w:rsidRPr="007F49BD">
        <w:t>Review credit balances under AB&amp;T</w:t>
      </w:r>
    </w:p>
    <w:p w:rsidRPr="007F49BD" w:rsidR="00A308C3" w:rsidP="007F49BD" w:rsidRDefault="00A308C3" w14:paraId="04B5BAE3" w14:textId="43214879">
      <w:pPr>
        <w:pStyle w:val="BodyText"/>
        <w:numPr>
          <w:ilvl w:val="0"/>
          <w:numId w:val="7"/>
        </w:numPr>
        <w:spacing w:after="0"/>
      </w:pPr>
      <w:r w:rsidRPr="007F49BD">
        <w:t>Conduct confirmatory testing and in-use testing</w:t>
      </w:r>
    </w:p>
    <w:p w:rsidRPr="007F49BD" w:rsidR="00864D25" w:rsidP="007F49BD" w:rsidRDefault="00864D25" w14:paraId="021B4FD3" w14:textId="7530A894">
      <w:pPr>
        <w:pStyle w:val="BodyText"/>
        <w:numPr>
          <w:ilvl w:val="0"/>
          <w:numId w:val="7"/>
        </w:numPr>
        <w:spacing w:after="0"/>
      </w:pPr>
      <w:r w:rsidRPr="007F49BD">
        <w:t>Investigate potential violations and refer findings to the appropriate enforcement office</w:t>
      </w:r>
    </w:p>
    <w:p w:rsidRPr="007F49BD" w:rsidR="000362E7" w:rsidP="007F49BD" w:rsidRDefault="000362E7" w14:paraId="54BDFA4C" w14:textId="3C17BDC0">
      <w:pPr>
        <w:pStyle w:val="BodyText"/>
        <w:numPr>
          <w:ilvl w:val="0"/>
          <w:numId w:val="7"/>
        </w:numPr>
        <w:spacing w:after="0"/>
      </w:pPr>
      <w:r w:rsidRPr="007F49BD">
        <w:t>Store, file and maintain data</w:t>
      </w:r>
    </w:p>
    <w:p w:rsidRPr="007F49BD" w:rsidR="00864D25" w:rsidP="007F49BD" w:rsidRDefault="00864D25" w14:paraId="308689F5" w14:textId="7FAA8B51">
      <w:pPr>
        <w:pStyle w:val="BodyText"/>
        <w:numPr>
          <w:ilvl w:val="0"/>
          <w:numId w:val="7"/>
        </w:numPr>
        <w:spacing w:after="0"/>
      </w:pPr>
      <w:r w:rsidRPr="00C208A1">
        <w:t>Answer questions from manufacturers</w:t>
      </w:r>
      <w:r>
        <w:t xml:space="preserve">, other government agencies, </w:t>
      </w:r>
      <w:r w:rsidR="00462F8C">
        <w:t>Congress,</w:t>
      </w:r>
      <w:r w:rsidRPr="00C208A1">
        <w:t xml:space="preserve"> and the public</w:t>
      </w:r>
      <w:r w:rsidRPr="007F49BD">
        <w:t xml:space="preserve"> </w:t>
      </w:r>
    </w:p>
    <w:p w:rsidRPr="007F49BD" w:rsidR="00864D25" w:rsidP="007F49BD" w:rsidRDefault="00864D25" w14:paraId="1A4F8DED" w14:textId="51029F36">
      <w:pPr>
        <w:pStyle w:val="BodyText"/>
        <w:numPr>
          <w:ilvl w:val="0"/>
          <w:numId w:val="7"/>
        </w:numPr>
        <w:spacing w:after="0"/>
      </w:pPr>
      <w:r w:rsidRPr="007F49BD">
        <w:t>Periodically perform maintenance or enhance certification and compliance databases as needed</w:t>
      </w:r>
    </w:p>
    <w:p w:rsidRPr="007F49BD" w:rsidR="000E5AC6" w:rsidP="007F49BD" w:rsidRDefault="00864D25" w14:paraId="7F3C3CEB" w14:textId="515ECC6A">
      <w:pPr>
        <w:pStyle w:val="BodyText"/>
        <w:numPr>
          <w:ilvl w:val="0"/>
          <w:numId w:val="7"/>
        </w:numPr>
        <w:spacing w:after="0"/>
      </w:pPr>
      <w:r w:rsidRPr="007F49BD">
        <w:t>Make data available to the public and maintain public websites</w:t>
      </w:r>
      <w:r w:rsidRPr="007F49BD" w:rsidR="000E5AC6">
        <w:t xml:space="preserve"> </w:t>
      </w:r>
    </w:p>
    <w:p w:rsidRPr="007F49BD" w:rsidR="00864D25" w:rsidP="007F49BD" w:rsidRDefault="000E5AC6" w14:paraId="5A4071E7" w14:textId="19FB0322">
      <w:pPr>
        <w:pStyle w:val="BodyText"/>
        <w:numPr>
          <w:ilvl w:val="0"/>
          <w:numId w:val="7"/>
        </w:numPr>
        <w:spacing w:after="0"/>
      </w:pPr>
      <w:r w:rsidRPr="007F49BD">
        <w:t>Answer FOIA requests, including analyzing and managing requests for confidentiality</w:t>
      </w:r>
    </w:p>
    <w:p w:rsidRPr="007F49BD" w:rsidR="000362E7" w:rsidP="007F49BD" w:rsidRDefault="00A308C3" w14:paraId="17382661" w14:textId="1B6ADBE6">
      <w:pPr>
        <w:pStyle w:val="BodyText"/>
        <w:numPr>
          <w:ilvl w:val="0"/>
          <w:numId w:val="7"/>
        </w:numPr>
        <w:spacing w:after="0"/>
      </w:pPr>
      <w:r w:rsidRPr="007F49BD">
        <w:t>Collaborate with each other, including sharing data and providing access to databases</w:t>
      </w:r>
      <w:bookmarkEnd w:id="17"/>
    </w:p>
    <w:p w:rsidR="009C175F" w:rsidRDefault="009C175F" w14:paraId="3DDDEA7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21D05" w:rsidRDefault="00B21D05" w14:paraId="0E7DC3C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21D05" w:rsidRDefault="00B21D05" w14:paraId="0A41CDD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A308C3" w:rsidR="000362E7" w:rsidRDefault="0098228E" w14:paraId="602518E0" w14:textId="52CEB66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sidRPr="00A308C3" w:rsidR="000362E7">
        <w:rPr>
          <w:b/>
          <w:color w:val="000000"/>
        </w:rPr>
        <w:t>5(b)</w:t>
      </w:r>
      <w:r w:rsidRPr="00A308C3" w:rsidR="000362E7">
        <w:rPr>
          <w:b/>
          <w:color w:val="000000"/>
        </w:rPr>
        <w:tab/>
        <w:t>Collection Methodology and Management</w:t>
      </w:r>
    </w:p>
    <w:p w:rsidRPr="00C208A1" w:rsidR="000362E7" w:rsidRDefault="000362E7" w14:paraId="0A3827B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5382E" w:rsidP="00A63701" w:rsidRDefault="000362E7" w14:paraId="012B1717" w14:textId="1B00E7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rPr>
          <w:color w:val="000000"/>
        </w:rPr>
        <w:tab/>
      </w:r>
      <w:bookmarkStart w:name="_Hlk520669778" w:id="18"/>
      <w:r w:rsidR="00E42C1C">
        <w:rPr>
          <w:color w:val="000000"/>
        </w:rPr>
        <w:t>Collection methodology</w:t>
      </w:r>
      <w:r w:rsidR="00FF6F54">
        <w:rPr>
          <w:color w:val="000000"/>
        </w:rPr>
        <w:t xml:space="preserve"> </w:t>
      </w:r>
      <w:r w:rsidR="00B86B04">
        <w:rPr>
          <w:color w:val="000000"/>
        </w:rPr>
        <w:t xml:space="preserve">and management </w:t>
      </w:r>
      <w:r w:rsidR="00FF6F54">
        <w:rPr>
          <w:color w:val="000000"/>
        </w:rPr>
        <w:t>remains generally un</w:t>
      </w:r>
      <w:r w:rsidR="00357EE0">
        <w:rPr>
          <w:color w:val="000000"/>
        </w:rPr>
        <w:t>changed</w:t>
      </w:r>
      <w:r w:rsidR="00FF6F54">
        <w:rPr>
          <w:color w:val="000000"/>
        </w:rPr>
        <w:t xml:space="preserve"> from that explained in ICR 1684.20. </w:t>
      </w:r>
      <w:r w:rsidR="00B86B04">
        <w:rPr>
          <w:color w:val="000000"/>
        </w:rPr>
        <w:t>EPA</w:t>
      </w:r>
      <w:r w:rsidR="00FF6F54">
        <w:rPr>
          <w:color w:val="000000"/>
        </w:rPr>
        <w:t xml:space="preserve"> will continue to collect</w:t>
      </w:r>
      <w:r w:rsidR="00B86B04">
        <w:rPr>
          <w:color w:val="000000"/>
        </w:rPr>
        <w:t>, house</w:t>
      </w:r>
      <w:r w:rsidR="009F52C9">
        <w:rPr>
          <w:color w:val="000000"/>
        </w:rPr>
        <w:t>d,</w:t>
      </w:r>
      <w:r w:rsidR="00B86B04">
        <w:rPr>
          <w:color w:val="000000"/>
        </w:rPr>
        <w:t xml:space="preserve"> and analyze data using</w:t>
      </w:r>
      <w:r w:rsidR="00FF6F54">
        <w:rPr>
          <w:color w:val="000000"/>
        </w:rPr>
        <w:t xml:space="preserve"> </w:t>
      </w:r>
      <w:r w:rsidR="0075382E">
        <w:t>the Engine and Vehicle Compliance Information System (</w:t>
      </w:r>
      <w:r w:rsidR="001E36AA">
        <w:t>EV-CIS</w:t>
      </w:r>
      <w:r w:rsidR="0075382E">
        <w:t>)</w:t>
      </w:r>
      <w:r w:rsidR="001E36AA">
        <w:t>, EPA</w:t>
      </w:r>
      <w:r w:rsidRPr="002B75D8" w:rsidR="001E36AA">
        <w:t>’s web-based engine and vehicle emissions database.</w:t>
      </w:r>
      <w:r w:rsidR="0070326F">
        <w:t xml:space="preserve"> </w:t>
      </w:r>
      <w:r w:rsidR="00754073">
        <w:t xml:space="preserve">Manufacturers use EV-CIS’ web-forms or schema files to upload </w:t>
      </w:r>
      <w:r w:rsidR="004172FF">
        <w:t xml:space="preserve">individual data elements and </w:t>
      </w:r>
      <w:r w:rsidR="00754073">
        <w:t>documents</w:t>
      </w:r>
      <w:r w:rsidR="004172FF">
        <w:t>.</w:t>
      </w:r>
      <w:r w:rsidR="00754073">
        <w:t xml:space="preserve"> </w:t>
      </w:r>
      <w:r w:rsidR="00E256B8">
        <w:t>Some of the proposed provisions, such as the new</w:t>
      </w:r>
      <w:r w:rsidR="006860E3">
        <w:t xml:space="preserve"> testing cycles and </w:t>
      </w:r>
      <w:r w:rsidR="00E256B8">
        <w:t>the</w:t>
      </w:r>
      <w:r w:rsidR="0099776E">
        <w:t xml:space="preserve"> new report</w:t>
      </w:r>
      <w:r w:rsidR="00E256B8">
        <w:t xml:space="preserve"> </w:t>
      </w:r>
      <w:r w:rsidR="0099776E">
        <w:t xml:space="preserve">can be accommodated with </w:t>
      </w:r>
      <w:r w:rsidR="001426B0">
        <w:t xml:space="preserve">modifications to </w:t>
      </w:r>
      <w:r w:rsidR="00E256B8">
        <w:t xml:space="preserve">the existing </w:t>
      </w:r>
      <w:r w:rsidR="001426B0">
        <w:t>web-forms and schema files</w:t>
      </w:r>
      <w:r w:rsidR="006218C5">
        <w:t xml:space="preserve"> (e.g., modification of drop-down menus</w:t>
      </w:r>
      <w:r w:rsidR="00544501">
        <w:t>,</w:t>
      </w:r>
      <w:r w:rsidR="00170E2B">
        <w:t xml:space="preserve"> addition of data fields for LLC test results</w:t>
      </w:r>
      <w:r w:rsidR="00544501">
        <w:t>, etc.).</w:t>
      </w:r>
      <w:r w:rsidR="00357EE0">
        <w:t xml:space="preserve"> No new forms are expected to be created. </w:t>
      </w:r>
      <w:r w:rsidR="00366674">
        <w:t xml:space="preserve">More information on the certification process and data requirements can be found at </w:t>
      </w:r>
      <w:hyperlink w:history="1" r:id="rId14">
        <w:r w:rsidRPr="00CD1AEC" w:rsidR="00366674">
          <w:rPr>
            <w:rStyle w:val="Hyperlink"/>
          </w:rPr>
          <w:t>https://www.epa.gov/vehicle-and-engine-certification/certification-heavy-duty-hd-commercial-trucks-and-buses-and-onroad</w:t>
        </w:r>
      </w:hyperlink>
      <w:r w:rsidR="00366674">
        <w:t xml:space="preserve">. </w:t>
      </w:r>
    </w:p>
    <w:bookmarkEnd w:id="18"/>
    <w:p w:rsidRPr="00C208A1" w:rsidR="001E36AA" w:rsidRDefault="001E36AA" w14:paraId="09204F5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C208A1" w:rsidR="000362E7" w:rsidP="00A63701" w:rsidRDefault="000362E7" w14:paraId="4666A9BD" w14:textId="6680D77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p>
    <w:p w:rsidRPr="0098228E" w:rsidR="000362E7" w:rsidRDefault="0098228E" w14:paraId="6B8AA14F" w14:textId="5F38433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98228E">
        <w:rPr>
          <w:b/>
          <w:color w:val="000000"/>
        </w:rPr>
        <w:tab/>
      </w:r>
      <w:r w:rsidRPr="0098228E" w:rsidR="000362E7">
        <w:rPr>
          <w:b/>
          <w:color w:val="000000"/>
        </w:rPr>
        <w:t>5(c)</w:t>
      </w:r>
      <w:r w:rsidRPr="0098228E" w:rsidR="000362E7">
        <w:rPr>
          <w:b/>
          <w:color w:val="000000"/>
        </w:rPr>
        <w:tab/>
        <w:t>Small Entity Flexibility</w:t>
      </w:r>
    </w:p>
    <w:p w:rsidRPr="00C208A1" w:rsidR="000362E7" w:rsidRDefault="000362E7" w14:paraId="405B31E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76148A" w:rsidR="0076148A" w:rsidP="002214B4" w:rsidRDefault="00357EE0" w14:paraId="5721613D" w14:textId="2EB18DB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T</w:t>
      </w:r>
      <w:r w:rsidRPr="0076148A" w:rsidR="00C767DE">
        <w:rPr>
          <w:color w:val="000000"/>
        </w:rPr>
        <w:t xml:space="preserve">he small business flexibilities </w:t>
      </w:r>
      <w:r>
        <w:rPr>
          <w:color w:val="000000"/>
        </w:rPr>
        <w:t xml:space="preserve">already </w:t>
      </w:r>
      <w:r w:rsidRPr="0076148A" w:rsidR="00C767DE">
        <w:rPr>
          <w:color w:val="000000"/>
        </w:rPr>
        <w:t xml:space="preserve">built into the </w:t>
      </w:r>
      <w:r w:rsidRPr="0076148A" w:rsidR="0076148A">
        <w:rPr>
          <w:color w:val="000000"/>
        </w:rPr>
        <w:t>existing program</w:t>
      </w:r>
      <w:r w:rsidR="00D128A9">
        <w:rPr>
          <w:color w:val="000000"/>
        </w:rPr>
        <w:t>s</w:t>
      </w:r>
      <w:r>
        <w:rPr>
          <w:color w:val="000000"/>
        </w:rPr>
        <w:t xml:space="preserve"> will continue. </w:t>
      </w:r>
      <w:r w:rsidR="00067A75">
        <w:rPr>
          <w:color w:val="000000"/>
        </w:rPr>
        <w:t>In addition, t</w:t>
      </w:r>
      <w:r w:rsidRPr="0076148A" w:rsidR="0076148A">
        <w:rPr>
          <w:color w:val="000000"/>
        </w:rPr>
        <w:t>he proposed rule:</w:t>
      </w:r>
    </w:p>
    <w:p w:rsidR="002214B4" w:rsidP="004155D9" w:rsidRDefault="00F147AC" w14:paraId="180BF3D8" w14:textId="68659AE5">
      <w:pPr>
        <w:pStyle w:val="ListParagraph"/>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Gives</w:t>
      </w:r>
      <w:r w:rsidRPr="0076148A" w:rsidR="002214B4">
        <w:rPr>
          <w:color w:val="000000"/>
        </w:rPr>
        <w:t xml:space="preserve"> small manufacturer</w:t>
      </w:r>
      <w:r w:rsidR="003A5913">
        <w:rPr>
          <w:color w:val="000000"/>
        </w:rPr>
        <w:t>s</w:t>
      </w:r>
      <w:r>
        <w:rPr>
          <w:color w:val="000000"/>
        </w:rPr>
        <w:t xml:space="preserve"> </w:t>
      </w:r>
      <w:r w:rsidR="003A5913">
        <w:rPr>
          <w:color w:val="000000"/>
        </w:rPr>
        <w:t xml:space="preserve">the ability </w:t>
      </w:r>
      <w:r>
        <w:rPr>
          <w:color w:val="000000"/>
        </w:rPr>
        <w:t>to</w:t>
      </w:r>
      <w:r w:rsidRPr="0076148A" w:rsidR="002214B4">
        <w:rPr>
          <w:color w:val="000000"/>
        </w:rPr>
        <w:t xml:space="preserve"> request</w:t>
      </w:r>
      <w:r>
        <w:rPr>
          <w:color w:val="000000"/>
        </w:rPr>
        <w:t xml:space="preserve"> a</w:t>
      </w:r>
      <w:r w:rsidRPr="0076148A" w:rsidR="002214B4">
        <w:rPr>
          <w:color w:val="000000"/>
        </w:rPr>
        <w:t xml:space="preserve"> delay</w:t>
      </w:r>
      <w:r>
        <w:rPr>
          <w:color w:val="000000"/>
        </w:rPr>
        <w:t xml:space="preserve"> in</w:t>
      </w:r>
      <w:r w:rsidRPr="0076148A" w:rsidR="002214B4">
        <w:rPr>
          <w:color w:val="000000"/>
        </w:rPr>
        <w:t xml:space="preserve"> complying with the </w:t>
      </w:r>
      <w:r w:rsidR="004518A8">
        <w:rPr>
          <w:color w:val="000000"/>
        </w:rPr>
        <w:t xml:space="preserve">proposed OBD </w:t>
      </w:r>
      <w:r w:rsidRPr="0076148A" w:rsidR="002214B4">
        <w:rPr>
          <w:color w:val="000000"/>
        </w:rPr>
        <w:t>requirements for up to three model years if that manufacturer has not certified those engines or other comparable engines in California for those model years</w:t>
      </w:r>
      <w:r w:rsidR="00DA0077">
        <w:rPr>
          <w:color w:val="000000"/>
        </w:rPr>
        <w:t xml:space="preserve"> [p</w:t>
      </w:r>
      <w:r w:rsidRPr="0076148A" w:rsidR="00DA0077">
        <w:rPr>
          <w:color w:val="000000"/>
        </w:rPr>
        <w:t>roposed 1036.110(b)(1)</w:t>
      </w:r>
      <w:r w:rsidR="00DA0077">
        <w:rPr>
          <w:color w:val="000000"/>
        </w:rPr>
        <w:t>]</w:t>
      </w:r>
    </w:p>
    <w:p w:rsidR="008A4AD4" w:rsidP="003A5913" w:rsidRDefault="0013201C" w14:paraId="40B4A186" w14:textId="09227BAD">
      <w:pPr>
        <w:pStyle w:val="BodyText"/>
        <w:numPr>
          <w:ilvl w:val="0"/>
          <w:numId w:val="12"/>
        </w:numPr>
        <w:spacing w:after="0"/>
      </w:pPr>
      <w:r>
        <w:t>Propose</w:t>
      </w:r>
      <w:r w:rsidR="00067A75">
        <w:t>s</w:t>
      </w:r>
      <w:r>
        <w:t xml:space="preserve"> changes to </w:t>
      </w:r>
      <w:r w:rsidR="00F66313">
        <w:t>maintenance manuals and other serviceability-related provisions</w:t>
      </w:r>
      <w:r w:rsidR="0010665E">
        <w:t xml:space="preserve"> </w:t>
      </w:r>
      <w:r w:rsidR="00067A75">
        <w:t xml:space="preserve">that </w:t>
      </w:r>
      <w:r w:rsidR="0010665E">
        <w:t xml:space="preserve">are responsive to the needs of small business </w:t>
      </w:r>
      <w:r w:rsidR="006059EA">
        <w:t xml:space="preserve">including </w:t>
      </w:r>
      <w:r w:rsidRPr="006059EA" w:rsidR="008A4AD4">
        <w:t>small fleets, independent owner/operators, and rural operations</w:t>
      </w:r>
      <w:r w:rsidR="00DA0077">
        <w:t xml:space="preserve"> as</w:t>
      </w:r>
      <w:r w:rsidRPr="006059EA" w:rsidR="008A4AD4">
        <w:t xml:space="preserve"> access to dealer service networks can be a challenge</w:t>
      </w:r>
      <w:r w:rsidR="00DA0077">
        <w:t xml:space="preserve"> for them</w:t>
      </w:r>
    </w:p>
    <w:p w:rsidRPr="00A2260C" w:rsidR="00DB4959" w:rsidP="003A5913" w:rsidRDefault="00D8742B" w14:paraId="6293B639" w14:textId="753CCFD7">
      <w:pPr>
        <w:pStyle w:val="BodyText"/>
        <w:numPr>
          <w:ilvl w:val="0"/>
          <w:numId w:val="12"/>
        </w:numPr>
        <w:spacing w:after="0"/>
      </w:pPr>
      <w:r w:rsidRPr="00A2260C">
        <w:lastRenderedPageBreak/>
        <w:t>Restructur</w:t>
      </w:r>
      <w:r w:rsidR="003A5913">
        <w:t>es</w:t>
      </w:r>
      <w:r w:rsidRPr="00A2260C">
        <w:t xml:space="preserve"> the Marine CI PLT testing </w:t>
      </w:r>
      <w:r w:rsidRPr="00A2260C" w:rsidR="00ED045B">
        <w:t xml:space="preserve">and reporting </w:t>
      </w:r>
      <w:r w:rsidRPr="00A2260C">
        <w:t>requirements</w:t>
      </w:r>
      <w:r w:rsidRPr="00A2260C" w:rsidR="001B572F">
        <w:t xml:space="preserve"> </w:t>
      </w:r>
      <w:r w:rsidRPr="002D097F" w:rsidR="00A2260C">
        <w:t xml:space="preserve">as explained in section </w:t>
      </w:r>
      <w:r w:rsidRPr="002D097F" w:rsidR="002D097F">
        <w:t>4(b)(</w:t>
      </w:r>
      <w:proofErr w:type="spellStart"/>
      <w:r w:rsidRPr="002D097F" w:rsidR="002D097F">
        <w:t>i</w:t>
      </w:r>
      <w:proofErr w:type="spellEnd"/>
      <w:r w:rsidRPr="002D097F" w:rsidR="002D097F">
        <w:t>)(4)</w:t>
      </w:r>
      <w:r w:rsidRPr="002D097F" w:rsidR="00A2260C">
        <w:t xml:space="preserve"> of this document </w:t>
      </w:r>
      <w:r w:rsidR="002D69EE">
        <w:t xml:space="preserve">to </w:t>
      </w:r>
      <w:r w:rsidRPr="002D097F" w:rsidR="00A2260C">
        <w:t>make the program mo</w:t>
      </w:r>
      <w:r w:rsidRPr="002D097F" w:rsidR="00ED045B">
        <w:t>re equitable to small b</w:t>
      </w:r>
      <w:r w:rsidRPr="00A2260C" w:rsidR="00ED045B">
        <w:t>usinesses</w:t>
      </w:r>
      <w:r w:rsidRPr="00A2260C" w:rsidR="00DA0077">
        <w:t xml:space="preserve"> </w:t>
      </w:r>
      <w:r w:rsidRPr="00A2260C" w:rsidR="00A2260C">
        <w:t>and represent large burden and cost savings</w:t>
      </w:r>
    </w:p>
    <w:p w:rsidRPr="002A0106" w:rsidR="00C03928" w:rsidP="00A2260C" w:rsidRDefault="00C03928" w14:paraId="728AAE95" w14:textId="24C5467A">
      <w:pPr>
        <w:pStyle w:val="BodyText"/>
        <w:numPr>
          <w:ilvl w:val="0"/>
          <w:numId w:val="12"/>
        </w:numPr>
        <w:spacing w:after="0"/>
      </w:pPr>
      <w:r w:rsidRPr="00A2260C">
        <w:t>Clarif</w:t>
      </w:r>
      <w:r w:rsidRPr="00A2260C" w:rsidR="0048783D">
        <w:t>ication</w:t>
      </w:r>
      <w:r w:rsidRPr="002A0106" w:rsidR="0048783D">
        <w:t xml:space="preserve"> of</w:t>
      </w:r>
      <w:r w:rsidRPr="002A0106">
        <w:t xml:space="preserve"> the certification responsibilities </w:t>
      </w:r>
      <w:r w:rsidRPr="002A0106" w:rsidR="002A0106">
        <w:t xml:space="preserve">of </w:t>
      </w:r>
      <w:r w:rsidRPr="002A0106">
        <w:t xml:space="preserve">small-volume </w:t>
      </w:r>
      <w:r w:rsidR="00543F77">
        <w:t xml:space="preserve">LD </w:t>
      </w:r>
      <w:r w:rsidR="003B48FC">
        <w:t xml:space="preserve">secondary vehicle </w:t>
      </w:r>
      <w:r w:rsidRPr="002A0106">
        <w:t xml:space="preserve">manufacturers </w:t>
      </w:r>
      <w:r w:rsidR="00AB603C">
        <w:t xml:space="preserve">to ensure </w:t>
      </w:r>
      <w:r w:rsidR="0015501B">
        <w:t xml:space="preserve">that they don’t have to </w:t>
      </w:r>
      <w:r w:rsidRPr="002A0106">
        <w:t xml:space="preserve">repeat fleet-average calculations </w:t>
      </w:r>
      <w:r w:rsidR="00AB603C">
        <w:t xml:space="preserve">already made by the </w:t>
      </w:r>
      <w:r w:rsidR="003B48FC">
        <w:t>original</w:t>
      </w:r>
      <w:r w:rsidR="00AB603C">
        <w:t xml:space="preserve"> manufacturer</w:t>
      </w:r>
      <w:r w:rsidRPr="002A0106">
        <w:t xml:space="preserve">. This applies to fleet average standards for criteria exhaust emissions, evaporative emissions, and greenhouse gas emissions. </w:t>
      </w:r>
      <w:r w:rsidR="003B48FC">
        <w:t>However, t</w:t>
      </w:r>
      <w:r w:rsidRPr="002A0106">
        <w:t xml:space="preserve">he secondary vehicle manufacturer would need to meet all the same bin standards and family emission limits as specified by the original certifying manufacturer. </w:t>
      </w:r>
    </w:p>
    <w:p w:rsidR="00BB34B3" w:rsidP="00DA43C5" w:rsidRDefault="00BB34B3" w14:paraId="13B79C0F" w14:textId="63D79D3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17ED6" w:rsidP="00C17ED6" w:rsidRDefault="00C17ED6" w14:paraId="3F054311" w14:textId="7108810D">
      <w:pPr>
        <w:numPr>
          <w:ilvl w:val="12"/>
          <w:numId w:val="0"/>
        </w:numPr>
        <w:ind w:firstLine="720"/>
      </w:pPr>
      <w:r>
        <w:t xml:space="preserve">Under the other </w:t>
      </w:r>
      <w:r w:rsidR="00B15F9B">
        <w:t>proposals</w:t>
      </w:r>
      <w:r>
        <w:t xml:space="preserve"> included in this ICR, the information being requested </w:t>
      </w:r>
      <w:r w:rsidR="00FC057F">
        <w:t>is</w:t>
      </w:r>
      <w:r>
        <w:t xml:space="preserve"> the minimum needed to effectively conduct and maintain integrity of the required certification and enforcement programs.  Further measures to simplify reporting for small businesses do not appear prudent or necessary.</w:t>
      </w:r>
    </w:p>
    <w:p w:rsidR="00C17ED6" w:rsidP="00DA43C5" w:rsidRDefault="00C17ED6" w14:paraId="61B728C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C208A1" w:rsidR="00BB34B3" w:rsidRDefault="00BB34B3" w14:paraId="19A169B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98228E" w:rsidR="000362E7" w:rsidRDefault="0098228E" w14:paraId="01D784F3" w14:textId="0C777E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98228E">
        <w:rPr>
          <w:b/>
          <w:color w:val="000000"/>
        </w:rPr>
        <w:tab/>
      </w:r>
      <w:r w:rsidRPr="0098228E" w:rsidR="000362E7">
        <w:rPr>
          <w:b/>
          <w:color w:val="000000"/>
        </w:rPr>
        <w:t>5(d)</w:t>
      </w:r>
      <w:r w:rsidRPr="0098228E" w:rsidR="000362E7">
        <w:rPr>
          <w:b/>
          <w:color w:val="000000"/>
        </w:rPr>
        <w:tab/>
        <w:t>Collection Schedule</w:t>
      </w:r>
    </w:p>
    <w:p w:rsidRPr="00C208A1" w:rsidR="000362E7" w:rsidRDefault="000362E7" w14:paraId="44141DF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F5CB4" w:rsidP="004A7C37" w:rsidRDefault="005F5CB4" w14:paraId="07543A3A" w14:textId="483DCD53">
      <w:r>
        <w:tab/>
      </w:r>
      <w:r w:rsidR="003D1E1D">
        <w:t xml:space="preserve">EPA is proposing to reduce the reporting frequency under </w:t>
      </w:r>
      <w:r w:rsidR="00C32990">
        <w:t xml:space="preserve">PLT (from </w:t>
      </w:r>
      <w:r w:rsidR="00E053AB">
        <w:t>quarterly</w:t>
      </w:r>
      <w:r w:rsidR="00C32990">
        <w:t xml:space="preserve"> to </w:t>
      </w:r>
      <w:r w:rsidR="00E053AB">
        <w:t>an</w:t>
      </w:r>
      <w:r w:rsidR="00C32990">
        <w:t>n</w:t>
      </w:r>
      <w:r w:rsidR="00E053AB">
        <w:t>ually</w:t>
      </w:r>
      <w:r w:rsidR="006E51BA">
        <w:t xml:space="preserve"> 45 days after the end of testing</w:t>
      </w:r>
      <w:r w:rsidR="00C32990">
        <w:t>)</w:t>
      </w:r>
      <w:r w:rsidR="006E51BA">
        <w:t xml:space="preserve"> </w:t>
      </w:r>
      <w:r>
        <w:t xml:space="preserve">and AB&amp;T </w:t>
      </w:r>
      <w:r w:rsidR="006E51BA">
        <w:t>(from</w:t>
      </w:r>
      <w:r>
        <w:t xml:space="preserve"> bi-annually</w:t>
      </w:r>
      <w:r w:rsidR="006E51BA">
        <w:t xml:space="preserve"> to annually on September 30)</w:t>
      </w:r>
      <w:r>
        <w:t>.</w:t>
      </w:r>
      <w:r w:rsidR="00730904">
        <w:t xml:space="preserve"> The new DF report would be submitted annually. Some deadlines have been delayed giving manufacturers more time to gather data.</w:t>
      </w:r>
      <w:r w:rsidR="00D2060D">
        <w:t xml:space="preserve"> All other schedules remain unchanged.</w:t>
      </w:r>
    </w:p>
    <w:p w:rsidR="004A7C37" w:rsidP="004A7C37" w:rsidRDefault="004A7C37" w14:paraId="0DD7DD59" w14:textId="65DD9741"/>
    <w:p w:rsidR="00114635" w:rsidP="004A7C37" w:rsidRDefault="00114635" w14:paraId="010090CD" w14:textId="77777777">
      <w:pPr>
        <w:rPr>
          <w:spacing w:val="6"/>
        </w:rPr>
      </w:pPr>
    </w:p>
    <w:p w:rsidR="0098228E" w:rsidRDefault="0098228E" w14:paraId="59204F1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u w:val="single"/>
        </w:rPr>
      </w:pPr>
    </w:p>
    <w:p w:rsidRPr="009647E5" w:rsidR="000362E7" w:rsidRDefault="000362E7" w14:paraId="40C8E8AE" w14:textId="53F7811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647E5">
        <w:rPr>
          <w:color w:val="000000"/>
        </w:rPr>
        <w:t>6.</w:t>
      </w:r>
      <w:r w:rsidRPr="009647E5">
        <w:rPr>
          <w:color w:val="000000"/>
        </w:rPr>
        <w:tab/>
      </w:r>
      <w:r w:rsidRPr="009647E5">
        <w:rPr>
          <w:color w:val="000000"/>
          <w:u w:val="single"/>
        </w:rPr>
        <w:t>Estimating the Burden and Cost of the Collection</w:t>
      </w:r>
    </w:p>
    <w:p w:rsidRPr="00C208A1" w:rsidR="000362E7" w:rsidRDefault="00C208A1" w14:paraId="7693338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Pr="00BD41C3" w:rsidR="000362E7" w:rsidRDefault="00BD41C3" w14:paraId="3C45E88A" w14:textId="526250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sidRPr="00BD41C3" w:rsidR="000362E7">
        <w:rPr>
          <w:b/>
          <w:color w:val="000000"/>
        </w:rPr>
        <w:t>6(a)</w:t>
      </w:r>
      <w:r w:rsidRPr="00BD41C3" w:rsidR="000362E7">
        <w:rPr>
          <w:b/>
          <w:color w:val="000000"/>
        </w:rPr>
        <w:tab/>
        <w:t>Estimating Respondent Burden</w:t>
      </w:r>
    </w:p>
    <w:p w:rsidRPr="00C208A1" w:rsidR="000362E7" w:rsidRDefault="000362E7" w14:paraId="60F6D9B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p>
    <w:p w:rsidRPr="00EB59ED" w:rsidR="000362E7" w:rsidP="00EB59ED" w:rsidRDefault="00650155" w14:paraId="36B1722A" w14:textId="07D6C352">
      <w:pPr>
        <w:numPr>
          <w:ilvl w:val="12"/>
          <w:numId w:val="0"/>
        </w:numPr>
      </w:pPr>
      <w:r>
        <w:rPr>
          <w:color w:val="000000"/>
        </w:rPr>
        <w:tab/>
      </w:r>
      <w:r w:rsidRPr="008B3DD0">
        <w:t>Burden estimat</w:t>
      </w:r>
      <w:r>
        <w:t xml:space="preserve">es </w:t>
      </w:r>
      <w:r w:rsidR="00840173">
        <w:t>are based</w:t>
      </w:r>
      <w:r>
        <w:t xml:space="preserve"> </w:t>
      </w:r>
      <w:r w:rsidR="00074F84">
        <w:t xml:space="preserve">primarily </w:t>
      </w:r>
      <w:r w:rsidR="00472F91">
        <w:t>on</w:t>
      </w:r>
      <w:r w:rsidR="008B3E12">
        <w:t xml:space="preserve"> information gathered during the development of</w:t>
      </w:r>
      <w:r>
        <w:t xml:space="preserve"> </w:t>
      </w:r>
      <w:r w:rsidR="00EA5693">
        <w:t xml:space="preserve">ICR 1684.20 which contains the burden for </w:t>
      </w:r>
      <w:r w:rsidR="00074F84">
        <w:t>HD engine and vehicle programs</w:t>
      </w:r>
      <w:r w:rsidR="007C1A65">
        <w:t xml:space="preserve"> and Marine CI engines</w:t>
      </w:r>
      <w:r w:rsidRPr="008B3DD0">
        <w:t xml:space="preserve"> and adjusted </w:t>
      </w:r>
      <w:r w:rsidR="00840173">
        <w:t xml:space="preserve">them </w:t>
      </w:r>
      <w:r w:rsidRPr="008B3DD0">
        <w:t xml:space="preserve">to reflect comments </w:t>
      </w:r>
      <w:r w:rsidR="00EC3C8C">
        <w:t xml:space="preserve">and experience gained through </w:t>
      </w:r>
      <w:r w:rsidR="00DD1953">
        <w:t>program implementation</w:t>
      </w:r>
      <w:r w:rsidRPr="008B3DD0">
        <w:t xml:space="preserve">. </w:t>
      </w:r>
      <w:r w:rsidR="00046674">
        <w:t xml:space="preserve">These estimates are </w:t>
      </w:r>
      <w:r w:rsidRPr="007F70E3" w:rsidR="00046674">
        <w:t>presented</w:t>
      </w:r>
      <w:r w:rsidRPr="007F70E3">
        <w:t xml:space="preserve"> in Table </w:t>
      </w:r>
      <w:r w:rsidRPr="007F70E3" w:rsidR="00D6633A">
        <w:t>3</w:t>
      </w:r>
      <w:r w:rsidRPr="007F70E3">
        <w:t xml:space="preserve"> </w:t>
      </w:r>
      <w:r w:rsidRPr="007F70E3" w:rsidR="005D3025">
        <w:t>below</w:t>
      </w:r>
      <w:r w:rsidRPr="00F24530">
        <w:t xml:space="preserve">. </w:t>
      </w:r>
      <w:r w:rsidR="00046674">
        <w:t>The table</w:t>
      </w:r>
      <w:r w:rsidR="003A79CF">
        <w:t>’s content</w:t>
      </w:r>
      <w:r w:rsidR="00EB59ED">
        <w:t xml:space="preserve"> is </w:t>
      </w:r>
      <w:r w:rsidR="00046674">
        <w:t xml:space="preserve">discussed in detail in sections 6(b)(ii) and 6(d) </w:t>
      </w:r>
      <w:r w:rsidR="004D1484">
        <w:t xml:space="preserve">of this </w:t>
      </w:r>
      <w:r w:rsidR="007F70E3">
        <w:t>supporting statement.</w:t>
      </w:r>
    </w:p>
    <w:p w:rsidR="00046674" w:rsidRDefault="00046674" w14:paraId="1E35587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03D24" w:rsidRDefault="00A03D24" w14:paraId="02BBD3FF" w14:textId="498B3E1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03D24" w:rsidRDefault="00A03D24" w14:paraId="7DD9D843" w14:textId="77777777">
      <w:pPr>
        <w:widowControl/>
        <w:rPr>
          <w:color w:val="000000"/>
        </w:rPr>
      </w:pPr>
      <w:r>
        <w:rPr>
          <w:color w:val="000000"/>
        </w:rPr>
        <w:br w:type="page"/>
      </w:r>
    </w:p>
    <w:p w:rsidR="00590DA5" w:rsidP="001B55E0" w:rsidRDefault="00590DA5" w14:paraId="25584A9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p>
    <w:p w:rsidRPr="001B55E0" w:rsidR="00A03D24" w:rsidP="00F26D90" w:rsidRDefault="001B55E0" w14:paraId="10E2029F" w14:textId="0CB21A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1B55E0">
        <w:rPr>
          <w:b/>
          <w:bCs/>
          <w:color w:val="000000"/>
        </w:rPr>
        <w:t xml:space="preserve">Table </w:t>
      </w:r>
      <w:r w:rsidR="00D6633A">
        <w:rPr>
          <w:b/>
          <w:bCs/>
          <w:color w:val="000000"/>
        </w:rPr>
        <w:t>3</w:t>
      </w:r>
    </w:p>
    <w:p w:rsidRPr="001B55E0" w:rsidR="001B55E0" w:rsidP="00F26D90" w:rsidRDefault="001B55E0" w14:paraId="251D569C" w14:textId="335DF5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1B55E0">
        <w:rPr>
          <w:b/>
          <w:bCs/>
          <w:color w:val="000000"/>
        </w:rPr>
        <w:t>Respondents’ Estimated Burden and Cost</w:t>
      </w:r>
    </w:p>
    <w:p w:rsidR="001B55E0" w:rsidRDefault="001B55E0" w14:paraId="3698336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53364" w:rsidP="009647E5" w:rsidRDefault="00653364" w14:paraId="5EDFAEF8" w14:textId="7C4C859E">
      <w:pPr>
        <w:widowControl/>
        <w:ind w:left="-450"/>
        <w:jc w:val="center"/>
        <w:rPr>
          <w:color w:val="000000"/>
        </w:rPr>
      </w:pPr>
      <w:r w:rsidRPr="00653364">
        <w:rPr>
          <w:noProof/>
        </w:rPr>
        <w:drawing>
          <wp:inline distT="0" distB="0" distL="0" distR="0" wp14:anchorId="1F4191B2" wp14:editId="3BD1C7C1">
            <wp:extent cx="6877050" cy="53238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90726" cy="5334423"/>
                    </a:xfrm>
                    <a:prstGeom prst="rect">
                      <a:avLst/>
                    </a:prstGeom>
                    <a:noFill/>
                    <a:ln>
                      <a:noFill/>
                    </a:ln>
                  </pic:spPr>
                </pic:pic>
              </a:graphicData>
            </a:graphic>
          </wp:inline>
        </w:drawing>
      </w:r>
    </w:p>
    <w:p w:rsidR="00653364" w:rsidP="009647E5" w:rsidRDefault="00653364" w14:paraId="2924FD3D" w14:textId="77777777">
      <w:pPr>
        <w:widowControl/>
        <w:ind w:left="-450"/>
        <w:jc w:val="center"/>
        <w:rPr>
          <w:color w:val="000000"/>
        </w:rPr>
      </w:pPr>
    </w:p>
    <w:p w:rsidR="005D3025" w:rsidP="005D3025" w:rsidRDefault="005D3025" w14:paraId="584CC19C" w14:textId="4B0E1CFE">
      <w:pPr>
        <w:widowControl/>
        <w:rPr>
          <w:color w:val="000000"/>
        </w:rPr>
      </w:pPr>
    </w:p>
    <w:p w:rsidR="005D3025" w:rsidP="005D3025" w:rsidRDefault="005D3025" w14:paraId="287AE991" w14:textId="77777777">
      <w:pPr>
        <w:widowControl/>
        <w:rPr>
          <w:color w:val="000000"/>
        </w:rPr>
      </w:pPr>
    </w:p>
    <w:p w:rsidRPr="00BA75BA" w:rsidR="000362E7" w:rsidRDefault="00BD41C3" w14:paraId="50758DE6" w14:textId="20C667B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sidRPr="00BA75BA" w:rsidR="000362E7">
        <w:rPr>
          <w:b/>
          <w:color w:val="000000"/>
        </w:rPr>
        <w:t>6(b) Estimating Respondent Costs</w:t>
      </w:r>
    </w:p>
    <w:p w:rsidRPr="00C208A1" w:rsidR="00046674" w:rsidRDefault="00046674" w14:paraId="7340170D" w14:textId="1131ED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BD41C3" w:rsidR="000362E7" w:rsidP="00F24530" w:rsidRDefault="00F24530" w14:paraId="2907BE41" w14:textId="0331FFB8">
      <w:pPr>
        <w:tabs>
          <w:tab w:val="left" w:pos="-10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color w:val="0000FF"/>
        </w:rPr>
      </w:pPr>
      <w:r>
        <w:rPr>
          <w:b/>
          <w:color w:val="000000"/>
        </w:rPr>
        <w:t>6(b)(</w:t>
      </w:r>
      <w:proofErr w:type="spellStart"/>
      <w:r>
        <w:rPr>
          <w:b/>
          <w:color w:val="000000"/>
        </w:rPr>
        <w:t>i</w:t>
      </w:r>
      <w:proofErr w:type="spellEnd"/>
      <w:r>
        <w:rPr>
          <w:b/>
          <w:color w:val="000000"/>
        </w:rPr>
        <w:t xml:space="preserve">)   </w:t>
      </w:r>
      <w:r w:rsidRPr="00BD41C3" w:rsidR="000362E7">
        <w:rPr>
          <w:b/>
          <w:color w:val="000000"/>
        </w:rPr>
        <w:t xml:space="preserve">Estimating </w:t>
      </w:r>
      <w:r w:rsidRPr="00BD41C3" w:rsidR="00DC16A5">
        <w:rPr>
          <w:b/>
          <w:color w:val="000000"/>
        </w:rPr>
        <w:t xml:space="preserve">labor </w:t>
      </w:r>
      <w:r w:rsidRPr="00BD41C3" w:rsidR="00A31653">
        <w:rPr>
          <w:b/>
          <w:color w:val="000000"/>
        </w:rPr>
        <w:t>costs</w:t>
      </w:r>
    </w:p>
    <w:p w:rsidRPr="00C208A1" w:rsidR="00DC16A5" w:rsidP="00DC16A5" w:rsidRDefault="00DC16A5" w14:paraId="291A8BD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Pr="008B3DD0" w:rsidR="000A310B" w:rsidP="000A310B" w:rsidRDefault="000362E7" w14:paraId="7E58FDA3" w14:textId="66CA8E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rPr>
          <w:color w:val="000000"/>
        </w:rPr>
        <w:tab/>
      </w:r>
      <w:r w:rsidRPr="000E4460" w:rsidR="000A310B">
        <w:t>To estimate labor costs, EPA used the Bureau of Labor Statistics</w:t>
      </w:r>
      <w:r w:rsidR="000A310B">
        <w:t>'</w:t>
      </w:r>
      <w:r w:rsidRPr="000E4460" w:rsidR="000A310B">
        <w:t xml:space="preserve"> (BLS) </w:t>
      </w:r>
      <w:r w:rsidR="000A310B">
        <w:t>20</w:t>
      </w:r>
      <w:r w:rsidR="007A2567">
        <w:t>20</w:t>
      </w:r>
      <w:r w:rsidR="000A310B">
        <w:t xml:space="preserve"> </w:t>
      </w:r>
      <w:r w:rsidRPr="000E4460" w:rsidR="000A310B">
        <w:t>National Industry-specific Occupational Wage Estimates for the Engine</w:t>
      </w:r>
      <w:r w:rsidR="000A310B">
        <w:t>, Turbine and Power Transmission Equipment Manufacturing</w:t>
      </w:r>
      <w:r w:rsidRPr="000E4460" w:rsidR="000A310B">
        <w:t xml:space="preserve"> Industry </w:t>
      </w:r>
      <w:r w:rsidR="000A310B">
        <w:t xml:space="preserve">(NAICS 333600, available </w:t>
      </w:r>
      <w:r w:rsidR="000A310B">
        <w:rPr>
          <w:color w:val="000000"/>
        </w:rPr>
        <w:t xml:space="preserve">at </w:t>
      </w:r>
      <w:hyperlink w:history="1" r:id="rId16">
        <w:r w:rsidRPr="0004447E" w:rsidR="000A310B">
          <w:rPr>
            <w:rStyle w:val="Hyperlink"/>
          </w:rPr>
          <w:t>https://www.bls.gov/oes/2016/may/naics4_333600.htm</w:t>
        </w:r>
      </w:hyperlink>
      <w:r w:rsidR="000A310B">
        <w:t>)</w:t>
      </w:r>
      <w:r w:rsidRPr="000E4460" w:rsidR="000A310B">
        <w:t xml:space="preserve">.  </w:t>
      </w:r>
      <w:r w:rsidR="000A310B">
        <w:t>EPA used m</w:t>
      </w:r>
      <w:r w:rsidRPr="000E4460" w:rsidR="000A310B">
        <w:t>ean</w:t>
      </w:r>
      <w:r w:rsidR="000A310B">
        <w:t xml:space="preserve"> hourly rates</w:t>
      </w:r>
      <w:r w:rsidRPr="000E4460" w:rsidR="000A310B">
        <w:t xml:space="preserve"> increased by a factor of </w:t>
      </w:r>
      <w:r w:rsidR="000A310B">
        <w:t>2.1</w:t>
      </w:r>
      <w:r w:rsidRPr="000E4460" w:rsidR="000A310B">
        <w:t xml:space="preserve"> to account for benefits and overhead</w:t>
      </w:r>
      <w:r w:rsidR="000A310B">
        <w:t xml:space="preserve">, as listed in Table </w:t>
      </w:r>
      <w:r w:rsidR="007F70E3">
        <w:t xml:space="preserve">4 </w:t>
      </w:r>
      <w:r w:rsidR="000A310B">
        <w:t>below.</w:t>
      </w:r>
    </w:p>
    <w:p w:rsidR="003B2884" w:rsidRDefault="003B2884" w14:paraId="44E19CA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63B67" w:rsidP="00D62430" w:rsidRDefault="00563B67" w14:paraId="07277B85" w14:textId="77777777">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rsidRPr="004C15AF" w:rsidR="000362E7" w:rsidP="00653DCE" w:rsidRDefault="000362E7" w14:paraId="1E434F5E" w14:textId="59B9B89C">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4C15AF">
        <w:rPr>
          <w:b/>
          <w:bCs/>
          <w:color w:val="000000"/>
        </w:rPr>
        <w:t xml:space="preserve">Table </w:t>
      </w:r>
      <w:r w:rsidR="007F70E3">
        <w:rPr>
          <w:b/>
          <w:bCs/>
          <w:color w:val="000000"/>
        </w:rPr>
        <w:t>4</w:t>
      </w:r>
    </w:p>
    <w:p w:rsidRPr="001C546B" w:rsidR="000362E7" w:rsidP="00653DCE" w:rsidRDefault="000362E7" w14:paraId="1748926E" w14:textId="7D597BC5">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rPr>
      </w:pPr>
      <w:r w:rsidRPr="004C15AF">
        <w:rPr>
          <w:b/>
          <w:bCs/>
          <w:color w:val="000000"/>
        </w:rPr>
        <w:t>Labor Costs Estimates</w:t>
      </w:r>
    </w:p>
    <w:p w:rsidRPr="00993C68" w:rsidR="00563B67" w:rsidP="00653DCE" w:rsidRDefault="00563B67" w14:paraId="6CEE349E" w14:textId="77777777">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tbl>
      <w:tblPr>
        <w:tblW w:w="9070" w:type="dxa"/>
        <w:tblInd w:w="-16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3088"/>
        <w:gridCol w:w="1704"/>
        <w:gridCol w:w="1704"/>
        <w:gridCol w:w="2574"/>
      </w:tblGrid>
      <w:tr w:rsidRPr="0025196B" w:rsidR="007A6826" w:rsidTr="005C7329" w14:paraId="397B3DB4" w14:textId="77777777">
        <w:trPr>
          <w:cantSplit/>
          <w:trHeight w:val="471"/>
        </w:trPr>
        <w:tc>
          <w:tcPr>
            <w:tcW w:w="3088" w:type="dxa"/>
            <w:tcBorders>
              <w:top w:val="single" w:color="000000" w:sz="7" w:space="0"/>
              <w:left w:val="single" w:color="000000" w:sz="7" w:space="0"/>
              <w:bottom w:val="single" w:color="000000" w:sz="7" w:space="0"/>
              <w:right w:val="single" w:color="000000" w:sz="7" w:space="0"/>
            </w:tcBorders>
            <w:shd w:val="clear" w:color="auto" w:fill="B4C6E7" w:themeFill="accent1" w:themeFillTint="66"/>
            <w:vAlign w:val="bottom"/>
          </w:tcPr>
          <w:p w:rsidRPr="00FF55C0" w:rsidR="007A6826" w:rsidP="00653DCE" w:rsidRDefault="007A6826" w14:paraId="5626522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F55C0">
              <w:rPr>
                <w:b/>
              </w:rPr>
              <w:t>Occupation</w:t>
            </w:r>
          </w:p>
        </w:tc>
        <w:tc>
          <w:tcPr>
            <w:tcW w:w="1704" w:type="dxa"/>
            <w:tcBorders>
              <w:top w:val="single" w:color="000000" w:sz="7" w:space="0"/>
              <w:left w:val="single" w:color="000000" w:sz="7" w:space="0"/>
              <w:bottom w:val="single" w:color="000000" w:sz="7" w:space="0"/>
              <w:right w:val="single" w:color="000000" w:sz="7" w:space="0"/>
            </w:tcBorders>
            <w:shd w:val="clear" w:color="auto" w:fill="B4C6E7" w:themeFill="accent1" w:themeFillTint="66"/>
            <w:vAlign w:val="bottom"/>
          </w:tcPr>
          <w:p w:rsidRPr="00FF55C0" w:rsidR="007A6826" w:rsidP="00653DCE" w:rsidRDefault="007A6826" w14:paraId="4A020C1F" w14:textId="12C202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F55C0">
              <w:rPr>
                <w:b/>
              </w:rPr>
              <w:t>SOC Code Number</w:t>
            </w:r>
          </w:p>
        </w:tc>
        <w:tc>
          <w:tcPr>
            <w:tcW w:w="1704" w:type="dxa"/>
            <w:tcBorders>
              <w:top w:val="single" w:color="000000" w:sz="7" w:space="0"/>
              <w:left w:val="single" w:color="000000" w:sz="7" w:space="0"/>
              <w:bottom w:val="single" w:color="000000" w:sz="7" w:space="0"/>
              <w:right w:val="single" w:color="000000" w:sz="7" w:space="0"/>
            </w:tcBorders>
            <w:shd w:val="clear" w:color="auto" w:fill="B4C6E7" w:themeFill="accent1" w:themeFillTint="66"/>
            <w:vAlign w:val="bottom"/>
          </w:tcPr>
          <w:p w:rsidRPr="00FF55C0" w:rsidR="007A6826" w:rsidP="00653DCE" w:rsidRDefault="007A6826" w14:paraId="172AE4AF" w14:textId="5A09977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F55C0">
              <w:rPr>
                <w:b/>
              </w:rPr>
              <w:t>Mean Hourly Rate</w:t>
            </w:r>
          </w:p>
        </w:tc>
        <w:tc>
          <w:tcPr>
            <w:tcW w:w="2574" w:type="dxa"/>
            <w:tcBorders>
              <w:top w:val="single" w:color="000000" w:sz="7" w:space="0"/>
              <w:left w:val="single" w:color="000000" w:sz="7" w:space="0"/>
              <w:bottom w:val="single" w:color="000000" w:sz="7" w:space="0"/>
              <w:right w:val="single" w:color="000000" w:sz="7" w:space="0"/>
            </w:tcBorders>
            <w:shd w:val="clear" w:color="auto" w:fill="B4C6E7" w:themeFill="accent1" w:themeFillTint="66"/>
            <w:vAlign w:val="bottom"/>
          </w:tcPr>
          <w:p w:rsidRPr="00FF55C0" w:rsidR="007A6826" w:rsidP="00653DCE" w:rsidRDefault="007A6826" w14:paraId="6393D5BA" w14:textId="3D0468C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F55C0">
              <w:rPr>
                <w:b/>
              </w:rPr>
              <w:t>Mean Hourly Rate (Including benefits and Overhead)</w:t>
            </w:r>
          </w:p>
        </w:tc>
      </w:tr>
      <w:tr w:rsidRPr="0025196B" w:rsidR="003E61ED" w:rsidTr="00B46F93" w14:paraId="21015C4B" w14:textId="77777777">
        <w:trPr>
          <w:cantSplit/>
          <w:trHeight w:val="384"/>
        </w:trPr>
        <w:tc>
          <w:tcPr>
            <w:tcW w:w="3088"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47FAE2E7" w14:textId="4C1C15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Mechanical</w:t>
            </w:r>
            <w:r w:rsidRPr="007C4A90">
              <w:rPr>
                <w:color w:val="000000"/>
                <w:sz w:val="16"/>
                <w:szCs w:val="16"/>
              </w:rPr>
              <w:t xml:space="preserve"> Engineers</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1D91E80B" w14:textId="4EAA69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17-2141</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7EDFA0D0" w14:textId="648D81A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$45.17</w:t>
            </w:r>
          </w:p>
        </w:tc>
        <w:tc>
          <w:tcPr>
            <w:tcW w:w="2574" w:type="dxa"/>
            <w:tcBorders>
              <w:top w:val="single" w:color="000000" w:sz="7" w:space="0"/>
              <w:left w:val="single" w:color="000000" w:sz="7" w:space="0"/>
              <w:bottom w:val="single" w:color="000000" w:sz="7" w:space="0"/>
              <w:right w:val="single" w:color="000000" w:sz="7" w:space="0"/>
            </w:tcBorders>
            <w:vAlign w:val="center"/>
          </w:tcPr>
          <w:p w:rsidRPr="007C4A90" w:rsidR="003E61ED" w:rsidP="00653DCE" w:rsidRDefault="003E61ED" w14:paraId="64295727" w14:textId="6D355F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bookmarkStart w:name="RANGE!D2" w:id="19"/>
            <w:r>
              <w:rPr>
                <w:color w:val="000000"/>
                <w:sz w:val="16"/>
                <w:szCs w:val="16"/>
              </w:rPr>
              <w:t>$94.86</w:t>
            </w:r>
            <w:bookmarkEnd w:id="19"/>
          </w:p>
        </w:tc>
      </w:tr>
      <w:tr w:rsidRPr="0025196B" w:rsidR="003E61ED" w:rsidTr="00B46F93" w14:paraId="31CB9A9B" w14:textId="77777777">
        <w:trPr>
          <w:cantSplit/>
          <w:trHeight w:val="306"/>
        </w:trPr>
        <w:tc>
          <w:tcPr>
            <w:tcW w:w="3088"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4C3E7D0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Engineering Managers</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19C6E098" w14:textId="701C2F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11-9041</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144EDF24" w14:textId="2C0B2DE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$72.53</w:t>
            </w:r>
          </w:p>
        </w:tc>
        <w:tc>
          <w:tcPr>
            <w:tcW w:w="2574" w:type="dxa"/>
            <w:tcBorders>
              <w:top w:val="single" w:color="000000" w:sz="7" w:space="0"/>
              <w:left w:val="single" w:color="000000" w:sz="7" w:space="0"/>
              <w:bottom w:val="single" w:color="000000" w:sz="7" w:space="0"/>
              <w:right w:val="single" w:color="000000" w:sz="7" w:space="0"/>
            </w:tcBorders>
            <w:vAlign w:val="center"/>
          </w:tcPr>
          <w:p w:rsidRPr="007C4A90" w:rsidR="003E61ED" w:rsidP="00653DCE" w:rsidRDefault="003E61ED" w14:paraId="30D33601" w14:textId="045BFC8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$152.31</w:t>
            </w:r>
          </w:p>
        </w:tc>
      </w:tr>
      <w:tr w:rsidRPr="0025196B" w:rsidR="003E61ED" w:rsidTr="00B46F93" w14:paraId="0FA44FBE" w14:textId="77777777">
        <w:trPr>
          <w:cantSplit/>
          <w:trHeight w:val="268"/>
        </w:trPr>
        <w:tc>
          <w:tcPr>
            <w:tcW w:w="3088"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157D798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Lawyers</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2519A4A7" w14:textId="7661A5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23-1011</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09AC041E" w14:textId="33027D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$85.75</w:t>
            </w:r>
          </w:p>
        </w:tc>
        <w:tc>
          <w:tcPr>
            <w:tcW w:w="2574" w:type="dxa"/>
            <w:tcBorders>
              <w:top w:val="single" w:color="000000" w:sz="7" w:space="0"/>
              <w:left w:val="single" w:color="000000" w:sz="7" w:space="0"/>
              <w:bottom w:val="single" w:color="000000" w:sz="7" w:space="0"/>
              <w:right w:val="single" w:color="000000" w:sz="7" w:space="0"/>
            </w:tcBorders>
            <w:vAlign w:val="center"/>
          </w:tcPr>
          <w:p w:rsidRPr="007C4A90" w:rsidR="003E61ED" w:rsidP="00653DCE" w:rsidRDefault="003E61ED" w14:paraId="27269EBC" w14:textId="57F43E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$180.08</w:t>
            </w:r>
          </w:p>
        </w:tc>
      </w:tr>
      <w:tr w:rsidRPr="0025196B" w:rsidR="003E61ED" w:rsidTr="00B46F93" w14:paraId="4050EEFA" w14:textId="77777777">
        <w:trPr>
          <w:cantSplit/>
          <w:trHeight w:val="210"/>
        </w:trPr>
        <w:tc>
          <w:tcPr>
            <w:tcW w:w="3088"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3283CD7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Mechanical Engineering Technicians</w:t>
            </w:r>
          </w:p>
        </w:tc>
        <w:tc>
          <w:tcPr>
            <w:tcW w:w="1704" w:type="dxa"/>
            <w:tcBorders>
              <w:top w:val="single" w:color="000000" w:sz="7" w:space="0"/>
              <w:left w:val="single" w:color="000000" w:sz="7" w:space="0"/>
              <w:bottom w:val="single" w:color="000000" w:sz="7" w:space="0"/>
              <w:right w:val="single" w:color="000000" w:sz="7" w:space="0"/>
            </w:tcBorders>
            <w:vAlign w:val="bottom"/>
          </w:tcPr>
          <w:p w:rsidRPr="007A6826" w:rsidR="003E61ED" w:rsidP="00653DCE" w:rsidRDefault="003E61ED" w14:paraId="056E6D2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17-3027</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785E54F8" w14:textId="2AB8F75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w:t>
            </w:r>
            <w:r>
              <w:rPr>
                <w:color w:val="000000"/>
                <w:sz w:val="16"/>
                <w:szCs w:val="16"/>
              </w:rPr>
              <w:t>31.81</w:t>
            </w:r>
          </w:p>
        </w:tc>
        <w:tc>
          <w:tcPr>
            <w:tcW w:w="2574" w:type="dxa"/>
            <w:tcBorders>
              <w:top w:val="single" w:color="000000" w:sz="7" w:space="0"/>
              <w:left w:val="single" w:color="000000" w:sz="7" w:space="0"/>
              <w:bottom w:val="single" w:color="000000" w:sz="7" w:space="0"/>
              <w:right w:val="single" w:color="000000" w:sz="7" w:space="0"/>
            </w:tcBorders>
            <w:vAlign w:val="center"/>
          </w:tcPr>
          <w:p w:rsidRPr="007C4A90" w:rsidR="003E61ED" w:rsidP="00653DCE" w:rsidRDefault="003E61ED" w14:paraId="55EEAC32" w14:textId="5004403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$66.80</w:t>
            </w:r>
          </w:p>
        </w:tc>
      </w:tr>
      <w:tr w:rsidRPr="0025196B" w:rsidR="00AE1C1A" w:rsidTr="00B46F93" w14:paraId="01B789E6" w14:textId="77777777">
        <w:trPr>
          <w:cantSplit/>
          <w:trHeight w:val="210"/>
        </w:trPr>
        <w:tc>
          <w:tcPr>
            <w:tcW w:w="3088" w:type="dxa"/>
            <w:tcBorders>
              <w:top w:val="single" w:color="000000" w:sz="7" w:space="0"/>
              <w:left w:val="single" w:color="000000" w:sz="7" w:space="0"/>
              <w:bottom w:val="single" w:color="000000" w:sz="7" w:space="0"/>
              <w:right w:val="single" w:color="000000" w:sz="7" w:space="0"/>
            </w:tcBorders>
            <w:vAlign w:val="bottom"/>
          </w:tcPr>
          <w:p w:rsidRPr="007C4A90" w:rsidR="00AE1C1A" w:rsidP="00653DCE" w:rsidRDefault="00596701" w14:paraId="1789E6F8" w14:textId="719030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596701">
              <w:rPr>
                <w:color w:val="000000"/>
                <w:sz w:val="16"/>
                <w:szCs w:val="16"/>
              </w:rPr>
              <w:t>Computer and Information Analysts</w:t>
            </w:r>
          </w:p>
        </w:tc>
        <w:tc>
          <w:tcPr>
            <w:tcW w:w="1704" w:type="dxa"/>
            <w:tcBorders>
              <w:top w:val="single" w:color="000000" w:sz="7" w:space="0"/>
              <w:left w:val="single" w:color="000000" w:sz="7" w:space="0"/>
              <w:bottom w:val="single" w:color="000000" w:sz="7" w:space="0"/>
              <w:right w:val="single" w:color="000000" w:sz="7" w:space="0"/>
            </w:tcBorders>
            <w:vAlign w:val="bottom"/>
          </w:tcPr>
          <w:p w:rsidRPr="007A6826" w:rsidR="00AE1C1A" w:rsidP="00653DCE" w:rsidRDefault="00383CE4" w14:paraId="206E674D" w14:textId="184E82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383CE4">
              <w:rPr>
                <w:color w:val="000000"/>
                <w:sz w:val="16"/>
                <w:szCs w:val="16"/>
              </w:rPr>
              <w:t>15-1210</w:t>
            </w:r>
          </w:p>
        </w:tc>
        <w:tc>
          <w:tcPr>
            <w:tcW w:w="1704" w:type="dxa"/>
            <w:tcBorders>
              <w:top w:val="single" w:color="000000" w:sz="7" w:space="0"/>
              <w:left w:val="single" w:color="000000" w:sz="7" w:space="0"/>
              <w:bottom w:val="single" w:color="000000" w:sz="7" w:space="0"/>
              <w:right w:val="single" w:color="000000" w:sz="7" w:space="0"/>
            </w:tcBorders>
            <w:vAlign w:val="bottom"/>
          </w:tcPr>
          <w:p w:rsidR="00AE1C1A" w:rsidP="00653DCE" w:rsidRDefault="00B00659" w14:paraId="467DB915" w14:textId="623BF13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B00659">
              <w:rPr>
                <w:color w:val="000000"/>
                <w:sz w:val="16"/>
                <w:szCs w:val="16"/>
              </w:rPr>
              <w:t>$43.78</w:t>
            </w:r>
          </w:p>
        </w:tc>
        <w:tc>
          <w:tcPr>
            <w:tcW w:w="2574" w:type="dxa"/>
            <w:tcBorders>
              <w:top w:val="single" w:color="000000" w:sz="7" w:space="0"/>
              <w:left w:val="single" w:color="000000" w:sz="7" w:space="0"/>
              <w:bottom w:val="single" w:color="000000" w:sz="7" w:space="0"/>
              <w:right w:val="single" w:color="000000" w:sz="7" w:space="0"/>
            </w:tcBorders>
            <w:vAlign w:val="center"/>
          </w:tcPr>
          <w:p w:rsidR="00AE1C1A" w:rsidP="00653DCE" w:rsidRDefault="00907AF4" w14:paraId="603238BD" w14:textId="4793C3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w:t>
            </w:r>
            <w:r w:rsidR="00C36A3C">
              <w:rPr>
                <w:color w:val="000000"/>
                <w:sz w:val="16"/>
                <w:szCs w:val="16"/>
              </w:rPr>
              <w:t>91.94</w:t>
            </w:r>
          </w:p>
        </w:tc>
      </w:tr>
      <w:tr w:rsidRPr="0025196B" w:rsidR="003E61ED" w:rsidTr="00B46F93" w14:paraId="1AD3D36D" w14:textId="77777777">
        <w:trPr>
          <w:cantSplit/>
          <w:trHeight w:val="210"/>
        </w:trPr>
        <w:tc>
          <w:tcPr>
            <w:tcW w:w="3088"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2D93DD67" w14:textId="50F01A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C4A90">
              <w:rPr>
                <w:color w:val="000000"/>
                <w:sz w:val="16"/>
                <w:szCs w:val="16"/>
              </w:rPr>
              <w:t>Secretaries, Except Legal, Medical and Executive</w:t>
            </w:r>
            <w:r w:rsidR="00DA126C">
              <w:rPr>
                <w:color w:val="000000"/>
                <w:sz w:val="16"/>
                <w:szCs w:val="16"/>
              </w:rPr>
              <w:t>s</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7EB23AED" w14:textId="28F2DD0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7A6826">
              <w:rPr>
                <w:color w:val="000000"/>
                <w:sz w:val="16"/>
                <w:szCs w:val="16"/>
              </w:rPr>
              <w:t>43-6014</w:t>
            </w:r>
          </w:p>
        </w:tc>
        <w:tc>
          <w:tcPr>
            <w:tcW w:w="1704" w:type="dxa"/>
            <w:tcBorders>
              <w:top w:val="single" w:color="000000" w:sz="7" w:space="0"/>
              <w:left w:val="single" w:color="000000" w:sz="7" w:space="0"/>
              <w:bottom w:val="single" w:color="000000" w:sz="7" w:space="0"/>
              <w:right w:val="single" w:color="000000" w:sz="7" w:space="0"/>
            </w:tcBorders>
            <w:vAlign w:val="bottom"/>
          </w:tcPr>
          <w:p w:rsidRPr="007C4A90" w:rsidR="003E61ED" w:rsidP="00653DCE" w:rsidRDefault="003E61ED" w14:paraId="1CA186CC" w14:textId="2C4E8D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$21.84</w:t>
            </w:r>
          </w:p>
        </w:tc>
        <w:tc>
          <w:tcPr>
            <w:tcW w:w="2574" w:type="dxa"/>
            <w:tcBorders>
              <w:top w:val="single" w:color="000000" w:sz="7" w:space="0"/>
              <w:left w:val="single" w:color="000000" w:sz="7" w:space="0"/>
              <w:bottom w:val="single" w:color="000000" w:sz="7" w:space="0"/>
              <w:right w:val="single" w:color="000000" w:sz="7" w:space="0"/>
            </w:tcBorders>
            <w:vAlign w:val="center"/>
          </w:tcPr>
          <w:p w:rsidRPr="007C4A90" w:rsidR="003E61ED" w:rsidP="00653DCE" w:rsidRDefault="003E61ED" w14:paraId="7BBCF36F" w14:textId="4E1F5A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$45.86</w:t>
            </w:r>
          </w:p>
        </w:tc>
      </w:tr>
      <w:tr w:rsidRPr="0025196B" w:rsidR="00DA126C" w:rsidTr="00B46F93" w14:paraId="1CE31DF7" w14:textId="77777777">
        <w:trPr>
          <w:cantSplit/>
          <w:trHeight w:val="210"/>
        </w:trPr>
        <w:tc>
          <w:tcPr>
            <w:tcW w:w="3088" w:type="dxa"/>
            <w:tcBorders>
              <w:top w:val="single" w:color="000000" w:sz="7" w:space="0"/>
              <w:left w:val="single" w:color="000000" w:sz="7" w:space="0"/>
              <w:bottom w:val="single" w:color="000000" w:sz="7" w:space="0"/>
              <w:right w:val="single" w:color="000000" w:sz="7" w:space="0"/>
            </w:tcBorders>
            <w:vAlign w:val="center"/>
          </w:tcPr>
          <w:p w:rsidRPr="007C4A90" w:rsidR="00DA126C" w:rsidP="00653DCE" w:rsidRDefault="00DA126C" w14:paraId="129FE70A" w14:textId="3B1287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Mechanical Engineering Technicians</w:t>
            </w:r>
          </w:p>
        </w:tc>
        <w:tc>
          <w:tcPr>
            <w:tcW w:w="1704" w:type="dxa"/>
            <w:tcBorders>
              <w:top w:val="single" w:color="000000" w:sz="7" w:space="0"/>
              <w:left w:val="single" w:color="000000" w:sz="7" w:space="0"/>
              <w:bottom w:val="single" w:color="000000" w:sz="7" w:space="0"/>
              <w:right w:val="single" w:color="000000" w:sz="7" w:space="0"/>
            </w:tcBorders>
            <w:vAlign w:val="center"/>
          </w:tcPr>
          <w:p w:rsidRPr="007A6826" w:rsidR="00DA126C" w:rsidP="00653DCE" w:rsidRDefault="00DA126C" w14:paraId="1B6F3437" w14:textId="5A5779E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17-3027</w:t>
            </w:r>
          </w:p>
        </w:tc>
        <w:tc>
          <w:tcPr>
            <w:tcW w:w="1704" w:type="dxa"/>
            <w:tcBorders>
              <w:top w:val="single" w:color="000000" w:sz="7" w:space="0"/>
              <w:left w:val="single" w:color="000000" w:sz="7" w:space="0"/>
              <w:bottom w:val="single" w:color="000000" w:sz="7" w:space="0"/>
              <w:right w:val="single" w:color="000000" w:sz="7" w:space="0"/>
            </w:tcBorders>
            <w:vAlign w:val="center"/>
          </w:tcPr>
          <w:p w:rsidR="00DA126C" w:rsidP="00653DCE" w:rsidRDefault="00DA126C" w14:paraId="1432E3B2" w14:textId="23E7D9D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$31.81</w:t>
            </w:r>
          </w:p>
        </w:tc>
        <w:tc>
          <w:tcPr>
            <w:tcW w:w="2574" w:type="dxa"/>
            <w:tcBorders>
              <w:top w:val="single" w:color="000000" w:sz="7" w:space="0"/>
              <w:left w:val="single" w:color="000000" w:sz="7" w:space="0"/>
              <w:bottom w:val="single" w:color="000000" w:sz="7" w:space="0"/>
              <w:right w:val="single" w:color="000000" w:sz="7" w:space="0"/>
            </w:tcBorders>
            <w:vAlign w:val="center"/>
          </w:tcPr>
          <w:p w:rsidR="00DA126C" w:rsidP="00653DCE" w:rsidRDefault="00DA126C" w14:paraId="7F55E29A" w14:textId="109C481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$66.80</w:t>
            </w:r>
          </w:p>
        </w:tc>
      </w:tr>
      <w:tr w:rsidRPr="0025196B" w:rsidR="00DA126C" w:rsidTr="00B46F93" w14:paraId="04BFF32F" w14:textId="77777777">
        <w:trPr>
          <w:cantSplit/>
          <w:trHeight w:val="210"/>
        </w:trPr>
        <w:tc>
          <w:tcPr>
            <w:tcW w:w="3088" w:type="dxa"/>
            <w:tcBorders>
              <w:top w:val="single" w:color="000000" w:sz="7" w:space="0"/>
              <w:left w:val="single" w:color="000000" w:sz="7" w:space="0"/>
              <w:bottom w:val="single" w:color="000000" w:sz="7" w:space="0"/>
              <w:right w:val="single" w:color="000000" w:sz="7" w:space="0"/>
            </w:tcBorders>
            <w:vAlign w:val="center"/>
          </w:tcPr>
          <w:p w:rsidRPr="007C4A90" w:rsidR="00DA126C" w:rsidP="00653DCE" w:rsidRDefault="00DA126C" w14:paraId="713FEE8B" w14:textId="7BCB23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Truck Drivers</w:t>
            </w:r>
          </w:p>
        </w:tc>
        <w:tc>
          <w:tcPr>
            <w:tcW w:w="1704" w:type="dxa"/>
            <w:tcBorders>
              <w:top w:val="single" w:color="000000" w:sz="7" w:space="0"/>
              <w:left w:val="single" w:color="000000" w:sz="7" w:space="0"/>
              <w:bottom w:val="single" w:color="000000" w:sz="7" w:space="0"/>
              <w:right w:val="single" w:color="000000" w:sz="7" w:space="0"/>
            </w:tcBorders>
            <w:vAlign w:val="center"/>
          </w:tcPr>
          <w:p w:rsidRPr="007A6826" w:rsidR="00DA126C" w:rsidP="00653DCE" w:rsidRDefault="00DA126C" w14:paraId="3CAF3CB0" w14:textId="757C28B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53-3032</w:t>
            </w:r>
          </w:p>
        </w:tc>
        <w:tc>
          <w:tcPr>
            <w:tcW w:w="1704" w:type="dxa"/>
            <w:tcBorders>
              <w:top w:val="single" w:color="000000" w:sz="7" w:space="0"/>
              <w:left w:val="single" w:color="000000" w:sz="7" w:space="0"/>
              <w:bottom w:val="single" w:color="000000" w:sz="7" w:space="0"/>
              <w:right w:val="single" w:color="000000" w:sz="7" w:space="0"/>
            </w:tcBorders>
            <w:vAlign w:val="center"/>
          </w:tcPr>
          <w:p w:rsidR="00DA126C" w:rsidP="00653DCE" w:rsidRDefault="00DA126C" w14:paraId="29B7FEE3" w14:textId="5686B5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$21.68</w:t>
            </w:r>
          </w:p>
        </w:tc>
        <w:tc>
          <w:tcPr>
            <w:tcW w:w="2574" w:type="dxa"/>
            <w:tcBorders>
              <w:top w:val="single" w:color="000000" w:sz="7" w:space="0"/>
              <w:left w:val="single" w:color="000000" w:sz="7" w:space="0"/>
              <w:bottom w:val="single" w:color="000000" w:sz="7" w:space="0"/>
              <w:right w:val="single" w:color="000000" w:sz="7" w:space="0"/>
            </w:tcBorders>
            <w:vAlign w:val="center"/>
          </w:tcPr>
          <w:p w:rsidR="00DA126C" w:rsidP="00653DCE" w:rsidRDefault="00DA126C" w14:paraId="12BA00DE" w14:textId="08F7A2A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$45.53</w:t>
            </w:r>
          </w:p>
        </w:tc>
      </w:tr>
    </w:tbl>
    <w:p w:rsidRPr="00C208A1" w:rsidR="000362E7" w:rsidP="00653DCE" w:rsidRDefault="000362E7" w14:paraId="4B62B7D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855126" w:rsidP="00653DCE" w:rsidRDefault="00855126" w14:paraId="5B30D0E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855126" w:rsidRDefault="00855126" w14:paraId="7571147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F24530" w:rsidR="000362E7" w:rsidP="00F24530" w:rsidRDefault="00F24530" w14:paraId="25348D20" w14:textId="0201BD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color w:val="000000"/>
        </w:rPr>
      </w:pPr>
      <w:r>
        <w:rPr>
          <w:b/>
          <w:color w:val="000000"/>
        </w:rPr>
        <w:t>6(b)(ii)</w:t>
      </w:r>
      <w:r>
        <w:rPr>
          <w:b/>
          <w:color w:val="000000"/>
        </w:rPr>
        <w:tab/>
      </w:r>
      <w:r w:rsidRPr="00F24530" w:rsidR="000362E7">
        <w:rPr>
          <w:b/>
          <w:color w:val="000000"/>
        </w:rPr>
        <w:t>Estimating Capital</w:t>
      </w:r>
      <w:r w:rsidRPr="00F24530" w:rsidR="00E83DA6">
        <w:rPr>
          <w:b/>
          <w:color w:val="000000"/>
        </w:rPr>
        <w:t>,</w:t>
      </w:r>
      <w:r w:rsidRPr="00F24530" w:rsidR="000362E7">
        <w:rPr>
          <w:b/>
          <w:color w:val="000000"/>
        </w:rPr>
        <w:t xml:space="preserve"> Operations and Maintenance Costs</w:t>
      </w:r>
    </w:p>
    <w:p w:rsidRPr="00C208A1" w:rsidR="000362E7" w:rsidP="00712CA0" w:rsidRDefault="00712CA0" w14:paraId="6C16D76B" w14:textId="77777777">
      <w:pPr>
        <w:tabs>
          <w:tab w:val="left" w:pos="-1080"/>
          <w:tab w:val="left" w:pos="-720"/>
          <w:tab w:val="left" w:pos="0"/>
        </w:tabs>
        <w:rPr>
          <w:color w:val="000000"/>
        </w:rPr>
      </w:pPr>
      <w:r>
        <w:rPr>
          <w:color w:val="000000"/>
        </w:rPr>
        <w:tab/>
      </w:r>
      <w:r>
        <w:rPr>
          <w:color w:val="000000"/>
        </w:rPr>
        <w:tab/>
      </w:r>
      <w:r>
        <w:rPr>
          <w:color w:val="000000"/>
        </w:rPr>
        <w:tab/>
      </w:r>
      <w:r>
        <w:rPr>
          <w:color w:val="000000"/>
        </w:rPr>
        <w:tab/>
      </w:r>
      <w:r>
        <w:rPr>
          <w:color w:val="000000"/>
        </w:rPr>
        <w:tab/>
      </w:r>
    </w:p>
    <w:p w:rsidR="000A310B" w:rsidP="000A310B" w:rsidRDefault="00EB38F1" w14:paraId="0CC364A0" w14:textId="60633E16">
      <w:pPr>
        <w:numPr>
          <w:ilvl w:val="12"/>
          <w:numId w:val="0"/>
        </w:numPr>
        <w:ind w:firstLine="720"/>
      </w:pPr>
      <w:r>
        <w:rPr>
          <w:color w:val="000000"/>
        </w:rPr>
        <w:t xml:space="preserve">  </w:t>
      </w:r>
      <w:r w:rsidRPr="00C208A1">
        <w:rPr>
          <w:color w:val="000000"/>
        </w:rPr>
        <w:t xml:space="preserve"> </w:t>
      </w:r>
      <w:r w:rsidRPr="008B3DD0" w:rsidR="000A310B">
        <w:t xml:space="preserve">Operation and Maintenance </w:t>
      </w:r>
      <w:r w:rsidR="000A310B">
        <w:t xml:space="preserve">(O&amp;M) costs are listed </w:t>
      </w:r>
      <w:r w:rsidRPr="007F70E3" w:rsidR="000A310B">
        <w:t xml:space="preserve">in </w:t>
      </w:r>
      <w:r w:rsidRPr="007F70E3" w:rsidR="007F70E3">
        <w:t>Table 3</w:t>
      </w:r>
      <w:r w:rsidRPr="00F24530" w:rsidR="000A310B">
        <w:t xml:space="preserve"> </w:t>
      </w:r>
      <w:r w:rsidR="009651D2">
        <w:t>in section 6(a)</w:t>
      </w:r>
      <w:r w:rsidRPr="004C15AF" w:rsidR="000A310B">
        <w:t>.</w:t>
      </w:r>
      <w:r w:rsidR="000A310B">
        <w:t xml:space="preserve"> Wherever possible, estimates where developed using current costs. Where it was not practicable to obtain a new estimate, EPA used estimates developed in previous years and corrected them for inflation using the Bureau of Labor Statistic’s Consumer Price Index Inflation Calculator. The calculator can be found at </w:t>
      </w:r>
      <w:hyperlink w:history="1" r:id="rId17">
        <w:r w:rsidRPr="008C5CB9" w:rsidR="000A310B">
          <w:rPr>
            <w:rStyle w:val="Hyperlink"/>
          </w:rPr>
          <w:t>http://www.bls.gov/data/inflation_calculator.htm</w:t>
        </w:r>
      </w:hyperlink>
      <w:r w:rsidR="000A310B">
        <w:t xml:space="preserve">. </w:t>
      </w:r>
    </w:p>
    <w:p w:rsidR="000A310B" w:rsidP="000A310B" w:rsidRDefault="000A310B" w14:paraId="3EF7F5C4" w14:textId="77777777">
      <w:pPr>
        <w:numPr>
          <w:ilvl w:val="12"/>
          <w:numId w:val="0"/>
        </w:numPr>
      </w:pPr>
    </w:p>
    <w:p w:rsidR="003D12C4" w:rsidP="00B85888" w:rsidRDefault="00B85888" w14:paraId="70327993" w14:textId="02A174A5">
      <w:pPr>
        <w:numPr>
          <w:ilvl w:val="12"/>
          <w:numId w:val="0"/>
        </w:numPr>
      </w:pPr>
      <w:r>
        <w:rPr>
          <w:color w:val="000000"/>
        </w:rPr>
        <w:tab/>
      </w:r>
      <w:r w:rsidR="008C476C">
        <w:rPr>
          <w:color w:val="000000"/>
        </w:rPr>
        <w:t>HD engine e</w:t>
      </w:r>
      <w:r w:rsidRPr="006A2E65" w:rsidR="0036241A">
        <w:t xml:space="preserve">missions testing is the largest cost in this collection. </w:t>
      </w:r>
      <w:r w:rsidR="0036241A">
        <w:t>H</w:t>
      </w:r>
      <w:r w:rsidR="008C476C">
        <w:t xml:space="preserve">D engine manufacturers </w:t>
      </w:r>
      <w:r w:rsidRPr="006A2E65" w:rsidR="0036241A">
        <w:t xml:space="preserve">are large companies </w:t>
      </w:r>
      <w:r w:rsidR="00FA2874">
        <w:t xml:space="preserve">that </w:t>
      </w:r>
      <w:r w:rsidRPr="006A2E65" w:rsidR="0036241A">
        <w:t>have</w:t>
      </w:r>
      <w:r w:rsidR="00400C28">
        <w:t xml:space="preserve"> built</w:t>
      </w:r>
      <w:r w:rsidRPr="006A2E65" w:rsidR="0036241A">
        <w:t xml:space="preserve"> their own test cells</w:t>
      </w:r>
      <w:r w:rsidR="00BB575D">
        <w:t>, which they use for most of</w:t>
      </w:r>
      <w:r w:rsidR="00B65671">
        <w:t xml:space="preserve"> their</w:t>
      </w:r>
      <w:r w:rsidRPr="006A2E65" w:rsidR="0036241A">
        <w:t xml:space="preserve"> certification and compliance testing needs as well as for research and development. </w:t>
      </w:r>
      <w:r w:rsidR="00BB575D">
        <w:t xml:space="preserve">Sometimes, however, they hire outside </w:t>
      </w:r>
      <w:r w:rsidR="008740C0">
        <w:t>laboratories. Therefore, t</w:t>
      </w:r>
      <w:r w:rsidR="00C47A37">
        <w:t xml:space="preserve">esting </w:t>
      </w:r>
      <w:r w:rsidR="008740C0">
        <w:t>cost estimates</w:t>
      </w:r>
      <w:r w:rsidR="003B7E3D">
        <w:t xml:space="preserve"> are presented in two categories: </w:t>
      </w:r>
      <w:r w:rsidR="002F4223">
        <w:t>“</w:t>
      </w:r>
      <w:r w:rsidR="00B63F1C">
        <w:t>in-house testing</w:t>
      </w:r>
      <w:r w:rsidR="002F4223">
        <w:t>”</w:t>
      </w:r>
      <w:r w:rsidR="00B63F1C">
        <w:t xml:space="preserve"> </w:t>
      </w:r>
      <w:r w:rsidR="002F4223">
        <w:t>and “outsourced testing</w:t>
      </w:r>
      <w:r w:rsidR="003B7E3D">
        <w:t xml:space="preserve">.” </w:t>
      </w:r>
      <w:r w:rsidR="00B63F1C">
        <w:t>M</w:t>
      </w:r>
      <w:r w:rsidRPr="00A85452" w:rsidR="00B63F1C">
        <w:t xml:space="preserve">aintenance of </w:t>
      </w:r>
      <w:r w:rsidR="00B63F1C">
        <w:t xml:space="preserve">in-house </w:t>
      </w:r>
      <w:r w:rsidRPr="00A85452" w:rsidR="00B63F1C">
        <w:t>emission laboratories</w:t>
      </w:r>
      <w:r w:rsidR="00B63F1C">
        <w:t xml:space="preserve"> </w:t>
      </w:r>
      <w:r w:rsidR="002F1D53">
        <w:t>is already accounted for in ICR 1684.20</w:t>
      </w:r>
      <w:r w:rsidR="002F4223">
        <w:t xml:space="preserve">, but </w:t>
      </w:r>
      <w:r w:rsidR="008B66A3">
        <w:t xml:space="preserve">this ICR includes some costs associated with </w:t>
      </w:r>
      <w:r w:rsidR="0036514E">
        <w:t xml:space="preserve">performing </w:t>
      </w:r>
      <w:r w:rsidR="008B66A3">
        <w:t xml:space="preserve">the </w:t>
      </w:r>
      <w:r w:rsidR="0036514E">
        <w:t xml:space="preserve">additional </w:t>
      </w:r>
      <w:r w:rsidR="008B66A3">
        <w:t>tests</w:t>
      </w:r>
      <w:r w:rsidR="0036514E">
        <w:t xml:space="preserve"> </w:t>
      </w:r>
      <w:r w:rsidR="00AE0D43">
        <w:t>in the proposal</w:t>
      </w:r>
      <w:r w:rsidR="008C4877">
        <w:t>.</w:t>
      </w:r>
      <w:r w:rsidRPr="00AE0D43" w:rsidR="00AE0D43">
        <w:t xml:space="preserve"> </w:t>
      </w:r>
      <w:r w:rsidRPr="006A2E65" w:rsidR="000F1BE4">
        <w:t xml:space="preserve">Since manufacturers carry over </w:t>
      </w:r>
      <w:r w:rsidR="000F1BE4">
        <w:t xml:space="preserve">certification </w:t>
      </w:r>
      <w:r w:rsidRPr="006A2E65" w:rsidR="000F1BE4">
        <w:t xml:space="preserve">emissions data from one model year to the next, </w:t>
      </w:r>
      <w:r w:rsidR="000F1BE4">
        <w:t>certification testing</w:t>
      </w:r>
      <w:r w:rsidRPr="006A2E65" w:rsidR="000F1BE4">
        <w:t xml:space="preserve"> cost</w:t>
      </w:r>
      <w:r w:rsidR="000F1BE4">
        <w:t>s</w:t>
      </w:r>
      <w:r w:rsidRPr="006A2E65" w:rsidR="000F1BE4">
        <w:t xml:space="preserve"> has been annualized</w:t>
      </w:r>
      <w:r w:rsidR="000F1BE4">
        <w:t>,</w:t>
      </w:r>
      <w:r w:rsidRPr="006A2E65" w:rsidR="000F1BE4">
        <w:t xml:space="preserve"> </w:t>
      </w:r>
      <w:r w:rsidR="000F1BE4">
        <w:t>where appropriate,</w:t>
      </w:r>
      <w:r w:rsidRPr="006A2E65" w:rsidR="000F1BE4">
        <w:t xml:space="preserve"> over the approval period requested for this ICR (3 years)</w:t>
      </w:r>
      <w:r w:rsidR="000F1BE4">
        <w:t>.</w:t>
      </w:r>
    </w:p>
    <w:p w:rsidR="006D7410" w:rsidP="00B85888" w:rsidRDefault="006D7410" w14:paraId="538EFACE" w14:textId="778C8F94">
      <w:pPr>
        <w:numPr>
          <w:ilvl w:val="12"/>
          <w:numId w:val="0"/>
        </w:numPr>
      </w:pPr>
    </w:p>
    <w:p w:rsidR="007E78E7" w:rsidP="007E78E7" w:rsidRDefault="003D12C4" w14:paraId="74DB8A23" w14:textId="0BACAB5F">
      <w:pPr>
        <w:numPr>
          <w:ilvl w:val="12"/>
          <w:numId w:val="0"/>
        </w:numPr>
        <w:ind w:firstLine="720"/>
      </w:pPr>
      <w:r>
        <w:t xml:space="preserve">The </w:t>
      </w:r>
      <w:r w:rsidR="004F244D">
        <w:t xml:space="preserve">average </w:t>
      </w:r>
      <w:r>
        <w:t xml:space="preserve">cost of HD </w:t>
      </w:r>
      <w:r w:rsidR="00652C53">
        <w:t xml:space="preserve">engine </w:t>
      </w:r>
      <w:r>
        <w:t xml:space="preserve">certification testing package </w:t>
      </w:r>
      <w:r w:rsidR="00700120">
        <w:t>has been</w:t>
      </w:r>
      <w:r>
        <w:t xml:space="preserve"> estimated at $</w:t>
      </w:r>
      <w:r w:rsidR="00A91F14">
        <w:t>52,800</w:t>
      </w:r>
      <w:r w:rsidR="00801E4F">
        <w:rPr>
          <w:rStyle w:val="FootnoteReference"/>
        </w:rPr>
        <w:footnoteReference w:id="9"/>
      </w:r>
      <w:r w:rsidR="001545EB">
        <w:t xml:space="preserve"> or $</w:t>
      </w:r>
      <w:r w:rsidR="00985A05">
        <w:t>17,</w:t>
      </w:r>
      <w:r w:rsidR="000750F3">
        <w:t>6</w:t>
      </w:r>
      <w:r w:rsidR="00985A05">
        <w:t>0</w:t>
      </w:r>
      <w:r w:rsidR="0010759C">
        <w:t>0</w:t>
      </w:r>
      <w:r w:rsidR="004764DC">
        <w:t xml:space="preserve"> annualized. </w:t>
      </w:r>
      <w:r w:rsidR="0010759C">
        <w:t>The cost of th</w:t>
      </w:r>
      <w:r w:rsidR="00FC3E37">
        <w:t>e</w:t>
      </w:r>
      <w:r w:rsidR="001744AD">
        <w:t xml:space="preserve"> package has been apportioned to estimate the cost of the </w:t>
      </w:r>
      <w:r w:rsidR="003C79BF">
        <w:t>LLC</w:t>
      </w:r>
      <w:r w:rsidR="0095303D">
        <w:t xml:space="preserve"> and </w:t>
      </w:r>
      <w:r w:rsidR="00764A46">
        <w:t xml:space="preserve">other </w:t>
      </w:r>
      <w:r w:rsidR="00A46AB9">
        <w:t xml:space="preserve">newly proposed </w:t>
      </w:r>
      <w:r w:rsidR="00764A46">
        <w:t>test</w:t>
      </w:r>
      <w:r w:rsidR="00A46AB9">
        <w:t>ing requirements</w:t>
      </w:r>
      <w:r w:rsidR="00D66775">
        <w:t xml:space="preserve">, as listed in </w:t>
      </w:r>
      <w:r w:rsidR="007F70E3">
        <w:t>Table 3</w:t>
      </w:r>
      <w:r w:rsidR="005350F0">
        <w:t xml:space="preserve">. </w:t>
      </w:r>
      <w:r w:rsidR="00CA4A9C">
        <w:t xml:space="preserve">The cost of using PEMs for durability testing </w:t>
      </w:r>
      <w:r w:rsidR="00A46AB9">
        <w:t>has been estimated at approximately</w:t>
      </w:r>
      <w:r w:rsidR="00CA4A9C">
        <w:t xml:space="preserve"> $42,000</w:t>
      </w:r>
      <w:r w:rsidR="005A73A7">
        <w:t xml:space="preserve"> </w:t>
      </w:r>
      <w:r w:rsidR="00FA24F4">
        <w:t>($14,000</w:t>
      </w:r>
      <w:r w:rsidR="005A73A7">
        <w:t xml:space="preserve"> annualized</w:t>
      </w:r>
      <w:r w:rsidR="00FA24F4">
        <w:t>)</w:t>
      </w:r>
      <w:r w:rsidR="00994398">
        <w:t>.</w:t>
      </w:r>
    </w:p>
    <w:p w:rsidR="00890AB3" w:rsidP="007E78E7" w:rsidRDefault="00890AB3" w14:paraId="105860CC" w14:textId="77777777">
      <w:pPr>
        <w:numPr>
          <w:ilvl w:val="12"/>
          <w:numId w:val="0"/>
        </w:numPr>
        <w:ind w:firstLine="720"/>
      </w:pPr>
    </w:p>
    <w:p w:rsidR="008260FC" w:rsidP="007E78E7" w:rsidRDefault="009506D2" w14:paraId="3E933A29" w14:textId="501888C1">
      <w:pPr>
        <w:numPr>
          <w:ilvl w:val="12"/>
          <w:numId w:val="0"/>
        </w:numPr>
        <w:ind w:firstLine="720"/>
      </w:pPr>
      <w:r>
        <w:t>EPA is</w:t>
      </w:r>
      <w:r w:rsidRPr="009506D2">
        <w:t xml:space="preserve"> propos</w:t>
      </w:r>
      <w:r w:rsidR="00CD5314">
        <w:t>ing to codify the current</w:t>
      </w:r>
      <w:r w:rsidRPr="009506D2">
        <w:t xml:space="preserve"> </w:t>
      </w:r>
      <w:r w:rsidRPr="009506D2" w:rsidR="00262A88">
        <w:t>DF validation</w:t>
      </w:r>
      <w:r w:rsidR="00CD5314">
        <w:t xml:space="preserve"> program. This program has been in place since 2020 through</w:t>
      </w:r>
      <w:r w:rsidR="00D1738F">
        <w:t xml:space="preserve"> </w:t>
      </w:r>
      <w:r w:rsidRPr="00F532C9" w:rsidR="00CD5314">
        <w:t>guidance</w:t>
      </w:r>
      <w:r w:rsidRPr="00F532C9" w:rsidR="00D1738F">
        <w:rPr>
          <w:rStyle w:val="FootnoteReference"/>
        </w:rPr>
        <w:footnoteReference w:id="10"/>
      </w:r>
      <w:r w:rsidRPr="00F532C9" w:rsidR="00FD7696">
        <w:t xml:space="preserve"> </w:t>
      </w:r>
      <w:r w:rsidRPr="00F532C9" w:rsidR="003F535B">
        <w:t>both at the federal level and in California</w:t>
      </w:r>
      <w:r w:rsidR="008260FC">
        <w:t xml:space="preserve"> after the agencies questioned the reliability of DFs being used for certification</w:t>
      </w:r>
      <w:r w:rsidRPr="00F532C9" w:rsidR="00D1738F">
        <w:t>.</w:t>
      </w:r>
      <w:r w:rsidRPr="00F532C9" w:rsidR="00F532C9">
        <w:t xml:space="preserve"> </w:t>
      </w:r>
      <w:r w:rsidR="00E719A7">
        <w:t>Consistent with the fact that i</w:t>
      </w:r>
      <w:r w:rsidR="00D236B8">
        <w:t xml:space="preserve">nitial </w:t>
      </w:r>
      <w:r w:rsidR="000C2DCE">
        <w:t>DF demonstrations can be carried across to multiple families with</w:t>
      </w:r>
      <w:r w:rsidR="00766968">
        <w:t xml:space="preserve"> similar</w:t>
      </w:r>
      <w:r w:rsidR="000C2DCE">
        <w:t xml:space="preserve"> technology</w:t>
      </w:r>
      <w:r w:rsidR="00F22347">
        <w:t>,</w:t>
      </w:r>
      <w:r w:rsidR="00766968">
        <w:t xml:space="preserve"> if approved</w:t>
      </w:r>
      <w:r w:rsidR="00E719A7">
        <w:t xml:space="preserve">, each </w:t>
      </w:r>
      <w:r w:rsidR="00F22347">
        <w:t xml:space="preserve">DF validation </w:t>
      </w:r>
      <w:r w:rsidR="004B6E73">
        <w:t>exercise should</w:t>
      </w:r>
      <w:r w:rsidR="00F85474">
        <w:t xml:space="preserve"> also apply to the same families</w:t>
      </w:r>
      <w:r w:rsidR="00E719A7">
        <w:t xml:space="preserve"> as the initial DF</w:t>
      </w:r>
      <w:r w:rsidR="00F22347">
        <w:t>.</w:t>
      </w:r>
      <w:r w:rsidR="009B69FB">
        <w:t xml:space="preserve"> </w:t>
      </w:r>
      <w:r w:rsidR="00E719A7">
        <w:t xml:space="preserve">Since the program has been in place since 2020 and manufacturers are </w:t>
      </w:r>
      <w:r w:rsidR="00A15D43">
        <w:t>already engaged in the exercise, some of the families may have their DFs already validated by the time the proposal, if finalized, becomes effective in MY2027.</w:t>
      </w:r>
      <w:r w:rsidR="009B69FB">
        <w:t xml:space="preserve"> Because of this and the carry-across provision, EPA estimates that</w:t>
      </w:r>
      <w:r w:rsidR="00BC2EE2">
        <w:t xml:space="preserve"> each manufacturer will perform</w:t>
      </w:r>
      <w:r w:rsidR="007325B5">
        <w:t>, in average,</w:t>
      </w:r>
      <w:r w:rsidR="00BC2EE2">
        <w:t xml:space="preserve"> approximately two DF validations per year</w:t>
      </w:r>
      <w:r w:rsidR="007325B5">
        <w:t>, for a total of 36 DF validation tests for the industry (</w:t>
      </w:r>
      <w:r w:rsidR="00D54976">
        <w:t>two</w:t>
      </w:r>
      <w:r w:rsidR="007325B5">
        <w:t xml:space="preserve"> </w:t>
      </w:r>
      <w:proofErr w:type="gramStart"/>
      <w:r w:rsidR="007325B5">
        <w:t>tests</w:t>
      </w:r>
      <w:proofErr w:type="gramEnd"/>
      <w:r w:rsidR="007325B5">
        <w:t xml:space="preserve"> times 16 manufacturers).</w:t>
      </w:r>
      <w:r w:rsidR="0050264B">
        <w:t xml:space="preserve"> This is perhaps the largest testing-related cost of the proposal</w:t>
      </w:r>
      <w:r w:rsidR="002C7674">
        <w:t>.</w:t>
      </w:r>
    </w:p>
    <w:p w:rsidR="008260FC" w:rsidP="007E78E7" w:rsidRDefault="008260FC" w14:paraId="5DAEFCA3" w14:textId="77777777">
      <w:pPr>
        <w:numPr>
          <w:ilvl w:val="12"/>
          <w:numId w:val="0"/>
        </w:numPr>
        <w:ind w:firstLine="720"/>
      </w:pPr>
    </w:p>
    <w:p w:rsidR="00882852" w:rsidP="004764DC" w:rsidRDefault="00882852" w14:paraId="568B35F6" w14:textId="464ED230">
      <w:pPr>
        <w:numPr>
          <w:ilvl w:val="12"/>
          <w:numId w:val="0"/>
        </w:numPr>
        <w:ind w:firstLine="720"/>
      </w:pPr>
      <w:r>
        <w:t xml:space="preserve">Other O&amp;M Costs </w:t>
      </w:r>
      <w:r w:rsidRPr="00A85452">
        <w:t>associated with this information collection include</w:t>
      </w:r>
      <w:r>
        <w:t xml:space="preserve"> </w:t>
      </w:r>
      <w:r w:rsidR="005906E7">
        <w:t>electronic system updates</w:t>
      </w:r>
      <w:r>
        <w:t>,</w:t>
      </w:r>
      <w:r w:rsidR="00B22F91">
        <w:t xml:space="preserve"> test analysis</w:t>
      </w:r>
      <w:r w:rsidR="005906E7">
        <w:t xml:space="preserve"> </w:t>
      </w:r>
      <w:r w:rsidR="00B22F91">
        <w:t>software updates</w:t>
      </w:r>
      <w:r w:rsidR="003C0596">
        <w:t xml:space="preserve"> (from NTE to MAWs)</w:t>
      </w:r>
      <w:r w:rsidR="00B22F91">
        <w:t xml:space="preserve">, </w:t>
      </w:r>
      <w:r>
        <w:t>electronic data storage</w:t>
      </w:r>
      <w:r w:rsidRPr="00A85452">
        <w:t xml:space="preserve">, shipping expenses, </w:t>
      </w:r>
      <w:r>
        <w:t>and phone calls.</w:t>
      </w:r>
    </w:p>
    <w:p w:rsidR="00B55495" w:rsidP="004764DC" w:rsidRDefault="00B55495" w14:paraId="3FE98C9B" w14:textId="77777777">
      <w:pPr>
        <w:numPr>
          <w:ilvl w:val="12"/>
          <w:numId w:val="0"/>
        </w:numPr>
        <w:ind w:firstLine="720"/>
      </w:pPr>
    </w:p>
    <w:p w:rsidRPr="00C208A1" w:rsidR="00EB38F1" w:rsidRDefault="00EB38F1" w14:paraId="0503E35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F24530" w:rsidR="000362E7" w:rsidP="00F24530" w:rsidRDefault="00F24530" w14:paraId="0135A766" w14:textId="65CD45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Pr>
          <w:b/>
          <w:color w:val="000000"/>
        </w:rPr>
        <w:tab/>
        <w:t>6(b)(iii) C</w:t>
      </w:r>
      <w:r w:rsidRPr="00F24530" w:rsidR="000362E7">
        <w:rPr>
          <w:b/>
          <w:color w:val="000000"/>
        </w:rPr>
        <w:t>apital/Start Up Costs</w:t>
      </w:r>
    </w:p>
    <w:p w:rsidR="000362E7" w:rsidRDefault="000362E7" w14:paraId="0263B44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A85452" w:rsidR="00523E26" w:rsidP="00523E26" w:rsidRDefault="00523E26" w14:paraId="666D6AAA" w14:textId="6B2BCD96">
      <w:pPr>
        <w:numPr>
          <w:ilvl w:val="12"/>
          <w:numId w:val="0"/>
        </w:numPr>
        <w:ind w:firstLine="720"/>
      </w:pPr>
      <w:r>
        <w:t>There are no capital or start-</w:t>
      </w:r>
      <w:r w:rsidRPr="00A85452">
        <w:t>up costs associated with the re</w:t>
      </w:r>
      <w:r>
        <w:t>vision</w:t>
      </w:r>
      <w:r w:rsidRPr="00A85452">
        <w:t xml:space="preserve"> of this ICR.  </w:t>
      </w:r>
    </w:p>
    <w:p w:rsidR="00523E26" w:rsidP="00C949E0" w:rsidRDefault="00523E26" w14:paraId="5B339F26" w14:textId="77777777">
      <w:pPr>
        <w:numPr>
          <w:ilvl w:val="12"/>
          <w:numId w:val="0"/>
        </w:numPr>
        <w:ind w:firstLine="720"/>
      </w:pPr>
    </w:p>
    <w:p w:rsidR="007C00AE" w:rsidP="007C00AE" w:rsidRDefault="007C00AE" w14:paraId="29F6ED30" w14:textId="70E23F3E">
      <w:pPr>
        <w:numPr>
          <w:ilvl w:val="12"/>
          <w:numId w:val="0"/>
        </w:numPr>
        <w:rPr>
          <w:color w:val="000000"/>
        </w:rPr>
      </w:pPr>
    </w:p>
    <w:p w:rsidR="00BD41C3" w:rsidRDefault="00BD41C3" w14:paraId="18D9B3C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Pr="00BD41C3" w:rsidR="000362E7" w:rsidRDefault="00BD41C3" w14:paraId="6F9D1BE2" w14:textId="7684A6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sidRPr="00BD41C3" w:rsidR="000362E7">
        <w:rPr>
          <w:b/>
          <w:color w:val="000000"/>
        </w:rPr>
        <w:t xml:space="preserve">6(c) </w:t>
      </w:r>
      <w:r>
        <w:rPr>
          <w:b/>
          <w:color w:val="000000"/>
        </w:rPr>
        <w:tab/>
      </w:r>
      <w:r w:rsidRPr="00BD41C3" w:rsidR="000362E7">
        <w:rPr>
          <w:b/>
          <w:color w:val="000000"/>
        </w:rPr>
        <w:t>Estimating Agency Burden</w:t>
      </w:r>
    </w:p>
    <w:p w:rsidRPr="00C208A1" w:rsidR="000362E7" w:rsidRDefault="000362E7" w14:paraId="79438E5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26AE9" w:rsidP="00B94A4A" w:rsidRDefault="00DD0961" w14:paraId="093238B5" w14:textId="643A3D3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8916DB">
        <w:rPr>
          <w:color w:val="000000"/>
        </w:rPr>
        <w:t>EPA’s</w:t>
      </w:r>
      <w:r w:rsidR="00086BA3">
        <w:rPr>
          <w:color w:val="000000"/>
        </w:rPr>
        <w:t xml:space="preserve"> Compliance Division (CD)</w:t>
      </w:r>
      <w:r w:rsidR="00A372DC">
        <w:rPr>
          <w:color w:val="000000"/>
        </w:rPr>
        <w:t xml:space="preserve"> within the</w:t>
      </w:r>
      <w:r w:rsidR="00086BA3">
        <w:rPr>
          <w:color w:val="000000"/>
        </w:rPr>
        <w:t xml:space="preserve"> Office of Transportation and Air Quality</w:t>
      </w:r>
      <w:r w:rsidR="00A372DC">
        <w:rPr>
          <w:color w:val="000000"/>
        </w:rPr>
        <w:t xml:space="preserve"> (OTAQ)</w:t>
      </w:r>
      <w:r w:rsidR="008916DB">
        <w:rPr>
          <w:color w:val="000000"/>
        </w:rPr>
        <w:t xml:space="preserve"> </w:t>
      </w:r>
      <w:r w:rsidR="00BD051F">
        <w:rPr>
          <w:color w:val="000000"/>
        </w:rPr>
        <w:t>would be</w:t>
      </w:r>
      <w:r w:rsidR="008916DB">
        <w:rPr>
          <w:color w:val="000000"/>
        </w:rPr>
        <w:t xml:space="preserve"> responsible for collecting the data requested under th</w:t>
      </w:r>
      <w:r w:rsidR="00BD051F">
        <w:rPr>
          <w:color w:val="000000"/>
        </w:rPr>
        <w:t>e proposal</w:t>
      </w:r>
      <w:r w:rsidR="00086BA3">
        <w:rPr>
          <w:color w:val="000000"/>
        </w:rPr>
        <w:t xml:space="preserve">. </w:t>
      </w:r>
    </w:p>
    <w:p w:rsidR="00734DDE" w:rsidP="00734DDE" w:rsidRDefault="00734DDE" w14:paraId="75D5A6AB" w14:textId="77777777">
      <w:pPr>
        <w:numPr>
          <w:ilvl w:val="12"/>
          <w:numId w:val="0"/>
        </w:numPr>
      </w:pPr>
    </w:p>
    <w:p w:rsidR="00B8354E" w:rsidP="004A79D0" w:rsidRDefault="009C175F" w14:paraId="10F4A342" w14:textId="58E0D821">
      <w:pPr>
        <w:numPr>
          <w:ilvl w:val="12"/>
          <w:numId w:val="0"/>
        </w:numPr>
        <w:ind w:firstLine="720"/>
      </w:pPr>
      <w:r>
        <w:t xml:space="preserve">About </w:t>
      </w:r>
      <w:r w:rsidR="00F62DA4">
        <w:t>10</w:t>
      </w:r>
      <w:r>
        <w:t xml:space="preserve"> </w:t>
      </w:r>
      <w:r w:rsidR="008916DB">
        <w:t>EPA</w:t>
      </w:r>
      <w:r>
        <w:t xml:space="preserve"> employees </w:t>
      </w:r>
      <w:r w:rsidR="00A75EC8">
        <w:t xml:space="preserve">of EPA’s Compliance Division </w:t>
      </w:r>
      <w:r w:rsidR="008916DB">
        <w:t xml:space="preserve">routinely </w:t>
      </w:r>
      <w:r>
        <w:t>dedicate</w:t>
      </w:r>
      <w:r w:rsidR="00A75EC8">
        <w:t xml:space="preserve"> a</w:t>
      </w:r>
      <w:r w:rsidR="00EF18EB">
        <w:t xml:space="preserve"> significant</w:t>
      </w:r>
      <w:r w:rsidR="00A75EC8">
        <w:t xml:space="preserve"> portion</w:t>
      </w:r>
      <w:r w:rsidR="004A79D0">
        <w:t xml:space="preserve"> of their</w:t>
      </w:r>
      <w:r>
        <w:t xml:space="preserve"> time to the activities described in this collection request. </w:t>
      </w:r>
      <w:r w:rsidRPr="00EF18EB" w:rsidR="008A1F3A">
        <w:t xml:space="preserve">Table </w:t>
      </w:r>
      <w:r w:rsidR="003C0596">
        <w:t>5</w:t>
      </w:r>
      <w:r w:rsidRPr="00EF18EB" w:rsidR="008A1F3A">
        <w:t xml:space="preserve"> summarizes EPA's labor costs and burden associated with this information coll</w:t>
      </w:r>
      <w:r w:rsidRPr="008B3DD0" w:rsidR="008A1F3A">
        <w:t>ection</w:t>
      </w:r>
      <w:r w:rsidR="008A1F3A">
        <w:t xml:space="preserve">.  </w:t>
      </w:r>
      <w:r w:rsidRPr="00351D8F" w:rsidR="008A1F3A">
        <w:t xml:space="preserve">The </w:t>
      </w:r>
      <w:r w:rsidR="008A1F3A">
        <w:t>20</w:t>
      </w:r>
      <w:r w:rsidR="000B134F">
        <w:t>2</w:t>
      </w:r>
      <w:r w:rsidR="00EF18EB">
        <w:t>1</w:t>
      </w:r>
      <w:r w:rsidR="008A1F3A">
        <w:t xml:space="preserve"> </w:t>
      </w:r>
      <w:r w:rsidRPr="00351D8F" w:rsidR="008A1F3A">
        <w:t>hourly rate</w:t>
      </w:r>
      <w:r w:rsidR="008A1F3A">
        <w:t>s used were</w:t>
      </w:r>
      <w:r w:rsidRPr="00351D8F" w:rsidR="008A1F3A">
        <w:t xml:space="preserve"> obtained from the Office of Personal Management</w:t>
      </w:r>
      <w:r w:rsidR="008A1F3A">
        <w:t xml:space="preserve"> (</w:t>
      </w:r>
      <w:hyperlink w:history="1" r:id="rId18">
        <w:r w:rsidRPr="00683E7F" w:rsidR="008A1F3A">
          <w:rPr>
            <w:rStyle w:val="Hyperlink"/>
          </w:rPr>
          <w:t>https://www.opm.gov/policy-data-oversight/pay-leave/salaries-wages/2017/general-schedule/</w:t>
        </w:r>
      </w:hyperlink>
      <w:r w:rsidR="008A1F3A">
        <w:t>)</w:t>
      </w:r>
      <w:r w:rsidRPr="00351D8F" w:rsidR="008A1F3A">
        <w:t>,</w:t>
      </w:r>
      <w:r w:rsidR="008A1F3A">
        <w:t xml:space="preserve"> a</w:t>
      </w:r>
      <w:r w:rsidRPr="008B3DD0" w:rsidR="008A1F3A">
        <w:t>nd adjusted by a factor of 1.6 to ac</w:t>
      </w:r>
      <w:r w:rsidR="008A1F3A">
        <w:t xml:space="preserve">count for benefits and overhead. </w:t>
      </w:r>
      <w:r w:rsidR="00525E10">
        <w:t xml:space="preserve">While </w:t>
      </w:r>
      <w:r w:rsidR="00264E05">
        <w:t>t</w:t>
      </w:r>
      <w:r w:rsidR="00A07333">
        <w:t xml:space="preserve">he </w:t>
      </w:r>
      <w:r w:rsidR="008A1F3A">
        <w:t xml:space="preserve">EPA </w:t>
      </w:r>
      <w:r w:rsidR="00A07333">
        <w:t xml:space="preserve">team that implements </w:t>
      </w:r>
      <w:r w:rsidR="00525E10">
        <w:t xml:space="preserve">this collection is </w:t>
      </w:r>
      <w:r w:rsidR="00A07333">
        <w:t>has some members in</w:t>
      </w:r>
      <w:r w:rsidR="00D8588C">
        <w:t xml:space="preserve"> </w:t>
      </w:r>
      <w:r w:rsidR="00264E05">
        <w:t>Washington, DC</w:t>
      </w:r>
      <w:r w:rsidR="00A07333">
        <w:t>,</w:t>
      </w:r>
      <w:r w:rsidR="00525E10">
        <w:t xml:space="preserve"> we</w:t>
      </w:r>
      <w:r w:rsidR="00A07333">
        <w:t>’ve</w:t>
      </w:r>
      <w:r w:rsidR="00525E10">
        <w:t xml:space="preserve"> </w:t>
      </w:r>
      <w:r w:rsidR="008A1F3A">
        <w:t xml:space="preserve">used </w:t>
      </w:r>
      <w:r w:rsidR="00264E05">
        <w:t>Ann Arbor</w:t>
      </w:r>
      <w:r w:rsidR="00A07333">
        <w:t>, MI</w:t>
      </w:r>
      <w:r w:rsidR="00264E05">
        <w:t xml:space="preserve">’s </w:t>
      </w:r>
      <w:r w:rsidR="008A1F3A">
        <w:t xml:space="preserve">locality </w:t>
      </w:r>
      <w:proofErr w:type="gramStart"/>
      <w:r w:rsidR="008A1F3A">
        <w:t>pay</w:t>
      </w:r>
      <w:proofErr w:type="gramEnd"/>
      <w:r w:rsidR="008A1F3A">
        <w:t xml:space="preserve"> rates</w:t>
      </w:r>
      <w:r w:rsidR="00264E05">
        <w:t xml:space="preserve"> </w:t>
      </w:r>
      <w:r w:rsidR="00A07333">
        <w:t>where the ma</w:t>
      </w:r>
      <w:r w:rsidR="008713C1">
        <w:t xml:space="preserve">jority reside </w:t>
      </w:r>
      <w:r w:rsidR="008A1F3A">
        <w:t>for simplicity.</w:t>
      </w:r>
      <w:r w:rsidR="00525E10">
        <w:t xml:space="preserve"> </w:t>
      </w:r>
      <w:r w:rsidR="00482A4B">
        <w:t>Regulatory development, government-conducted t</w:t>
      </w:r>
      <w:r w:rsidR="00B8354E">
        <w:t>esting and other costs</w:t>
      </w:r>
      <w:r w:rsidR="00525E10">
        <w:t xml:space="preserve"> incurred by the agencies not directly related to</w:t>
      </w:r>
      <w:r w:rsidR="00B8354E">
        <w:t xml:space="preserve"> </w:t>
      </w:r>
      <w:r w:rsidR="00525E10">
        <w:t xml:space="preserve">data submitted by respondents under this ICR are </w:t>
      </w:r>
      <w:r w:rsidR="00B8354E">
        <w:t>not included in this estimate.</w:t>
      </w:r>
      <w:r w:rsidRPr="008916DB" w:rsidR="00B8354E">
        <w:t xml:space="preserve"> </w:t>
      </w:r>
    </w:p>
    <w:p w:rsidR="00DD4F87" w:rsidP="004A79D0" w:rsidRDefault="00DD4F87" w14:paraId="67D526EF" w14:textId="061505F1">
      <w:pPr>
        <w:numPr>
          <w:ilvl w:val="12"/>
          <w:numId w:val="0"/>
        </w:numPr>
        <w:ind w:firstLine="720"/>
      </w:pPr>
    </w:p>
    <w:p w:rsidR="00F03C2D" w:rsidP="00DD4F87" w:rsidRDefault="00F03C2D" w14:paraId="7CE78362" w14:textId="77777777">
      <w:pPr>
        <w:numPr>
          <w:ilvl w:val="12"/>
          <w:numId w:val="0"/>
        </w:numPr>
        <w:ind w:firstLine="720"/>
        <w:jc w:val="center"/>
        <w:rPr>
          <w:b/>
          <w:bCs/>
        </w:rPr>
      </w:pPr>
    </w:p>
    <w:p w:rsidR="00F03C2D" w:rsidP="00DD4F87" w:rsidRDefault="00F03C2D" w14:paraId="4A3B43F6" w14:textId="77777777">
      <w:pPr>
        <w:numPr>
          <w:ilvl w:val="12"/>
          <w:numId w:val="0"/>
        </w:numPr>
        <w:ind w:firstLine="720"/>
        <w:jc w:val="center"/>
        <w:rPr>
          <w:b/>
          <w:bCs/>
        </w:rPr>
      </w:pPr>
    </w:p>
    <w:p w:rsidRPr="00DB7D8D" w:rsidR="00DD4F87" w:rsidP="00DD4F87" w:rsidRDefault="00DD4F87" w14:paraId="0B37C965" w14:textId="58A843BB">
      <w:pPr>
        <w:numPr>
          <w:ilvl w:val="12"/>
          <w:numId w:val="0"/>
        </w:numPr>
        <w:ind w:firstLine="720"/>
        <w:jc w:val="center"/>
        <w:rPr>
          <w:b/>
          <w:bCs/>
        </w:rPr>
      </w:pPr>
      <w:r w:rsidRPr="00DB7D8D">
        <w:rPr>
          <w:b/>
          <w:bCs/>
        </w:rPr>
        <w:t xml:space="preserve">Table </w:t>
      </w:r>
      <w:r w:rsidR="003C0596">
        <w:rPr>
          <w:b/>
          <w:bCs/>
        </w:rPr>
        <w:t>5</w:t>
      </w:r>
    </w:p>
    <w:p w:rsidRPr="00DB7D8D" w:rsidR="00DD4F87" w:rsidP="00DD4F87" w:rsidRDefault="00DD4F87" w14:paraId="65B38C9A" w14:textId="5908F97E">
      <w:pPr>
        <w:numPr>
          <w:ilvl w:val="12"/>
          <w:numId w:val="0"/>
        </w:numPr>
        <w:ind w:firstLine="720"/>
        <w:jc w:val="center"/>
        <w:rPr>
          <w:b/>
          <w:bCs/>
        </w:rPr>
      </w:pPr>
      <w:r w:rsidRPr="00DB7D8D">
        <w:rPr>
          <w:b/>
          <w:bCs/>
        </w:rPr>
        <w:t>Agency Burden</w:t>
      </w:r>
    </w:p>
    <w:p w:rsidR="00B8354E" w:rsidP="006628F2" w:rsidRDefault="00B8354E" w14:paraId="41B7DF38" w14:textId="45FB50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B8354E" w:rsidP="005E6A04" w:rsidRDefault="005E6A04" w14:paraId="55509F1B" w14:textId="1AAE59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r w:rsidRPr="005E6A04">
        <w:rPr>
          <w:noProof/>
        </w:rPr>
        <w:drawing>
          <wp:inline distT="0" distB="0" distL="0" distR="0" wp14:anchorId="484F0652" wp14:editId="1F8898BF">
            <wp:extent cx="5943600" cy="3733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rsidR="003E0275" w:rsidP="006628F2" w:rsidRDefault="003E0275" w14:paraId="261E8FE0" w14:textId="7D8243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E0275" w:rsidP="006628F2" w:rsidRDefault="003E0275" w14:paraId="096023F4" w14:textId="48500C3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BD41C3" w:rsidR="000362E7" w:rsidRDefault="00BD41C3" w14:paraId="231EC0E6" w14:textId="59F454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sidRPr="00BD41C3" w:rsidR="000362E7">
        <w:rPr>
          <w:b/>
          <w:color w:val="000000"/>
        </w:rPr>
        <w:t>6(d)</w:t>
      </w:r>
      <w:r w:rsidRPr="00BD41C3" w:rsidR="000362E7">
        <w:rPr>
          <w:b/>
          <w:color w:val="000000"/>
        </w:rPr>
        <w:tab/>
        <w:t>Estimating the Respondent Universe and Total Burden and Costs</w:t>
      </w:r>
    </w:p>
    <w:p w:rsidRPr="00C208A1" w:rsidR="000362E7" w:rsidRDefault="000362E7" w14:paraId="15062373" w14:textId="3763000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p>
    <w:p w:rsidR="00883A32" w:rsidP="00743410" w:rsidRDefault="001E3C31" w14:paraId="585515B8" w14:textId="62E0160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86F6A">
        <w:t xml:space="preserve">As </w:t>
      </w:r>
      <w:r w:rsidR="00E6061A">
        <w:t xml:space="preserve">previously </w:t>
      </w:r>
      <w:r w:rsidR="00286F6A">
        <w:t>mentioned, t</w:t>
      </w:r>
      <w:r>
        <w:t>he proposed rule builds on existing</w:t>
      </w:r>
      <w:r w:rsidR="00851BAA">
        <w:t>, long-established</w:t>
      </w:r>
      <w:r>
        <w:t xml:space="preserve"> </w:t>
      </w:r>
      <w:r w:rsidR="00C1139F">
        <w:t xml:space="preserve">engine and vehicle </w:t>
      </w:r>
      <w:r>
        <w:t>certification and compliance requirements</w:t>
      </w:r>
      <w:r w:rsidR="00C1139F">
        <w:t xml:space="preserve">. The largest and most burden-intensive provisions </w:t>
      </w:r>
      <w:r w:rsidR="007B1B27">
        <w:t>make changes to the HD engine and vehicle programs</w:t>
      </w:r>
      <w:r w:rsidR="00EA693C">
        <w:t xml:space="preserve">, which are already covered under </w:t>
      </w:r>
      <w:r w:rsidRPr="00F16B17" w:rsidR="00EA693C">
        <w:t xml:space="preserve">EPA ICR Number 1684.20, OMB Control Number 2060-0287, </w:t>
      </w:r>
      <w:r w:rsidRPr="003E0A6E" w:rsidR="00EA693C">
        <w:rPr>
          <w:i/>
          <w:iCs/>
        </w:rPr>
        <w:t>Emissions Certification and Compliance Requirements for Nonroad Compression-ignition Engines and On-highway Heavy Duty Engines</w:t>
      </w:r>
      <w:r w:rsidRPr="00F16B17" w:rsidR="00FC3756">
        <w:t>.</w:t>
      </w:r>
      <w:r w:rsidR="00FC3756">
        <w:t xml:space="preserve"> </w:t>
      </w:r>
      <w:r w:rsidR="00F86856">
        <w:t>ICR 1684.20</w:t>
      </w:r>
      <w:r w:rsidR="0074431C">
        <w:t>, also referred to in this document as one of the ‘programmatic ICR</w:t>
      </w:r>
      <w:r w:rsidR="008427DF">
        <w:t>s</w:t>
      </w:r>
      <w:r w:rsidR="0074431C">
        <w:t>’</w:t>
      </w:r>
      <w:r w:rsidR="00F86856">
        <w:t xml:space="preserve"> includes burden for </w:t>
      </w:r>
      <w:r w:rsidR="00F16B17">
        <w:t xml:space="preserve">both </w:t>
      </w:r>
      <w:r w:rsidR="00F86856">
        <w:t>HD CI and SI engines, HD vehicles and marine CI engines</w:t>
      </w:r>
      <w:r w:rsidR="00DB7F1E">
        <w:t xml:space="preserve"> </w:t>
      </w:r>
      <w:r w:rsidR="008427DF">
        <w:t xml:space="preserve">which are </w:t>
      </w:r>
      <w:r w:rsidR="00DB7F1E">
        <w:t>also affected by the proposed action</w:t>
      </w:r>
      <w:r w:rsidR="00F86856">
        <w:t>, among othe</w:t>
      </w:r>
      <w:r w:rsidR="00DB7F1E">
        <w:t>rs</w:t>
      </w:r>
      <w:r w:rsidR="00F86856">
        <w:t xml:space="preserve">. </w:t>
      </w:r>
    </w:p>
    <w:p w:rsidR="00283B31" w:rsidP="00743410" w:rsidRDefault="00283B31" w14:paraId="37F30E08" w14:textId="026E18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54C44" w:rsidP="00743410" w:rsidRDefault="00283B31" w14:paraId="7CA0FA93" w14:textId="61E24A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proposed rule also </w:t>
      </w:r>
      <w:r w:rsidR="00857490">
        <w:t>updates</w:t>
      </w:r>
      <w:r w:rsidR="002E5BD9">
        <w:t xml:space="preserve">, </w:t>
      </w:r>
      <w:r w:rsidR="008427DF">
        <w:t>clarifies,</w:t>
      </w:r>
      <w:r w:rsidR="002E5BD9">
        <w:t xml:space="preserve"> and streamlines</w:t>
      </w:r>
      <w:r w:rsidR="00857490">
        <w:t xml:space="preserve"> </w:t>
      </w:r>
      <w:r w:rsidR="00937618">
        <w:t xml:space="preserve">existing </w:t>
      </w:r>
      <w:r w:rsidR="00857490">
        <w:t>provisions</w:t>
      </w:r>
      <w:r w:rsidR="00A81F8B">
        <w:t xml:space="preserve"> </w:t>
      </w:r>
      <w:r w:rsidR="00937618">
        <w:t>related to</w:t>
      </w:r>
      <w:r w:rsidR="00A81F8B">
        <w:t xml:space="preserve"> other industries</w:t>
      </w:r>
      <w:r w:rsidR="002E5BD9">
        <w:t>, albeit with minimal to no new burden</w:t>
      </w:r>
      <w:r w:rsidR="003A4B9D">
        <w:t>. The burden for those programs’ e</w:t>
      </w:r>
      <w:r>
        <w:t>xisting requirements</w:t>
      </w:r>
      <w:r w:rsidR="0023234A">
        <w:t xml:space="preserve"> </w:t>
      </w:r>
      <w:r w:rsidR="00362019">
        <w:t>is</w:t>
      </w:r>
      <w:r w:rsidR="00A76BB9">
        <w:t xml:space="preserve"> </w:t>
      </w:r>
      <w:r w:rsidR="003A4B9D">
        <w:t>accounted for in</w:t>
      </w:r>
      <w:r w:rsidR="0074431C">
        <w:t xml:space="preserve"> the following ‘programmatic ICRs</w:t>
      </w:r>
      <w:r w:rsidR="00F54C44">
        <w:t>:</w:t>
      </w:r>
      <w:r w:rsidR="0074431C">
        <w:t>’</w:t>
      </w:r>
    </w:p>
    <w:p w:rsidR="00F54C44" w:rsidP="004155D9" w:rsidRDefault="00A76BB9" w14:paraId="500F46BC" w14:textId="77777777">
      <w:pPr>
        <w:pStyle w:val="ListParagraph"/>
        <w:numPr>
          <w:ilvl w:val="0"/>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 xml:space="preserve">EPA ICR Number </w:t>
      </w:r>
      <w:r w:rsidRPr="00DF113E">
        <w:t>1695.14</w:t>
      </w:r>
      <w:r>
        <w:t xml:space="preserve">, OMB Control Number </w:t>
      </w:r>
      <w:r w:rsidRPr="00DF113E">
        <w:t>2060-0338</w:t>
      </w:r>
      <w:r>
        <w:t>,</w:t>
      </w:r>
      <w:r w:rsidRPr="00DF113E">
        <w:t xml:space="preserve"> </w:t>
      </w:r>
      <w:r w:rsidRPr="00F54C44">
        <w:rPr>
          <w:i/>
          <w:iCs/>
        </w:rPr>
        <w:t xml:space="preserve">Certification and Compliance Requirements for Nonroad Spark-ignition Engines. </w:t>
      </w:r>
    </w:p>
    <w:p w:rsidR="00283B31" w:rsidP="004155D9" w:rsidRDefault="0023234A" w14:paraId="54BC5C21" w14:textId="0FC4F05A">
      <w:pPr>
        <w:pStyle w:val="ListParagraph"/>
        <w:numPr>
          <w:ilvl w:val="0"/>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EPA ICR Number</w:t>
      </w:r>
      <w:r w:rsidR="005232B1">
        <w:t xml:space="preserve"> </w:t>
      </w:r>
      <w:r w:rsidRPr="00F54C44" w:rsidR="00F54C44">
        <w:t>0783.64</w:t>
      </w:r>
      <w:r>
        <w:t xml:space="preserve">, OMB Control Number </w:t>
      </w:r>
      <w:r w:rsidRPr="00097FB0">
        <w:t>2060-0104</w:t>
      </w:r>
      <w:r>
        <w:t xml:space="preserve">, </w:t>
      </w:r>
      <w:r w:rsidRPr="003E0A6E">
        <w:rPr>
          <w:i/>
          <w:iCs/>
        </w:rPr>
        <w:t>Motor Vehicle Emission Certification and Fuel Economy Compliance</w:t>
      </w:r>
      <w:r w:rsidRPr="00097FB0">
        <w:t>, 40 CFR Parts 86 and 600</w:t>
      </w:r>
      <w:r w:rsidR="00651ED1">
        <w:t>.</w:t>
      </w:r>
    </w:p>
    <w:p w:rsidR="001D3D6C" w:rsidP="00651ED1" w:rsidRDefault="00F16B17" w14:paraId="6C6E9F4E" w14:textId="2E0768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 avoid duplication, this collection only includes the incremental burden associated with the proposed provisions</w:t>
      </w:r>
      <w:r w:rsidR="00553E94">
        <w:t xml:space="preserve"> as shown in </w:t>
      </w:r>
      <w:r w:rsidR="007F70E3">
        <w:t>Table 3</w:t>
      </w:r>
      <w:r w:rsidR="00A74337">
        <w:t xml:space="preserve"> in section 6(a)</w:t>
      </w:r>
      <w:r>
        <w:t>.</w:t>
      </w:r>
      <w:r w:rsidR="003A7674">
        <w:t xml:space="preserve"> </w:t>
      </w:r>
    </w:p>
    <w:p w:rsidR="00615EAD" w:rsidP="00651ED1" w:rsidRDefault="00615EAD" w14:paraId="76AADAE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C22027" w:rsidR="00615EAD" w:rsidP="00615EAD" w:rsidRDefault="00615EAD" w14:paraId="139D720B" w14:textId="6ADBB2DA">
      <w:pPr>
        <w:numPr>
          <w:ilvl w:val="12"/>
          <w:numId w:val="0"/>
        </w:numPr>
        <w:ind w:firstLine="720"/>
        <w:rPr>
          <w:b/>
        </w:rPr>
      </w:pPr>
      <w:r>
        <w:rPr>
          <w:lang w:val="en-CA"/>
        </w:rPr>
        <w:t>To estimate the respondent universe</w:t>
      </w:r>
      <w:r w:rsidR="008870BC">
        <w:rPr>
          <w:lang w:val="en-CA"/>
        </w:rPr>
        <w:t xml:space="preserve"> and response frequency</w:t>
      </w:r>
      <w:r>
        <w:rPr>
          <w:lang w:val="en-CA"/>
        </w:rPr>
        <w:t xml:space="preserve">, EPA examined response levels in </w:t>
      </w:r>
      <w:r w:rsidR="008870BC">
        <w:rPr>
          <w:lang w:val="en-CA"/>
        </w:rPr>
        <w:t xml:space="preserve">recent </w:t>
      </w:r>
      <w:r>
        <w:rPr>
          <w:lang w:val="en-CA"/>
        </w:rPr>
        <w:t>years</w:t>
      </w:r>
      <w:r w:rsidR="00F418B4">
        <w:rPr>
          <w:lang w:val="en-CA"/>
        </w:rPr>
        <w:t xml:space="preserve"> including data </w:t>
      </w:r>
      <w:r w:rsidR="00FF420E">
        <w:rPr>
          <w:lang w:val="en-CA"/>
        </w:rPr>
        <w:t>gathered</w:t>
      </w:r>
      <w:r w:rsidR="00F418B4">
        <w:rPr>
          <w:lang w:val="en-CA"/>
        </w:rPr>
        <w:t xml:space="preserve"> for recent renewals of </w:t>
      </w:r>
      <w:r w:rsidR="003B0347">
        <w:rPr>
          <w:lang w:val="en-CA"/>
        </w:rPr>
        <w:t>the programmatic ICRs</w:t>
      </w:r>
      <w:r>
        <w:rPr>
          <w:lang w:val="en-CA"/>
        </w:rPr>
        <w:t>. Wherever possible, we based estimates</w:t>
      </w:r>
      <w:r w:rsidR="003B0347">
        <w:rPr>
          <w:lang w:val="en-CA"/>
        </w:rPr>
        <w:t xml:space="preserve"> for this ICR</w:t>
      </w:r>
      <w:r>
        <w:rPr>
          <w:lang w:val="en-CA"/>
        </w:rPr>
        <w:t xml:space="preserve"> on 20</w:t>
      </w:r>
      <w:r w:rsidR="00C52EF3">
        <w:rPr>
          <w:lang w:val="en-CA"/>
        </w:rPr>
        <w:t>19</w:t>
      </w:r>
      <w:r>
        <w:rPr>
          <w:lang w:val="en-CA"/>
        </w:rPr>
        <w:t>-20</w:t>
      </w:r>
      <w:r w:rsidR="00C52EF3">
        <w:rPr>
          <w:lang w:val="en-CA"/>
        </w:rPr>
        <w:t>21</w:t>
      </w:r>
      <w:r>
        <w:rPr>
          <w:lang w:val="en-CA"/>
        </w:rPr>
        <w:t xml:space="preserve"> data. </w:t>
      </w:r>
    </w:p>
    <w:p w:rsidRPr="00586067" w:rsidR="008745EB" w:rsidP="009E64E5" w:rsidRDefault="001D3D6C" w14:paraId="68FCCE8F" w14:textId="797B6BB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E876C2" w:rsidP="009E64E5" w:rsidRDefault="009E64E5" w14:paraId="26F64870" w14:textId="1F9FD50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lang w:val="en-CA"/>
        </w:rPr>
      </w:pPr>
      <w:r>
        <w:rPr>
          <w:color w:val="000000"/>
          <w:lang w:val="en-CA"/>
        </w:rPr>
        <w:tab/>
      </w:r>
      <w:r w:rsidRPr="00210035" w:rsidR="003E0275">
        <w:rPr>
          <w:color w:val="000000"/>
          <w:lang w:val="en-CA"/>
        </w:rPr>
        <w:t xml:space="preserve">Table </w:t>
      </w:r>
      <w:r w:rsidR="00F03C2D">
        <w:rPr>
          <w:color w:val="000000"/>
          <w:lang w:val="en-CA"/>
        </w:rPr>
        <w:t>6</w:t>
      </w:r>
      <w:r w:rsidR="00E876C2">
        <w:rPr>
          <w:color w:val="000000"/>
          <w:lang w:val="en-CA"/>
        </w:rPr>
        <w:t xml:space="preserve"> below details the number </w:t>
      </w:r>
      <w:r w:rsidR="001F1191">
        <w:rPr>
          <w:color w:val="000000"/>
          <w:lang w:val="en-CA"/>
        </w:rPr>
        <w:t>of respondents</w:t>
      </w:r>
      <w:r w:rsidR="00E876C2">
        <w:rPr>
          <w:color w:val="000000"/>
          <w:lang w:val="en-CA"/>
        </w:rPr>
        <w:t xml:space="preserve">. </w:t>
      </w:r>
      <w:r w:rsidR="00E02849">
        <w:rPr>
          <w:color w:val="000000"/>
          <w:lang w:val="en-CA"/>
        </w:rPr>
        <w:t xml:space="preserve">Engine manufacturer numbers have been gleaned from past response levels. </w:t>
      </w:r>
      <w:r w:rsidR="00E876C2">
        <w:rPr>
          <w:color w:val="000000"/>
          <w:lang w:val="en-CA"/>
        </w:rPr>
        <w:t xml:space="preserve">EPA does not expect new </w:t>
      </w:r>
      <w:r w:rsidR="00D323AF">
        <w:rPr>
          <w:color w:val="000000"/>
          <w:lang w:val="en-CA"/>
        </w:rPr>
        <w:t xml:space="preserve">HD </w:t>
      </w:r>
      <w:r w:rsidR="00E876C2">
        <w:rPr>
          <w:color w:val="000000"/>
          <w:lang w:val="en-CA"/>
        </w:rPr>
        <w:t>companies to enter the market by 202</w:t>
      </w:r>
      <w:r w:rsidR="00D323AF">
        <w:rPr>
          <w:color w:val="000000"/>
          <w:lang w:val="en-CA"/>
        </w:rPr>
        <w:t>7</w:t>
      </w:r>
      <w:r w:rsidR="00E876C2">
        <w:rPr>
          <w:color w:val="000000"/>
          <w:lang w:val="en-CA"/>
        </w:rPr>
        <w:t xml:space="preserve"> or a significant number of new engine/vehicle families</w:t>
      </w:r>
      <w:r w:rsidR="00983167">
        <w:rPr>
          <w:color w:val="000000"/>
          <w:lang w:val="en-CA"/>
        </w:rPr>
        <w:t xml:space="preserve"> as these </w:t>
      </w:r>
      <w:r w:rsidR="00D323AF">
        <w:rPr>
          <w:color w:val="000000"/>
          <w:lang w:val="en-CA"/>
        </w:rPr>
        <w:t xml:space="preserve">numbers </w:t>
      </w:r>
      <w:r w:rsidR="00983167">
        <w:rPr>
          <w:color w:val="000000"/>
          <w:lang w:val="en-CA"/>
        </w:rPr>
        <w:t>tend to remain stable after the first few years of a new certification program</w:t>
      </w:r>
      <w:r w:rsidR="00E876C2">
        <w:rPr>
          <w:color w:val="000000"/>
          <w:lang w:val="en-CA"/>
        </w:rPr>
        <w:t xml:space="preserve">. </w:t>
      </w:r>
    </w:p>
    <w:p w:rsidR="007A3096" w:rsidP="009E64E5" w:rsidRDefault="007A3096" w14:paraId="727D5BB8" w14:textId="4E3493E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lang w:val="en-CA"/>
        </w:rPr>
      </w:pPr>
    </w:p>
    <w:p w:rsidR="007A3096" w:rsidP="009E64E5" w:rsidRDefault="007A3096" w14:paraId="521A309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lang w:val="en-CA"/>
        </w:rPr>
      </w:pPr>
    </w:p>
    <w:p w:rsidR="003E0275" w:rsidP="00E876C2" w:rsidRDefault="003E0275" w14:paraId="50998E3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lang w:val="en-CA"/>
        </w:rPr>
      </w:pPr>
    </w:p>
    <w:p w:rsidRPr="003E0275" w:rsidR="00E876C2" w:rsidP="00E876C2" w:rsidRDefault="003E0275" w14:paraId="555ADF21" w14:textId="583343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n-CA"/>
        </w:rPr>
      </w:pPr>
      <w:r w:rsidRPr="003E0275">
        <w:rPr>
          <w:b/>
          <w:color w:val="000000"/>
          <w:lang w:val="en-CA"/>
        </w:rPr>
        <w:t>T</w:t>
      </w:r>
      <w:r w:rsidRPr="003E0275" w:rsidR="00E876C2">
        <w:rPr>
          <w:b/>
          <w:color w:val="000000"/>
          <w:lang w:val="en-CA"/>
        </w:rPr>
        <w:t xml:space="preserve">able </w:t>
      </w:r>
      <w:r w:rsidR="00F03C2D">
        <w:rPr>
          <w:b/>
          <w:color w:val="000000"/>
          <w:lang w:val="en-CA"/>
        </w:rPr>
        <w:t>6</w:t>
      </w:r>
    </w:p>
    <w:p w:rsidRPr="003E0275" w:rsidR="00E876C2" w:rsidP="00E876C2" w:rsidRDefault="00E876C2" w14:paraId="10DEB0C6" w14:textId="60DF7F7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lang w:val="en-CA"/>
        </w:rPr>
      </w:pPr>
      <w:r w:rsidRPr="003E0275">
        <w:rPr>
          <w:b/>
          <w:color w:val="000000"/>
          <w:lang w:val="en-CA"/>
        </w:rPr>
        <w:t>Number of Respondents per Category</w:t>
      </w:r>
    </w:p>
    <w:tbl>
      <w:tblPr>
        <w:tblW w:w="4500" w:type="dxa"/>
        <w:jc w:val="center"/>
        <w:tblLook w:val="04A0" w:firstRow="1" w:lastRow="0" w:firstColumn="1" w:lastColumn="0" w:noHBand="0" w:noVBand="1"/>
      </w:tblPr>
      <w:tblGrid>
        <w:gridCol w:w="3020"/>
        <w:gridCol w:w="1480"/>
      </w:tblGrid>
      <w:tr w:rsidRPr="0080439D" w:rsidR="0080439D" w:rsidTr="009647E5" w14:paraId="4157630E" w14:textId="77777777">
        <w:trPr>
          <w:trHeight w:val="770"/>
          <w:jc w:val="center"/>
        </w:trPr>
        <w:tc>
          <w:tcPr>
            <w:tcW w:w="3020" w:type="dxa"/>
            <w:tcBorders>
              <w:top w:val="single" w:color="auto" w:sz="4" w:space="0"/>
              <w:left w:val="single" w:color="auto" w:sz="4" w:space="0"/>
              <w:bottom w:val="nil"/>
              <w:right w:val="single" w:color="auto" w:sz="4" w:space="0"/>
            </w:tcBorders>
            <w:shd w:val="clear" w:color="auto" w:fill="B4C6E7" w:themeFill="accent1" w:themeFillTint="66"/>
            <w:noWrap/>
            <w:vAlign w:val="bottom"/>
            <w:hideMark/>
          </w:tcPr>
          <w:p w:rsidRPr="0080439D" w:rsidR="0080439D" w:rsidP="0080439D" w:rsidRDefault="0080439D" w14:paraId="3BF4F1D1" w14:textId="77777777">
            <w:pPr>
              <w:widowControl/>
              <w:jc w:val="center"/>
            </w:pPr>
            <w:r w:rsidRPr="0080439D">
              <w:t>Industry</w:t>
            </w:r>
          </w:p>
        </w:tc>
        <w:tc>
          <w:tcPr>
            <w:tcW w:w="1480" w:type="dxa"/>
            <w:tcBorders>
              <w:top w:val="single" w:color="auto" w:sz="4" w:space="0"/>
              <w:left w:val="nil"/>
              <w:bottom w:val="nil"/>
              <w:right w:val="single" w:color="auto" w:sz="4" w:space="0"/>
            </w:tcBorders>
            <w:shd w:val="clear" w:color="auto" w:fill="B4C6E7" w:themeFill="accent1" w:themeFillTint="66"/>
            <w:vAlign w:val="bottom"/>
            <w:hideMark/>
          </w:tcPr>
          <w:p w:rsidRPr="0080439D" w:rsidR="0080439D" w:rsidP="0080439D" w:rsidRDefault="008218A2" w14:paraId="3EEDBC23" w14:textId="3FF68C02">
            <w:pPr>
              <w:widowControl/>
              <w:jc w:val="center"/>
            </w:pPr>
            <w:r>
              <w:t xml:space="preserve">Number </w:t>
            </w:r>
            <w:r w:rsidRPr="0080439D" w:rsidR="0080439D">
              <w:t xml:space="preserve">of </w:t>
            </w:r>
            <w:r>
              <w:t>Respondents</w:t>
            </w:r>
            <w:r w:rsidRPr="0080439D" w:rsidR="0080439D">
              <w:t xml:space="preserve"> </w:t>
            </w:r>
          </w:p>
        </w:tc>
      </w:tr>
      <w:tr w:rsidRPr="0080439D" w:rsidR="0080439D" w:rsidTr="00644521" w14:paraId="2A84DE52" w14:textId="77777777">
        <w:trPr>
          <w:trHeight w:val="520"/>
          <w:jc w:val="center"/>
        </w:trPr>
        <w:tc>
          <w:tcPr>
            <w:tcW w:w="30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0439D" w:rsidR="0080439D" w:rsidP="0080439D" w:rsidRDefault="0080439D" w14:paraId="507FEFD8" w14:textId="77777777">
            <w:pPr>
              <w:widowControl/>
            </w:pPr>
            <w:r w:rsidRPr="0080439D">
              <w:t>HD Engines Gas &amp; Diesel (Exhaust Emissions)</w:t>
            </w:r>
          </w:p>
        </w:tc>
        <w:tc>
          <w:tcPr>
            <w:tcW w:w="1480" w:type="dxa"/>
            <w:tcBorders>
              <w:top w:val="single" w:color="auto" w:sz="4" w:space="0"/>
              <w:left w:val="nil"/>
              <w:bottom w:val="single" w:color="auto" w:sz="4" w:space="0"/>
              <w:right w:val="single" w:color="auto" w:sz="4" w:space="0"/>
            </w:tcBorders>
            <w:shd w:val="clear" w:color="auto" w:fill="auto"/>
            <w:noWrap/>
            <w:vAlign w:val="bottom"/>
            <w:hideMark/>
          </w:tcPr>
          <w:p w:rsidRPr="0080439D" w:rsidR="0080439D" w:rsidP="0080439D" w:rsidRDefault="0080439D" w14:paraId="5721108D" w14:textId="77777777">
            <w:pPr>
              <w:widowControl/>
              <w:jc w:val="right"/>
            </w:pPr>
            <w:r w:rsidRPr="0080439D">
              <w:t>16</w:t>
            </w:r>
          </w:p>
        </w:tc>
      </w:tr>
      <w:tr w:rsidRPr="0080439D" w:rsidR="0080439D" w:rsidTr="00644521" w14:paraId="57363706" w14:textId="77777777">
        <w:trPr>
          <w:trHeight w:val="520"/>
          <w:jc w:val="center"/>
        </w:trPr>
        <w:tc>
          <w:tcPr>
            <w:tcW w:w="3020" w:type="dxa"/>
            <w:tcBorders>
              <w:top w:val="nil"/>
              <w:left w:val="single" w:color="auto" w:sz="4" w:space="0"/>
              <w:bottom w:val="single" w:color="auto" w:sz="4" w:space="0"/>
              <w:right w:val="single" w:color="auto" w:sz="4" w:space="0"/>
            </w:tcBorders>
            <w:shd w:val="clear" w:color="auto" w:fill="auto"/>
            <w:vAlign w:val="bottom"/>
            <w:hideMark/>
          </w:tcPr>
          <w:p w:rsidRPr="0080439D" w:rsidR="0080439D" w:rsidP="0080439D" w:rsidRDefault="0080439D" w14:paraId="4651B53F" w14:textId="7C78AE4E">
            <w:pPr>
              <w:widowControl/>
            </w:pPr>
            <w:r w:rsidRPr="0080439D">
              <w:t xml:space="preserve">HD GHG Vehicles- </w:t>
            </w:r>
            <w:r w:rsidR="001756DC">
              <w:t xml:space="preserve">Certain </w:t>
            </w:r>
            <w:r w:rsidRPr="0080439D">
              <w:t>Vocational Vehicles &amp; Tractors</w:t>
            </w:r>
          </w:p>
        </w:tc>
        <w:tc>
          <w:tcPr>
            <w:tcW w:w="1480" w:type="dxa"/>
            <w:tcBorders>
              <w:top w:val="nil"/>
              <w:left w:val="nil"/>
              <w:bottom w:val="single" w:color="auto" w:sz="4" w:space="0"/>
              <w:right w:val="single" w:color="auto" w:sz="4" w:space="0"/>
            </w:tcBorders>
            <w:shd w:val="clear" w:color="auto" w:fill="auto"/>
            <w:noWrap/>
            <w:vAlign w:val="bottom"/>
            <w:hideMark/>
          </w:tcPr>
          <w:p w:rsidRPr="0080439D" w:rsidR="0080439D" w:rsidP="0080439D" w:rsidRDefault="0080439D" w14:paraId="47A31A56" w14:textId="77777777">
            <w:pPr>
              <w:widowControl/>
              <w:jc w:val="right"/>
            </w:pPr>
            <w:r w:rsidRPr="0080439D">
              <w:t>35</w:t>
            </w:r>
          </w:p>
        </w:tc>
      </w:tr>
      <w:tr w:rsidRPr="0080439D" w:rsidR="0080439D" w:rsidTr="00644521" w14:paraId="06ECC482" w14:textId="77777777">
        <w:trPr>
          <w:trHeight w:val="290"/>
          <w:jc w:val="center"/>
        </w:trPr>
        <w:tc>
          <w:tcPr>
            <w:tcW w:w="3020" w:type="dxa"/>
            <w:tcBorders>
              <w:top w:val="nil"/>
              <w:left w:val="single" w:color="auto" w:sz="4" w:space="0"/>
              <w:bottom w:val="single" w:color="auto" w:sz="4" w:space="0"/>
              <w:right w:val="single" w:color="auto" w:sz="4" w:space="0"/>
            </w:tcBorders>
            <w:shd w:val="clear" w:color="auto" w:fill="auto"/>
            <w:noWrap/>
            <w:vAlign w:val="bottom"/>
            <w:hideMark/>
          </w:tcPr>
          <w:p w:rsidRPr="0080439D" w:rsidR="0080439D" w:rsidP="0080439D" w:rsidRDefault="0080439D" w14:paraId="55E9BC97" w14:textId="77777777">
            <w:pPr>
              <w:widowControl/>
            </w:pPr>
            <w:r w:rsidRPr="0080439D">
              <w:t>EV Manufacturers</w:t>
            </w:r>
          </w:p>
        </w:tc>
        <w:tc>
          <w:tcPr>
            <w:tcW w:w="1480" w:type="dxa"/>
            <w:tcBorders>
              <w:top w:val="nil"/>
              <w:left w:val="nil"/>
              <w:bottom w:val="single" w:color="auto" w:sz="4" w:space="0"/>
              <w:right w:val="single" w:color="auto" w:sz="4" w:space="0"/>
            </w:tcBorders>
            <w:shd w:val="clear" w:color="auto" w:fill="auto"/>
            <w:noWrap/>
            <w:vAlign w:val="bottom"/>
            <w:hideMark/>
          </w:tcPr>
          <w:p w:rsidRPr="0080439D" w:rsidR="0080439D" w:rsidP="0080439D" w:rsidRDefault="0080439D" w14:paraId="02F4DDC7" w14:textId="77777777">
            <w:pPr>
              <w:widowControl/>
              <w:jc w:val="right"/>
            </w:pPr>
            <w:r w:rsidRPr="0080439D">
              <w:t>26</w:t>
            </w:r>
          </w:p>
        </w:tc>
      </w:tr>
      <w:tr w:rsidRPr="0080439D" w:rsidR="0080439D" w:rsidTr="00644521" w14:paraId="62515DF4" w14:textId="77777777">
        <w:trPr>
          <w:trHeight w:val="290"/>
          <w:jc w:val="center"/>
        </w:trPr>
        <w:tc>
          <w:tcPr>
            <w:tcW w:w="3020" w:type="dxa"/>
            <w:tcBorders>
              <w:top w:val="nil"/>
              <w:left w:val="single" w:color="auto" w:sz="4" w:space="0"/>
              <w:bottom w:val="single" w:color="auto" w:sz="4" w:space="0"/>
              <w:right w:val="single" w:color="auto" w:sz="4" w:space="0"/>
            </w:tcBorders>
            <w:shd w:val="clear" w:color="auto" w:fill="auto"/>
            <w:vAlign w:val="bottom"/>
            <w:hideMark/>
          </w:tcPr>
          <w:p w:rsidRPr="0080439D" w:rsidR="0080439D" w:rsidP="0080439D" w:rsidRDefault="0080439D" w14:paraId="443B5EF5" w14:textId="38089EA3">
            <w:pPr>
              <w:widowControl/>
            </w:pPr>
            <w:r w:rsidRPr="0080439D">
              <w:t>M</w:t>
            </w:r>
            <w:r w:rsidR="00586067">
              <w:t xml:space="preserve">arine </w:t>
            </w:r>
            <w:r w:rsidRPr="0080439D">
              <w:t xml:space="preserve">CI </w:t>
            </w:r>
            <w:r w:rsidR="00586067">
              <w:t>engine manufacturers</w:t>
            </w:r>
          </w:p>
        </w:tc>
        <w:tc>
          <w:tcPr>
            <w:tcW w:w="1480" w:type="dxa"/>
            <w:tcBorders>
              <w:top w:val="nil"/>
              <w:left w:val="nil"/>
              <w:bottom w:val="single" w:color="auto" w:sz="4" w:space="0"/>
              <w:right w:val="single" w:color="auto" w:sz="4" w:space="0"/>
            </w:tcBorders>
            <w:shd w:val="clear" w:color="auto" w:fill="auto"/>
            <w:noWrap/>
            <w:vAlign w:val="bottom"/>
            <w:hideMark/>
          </w:tcPr>
          <w:p w:rsidRPr="0080439D" w:rsidR="0080439D" w:rsidP="0080439D" w:rsidRDefault="0080439D" w14:paraId="34B6C286" w14:textId="77777777">
            <w:pPr>
              <w:widowControl/>
              <w:jc w:val="right"/>
            </w:pPr>
            <w:r w:rsidRPr="0080439D">
              <w:t>29</w:t>
            </w:r>
          </w:p>
        </w:tc>
      </w:tr>
      <w:tr w:rsidRPr="0080439D" w:rsidR="0080439D" w:rsidTr="00644521" w14:paraId="6C03019B" w14:textId="77777777">
        <w:trPr>
          <w:trHeight w:val="290"/>
          <w:jc w:val="center"/>
        </w:trPr>
        <w:tc>
          <w:tcPr>
            <w:tcW w:w="3020" w:type="dxa"/>
            <w:tcBorders>
              <w:top w:val="nil"/>
              <w:left w:val="single" w:color="auto" w:sz="4" w:space="0"/>
              <w:bottom w:val="single" w:color="auto" w:sz="4" w:space="0"/>
              <w:right w:val="single" w:color="auto" w:sz="4" w:space="0"/>
            </w:tcBorders>
            <w:shd w:val="clear" w:color="auto" w:fill="auto"/>
            <w:noWrap/>
            <w:vAlign w:val="bottom"/>
            <w:hideMark/>
          </w:tcPr>
          <w:p w:rsidRPr="0080439D" w:rsidR="0080439D" w:rsidP="0080439D" w:rsidRDefault="00ED518D" w14:paraId="668E3A39" w14:textId="650CD4EA">
            <w:pPr>
              <w:widowControl/>
            </w:pPr>
            <w:r>
              <w:t>Other</w:t>
            </w:r>
            <w:r w:rsidR="00E10197">
              <w:rPr>
                <w:rStyle w:val="FootnoteReference"/>
              </w:rPr>
              <w:footnoteReference w:id="11"/>
            </w:r>
            <w:r>
              <w:t xml:space="preserve"> – </w:t>
            </w:r>
            <w:r w:rsidRPr="00690ADC" w:rsidR="0095175A">
              <w:t>r</w:t>
            </w:r>
            <w:r w:rsidRPr="00690ADC">
              <w:t>e</w:t>
            </w:r>
            <w:r w:rsidRPr="00690ADC" w:rsidR="00D500F8">
              <w:t>s</w:t>
            </w:r>
            <w:r w:rsidRPr="00690ADC">
              <w:t>pondents from various industries</w:t>
            </w:r>
          </w:p>
        </w:tc>
        <w:tc>
          <w:tcPr>
            <w:tcW w:w="1480" w:type="dxa"/>
            <w:tcBorders>
              <w:top w:val="nil"/>
              <w:left w:val="nil"/>
              <w:bottom w:val="single" w:color="auto" w:sz="4" w:space="0"/>
              <w:right w:val="single" w:color="auto" w:sz="4" w:space="0"/>
            </w:tcBorders>
            <w:shd w:val="clear" w:color="auto" w:fill="auto"/>
            <w:noWrap/>
            <w:vAlign w:val="bottom"/>
            <w:hideMark/>
          </w:tcPr>
          <w:p w:rsidRPr="0080439D" w:rsidR="0080439D" w:rsidP="0080439D" w:rsidRDefault="0080439D" w14:paraId="795C7BB7" w14:textId="77777777">
            <w:pPr>
              <w:widowControl/>
              <w:jc w:val="right"/>
            </w:pPr>
            <w:r w:rsidRPr="0080439D">
              <w:t>177</w:t>
            </w:r>
          </w:p>
        </w:tc>
      </w:tr>
      <w:tr w:rsidRPr="0080439D" w:rsidR="0080439D" w:rsidTr="00210035" w14:paraId="57A6C137" w14:textId="77777777">
        <w:trPr>
          <w:trHeight w:val="290"/>
          <w:jc w:val="center"/>
        </w:trPr>
        <w:tc>
          <w:tcPr>
            <w:tcW w:w="3020" w:type="dxa"/>
            <w:tcBorders>
              <w:top w:val="nil"/>
              <w:left w:val="single" w:color="auto" w:sz="4" w:space="0"/>
              <w:bottom w:val="single" w:color="auto" w:sz="4" w:space="0"/>
              <w:right w:val="single" w:color="auto" w:sz="4" w:space="0"/>
            </w:tcBorders>
            <w:shd w:val="clear" w:color="auto" w:fill="auto"/>
            <w:noWrap/>
            <w:vAlign w:val="bottom"/>
            <w:hideMark/>
          </w:tcPr>
          <w:p w:rsidRPr="0080439D" w:rsidR="0080439D" w:rsidP="0080439D" w:rsidRDefault="0080439D" w14:paraId="4A618753" w14:textId="77777777">
            <w:pPr>
              <w:widowControl/>
              <w:jc w:val="right"/>
            </w:pPr>
            <w:r w:rsidRPr="0080439D">
              <w:t>Totals:</w:t>
            </w:r>
          </w:p>
        </w:tc>
        <w:tc>
          <w:tcPr>
            <w:tcW w:w="1480" w:type="dxa"/>
            <w:tcBorders>
              <w:top w:val="nil"/>
              <w:left w:val="nil"/>
              <w:bottom w:val="single" w:color="auto" w:sz="4" w:space="0"/>
              <w:right w:val="single" w:color="auto" w:sz="4" w:space="0"/>
            </w:tcBorders>
            <w:shd w:val="clear" w:color="auto" w:fill="auto"/>
            <w:noWrap/>
            <w:vAlign w:val="bottom"/>
            <w:hideMark/>
          </w:tcPr>
          <w:p w:rsidRPr="0080439D" w:rsidR="0080439D" w:rsidP="0080439D" w:rsidRDefault="0080439D" w14:paraId="1A916A46" w14:textId="1614105E">
            <w:pPr>
              <w:widowControl/>
              <w:jc w:val="right"/>
            </w:pPr>
            <w:r w:rsidRPr="0080439D">
              <w:t>2</w:t>
            </w:r>
            <w:r w:rsidRPr="00210035" w:rsidR="003E2A83">
              <w:t>79</w:t>
            </w:r>
          </w:p>
        </w:tc>
      </w:tr>
    </w:tbl>
    <w:p w:rsidR="00641DA6" w:rsidRDefault="00641DA6" w14:paraId="6F365912" w14:textId="5E89D4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555AE" w:rsidP="005F2538" w:rsidRDefault="009555AE" w14:paraId="74181EA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4D57" w:rsidP="005F2538" w:rsidRDefault="009555AE" w14:paraId="372EEDC3" w14:textId="67E917D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EB3775">
        <w:t>The largest increase in burden and expense stemming from the proposed rul</w:t>
      </w:r>
      <w:r w:rsidR="00EB6288">
        <w:t>e</w:t>
      </w:r>
      <w:r w:rsidR="00EB3775">
        <w:t xml:space="preserve"> comes from new testing requirements for HD engines and changes to the way test data are analyzed</w:t>
      </w:r>
      <w:r w:rsidR="00D34D57">
        <w:t>, specifically:</w:t>
      </w:r>
    </w:p>
    <w:p w:rsidR="00D34D57" w:rsidP="00D34D57" w:rsidRDefault="00902752" w14:paraId="39F75084" w14:textId="70B77364">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Addition of </w:t>
      </w:r>
      <w:r w:rsidR="001B4CE9">
        <w:t>an</w:t>
      </w:r>
      <w:r>
        <w:t xml:space="preserve"> LLC to the HD</w:t>
      </w:r>
      <w:r w:rsidR="00B600AA">
        <w:t xml:space="preserve"> CI</w:t>
      </w:r>
      <w:r>
        <w:t xml:space="preserve"> engine certification </w:t>
      </w:r>
      <w:r w:rsidR="001B4CE9">
        <w:t xml:space="preserve">testing </w:t>
      </w:r>
      <w:r>
        <w:t>package</w:t>
      </w:r>
    </w:p>
    <w:p w:rsidR="002A1A8D" w:rsidP="00D34D57" w:rsidRDefault="002A1A8D" w14:paraId="1CABFFDA" w14:textId="50349045">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New intermediate useful life tests</w:t>
      </w:r>
    </w:p>
    <w:p w:rsidR="001B4CE9" w:rsidP="00D34D57" w:rsidRDefault="001B4CE9" w14:paraId="7609C919" w14:textId="4FD97A38">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Addition of </w:t>
      </w:r>
      <w:r w:rsidR="0054239F">
        <w:t>a SET to HD SI lab demonstrations and engine mapping updates</w:t>
      </w:r>
    </w:p>
    <w:p w:rsidR="00576C23" w:rsidP="00D34D57" w:rsidRDefault="00576C23" w14:paraId="3E5982B8" w14:textId="6E219F54">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DF demonstrations over a longer useful life</w:t>
      </w:r>
    </w:p>
    <w:p w:rsidR="00576C23" w:rsidP="00D34D57" w:rsidRDefault="00576C23" w14:paraId="29C04DC4" w14:textId="613B1508">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New intermediate DFs</w:t>
      </w:r>
    </w:p>
    <w:p w:rsidR="00576C23" w:rsidP="00D34D57" w:rsidRDefault="00576C23" w14:paraId="277A1858" w14:textId="74CCE949">
      <w:pPr>
        <w:pStyle w:val="ListParagraph"/>
        <w:numPr>
          <w:ilvl w:val="0"/>
          <w:numId w:val="2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DF validation activities and report</w:t>
      </w:r>
    </w:p>
    <w:p w:rsidR="001F79DE" w:rsidP="003627C1" w:rsidRDefault="001F79DE" w14:paraId="72C1AEF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3775" w:rsidP="003627C1" w:rsidRDefault="001F79DE" w14:paraId="6346657B" w14:textId="0AB4C2D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0D450E">
        <w:t>Since testing expenses are considered O</w:t>
      </w:r>
      <w:r w:rsidR="003627C1">
        <w:t xml:space="preserve">&amp;M costs, please refer to </w:t>
      </w:r>
      <w:r w:rsidR="00EB3775">
        <w:t xml:space="preserve">Section </w:t>
      </w:r>
      <w:r w:rsidRPr="005A73A7" w:rsidR="00EB3775">
        <w:t>6(b)(ii</w:t>
      </w:r>
      <w:r w:rsidR="00EB3775">
        <w:t xml:space="preserve">), </w:t>
      </w:r>
      <w:r w:rsidRPr="00A94C70" w:rsidR="00EB3775">
        <w:rPr>
          <w:i/>
          <w:iCs/>
        </w:rPr>
        <w:t>Estimating Capital, Operations and Maintenance Costs</w:t>
      </w:r>
      <w:r>
        <w:t xml:space="preserve"> for </w:t>
      </w:r>
      <w:r w:rsidR="00EB3775">
        <w:t>a brief discussion of testing</w:t>
      </w:r>
      <w:r>
        <w:t>-related</w:t>
      </w:r>
      <w:r w:rsidR="00EB3775">
        <w:t xml:space="preserve"> cost estimates. </w:t>
      </w:r>
    </w:p>
    <w:p w:rsidR="00EB3775" w:rsidP="005F2538" w:rsidRDefault="00EB3775" w14:paraId="650C216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23D79" w:rsidP="005F2538" w:rsidRDefault="00C2707B" w14:paraId="58CB3DE9" w14:textId="50790B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6666B1">
        <w:t xml:space="preserve">Burden </w:t>
      </w:r>
      <w:r w:rsidRPr="007F70E3" w:rsidR="006666B1">
        <w:t>estimates</w:t>
      </w:r>
      <w:r w:rsidRPr="007F70E3" w:rsidR="009555AE">
        <w:t xml:space="preserve"> in </w:t>
      </w:r>
      <w:r w:rsidRPr="007F70E3" w:rsidR="007F70E3">
        <w:t>Table 3</w:t>
      </w:r>
      <w:r w:rsidRPr="007F70E3" w:rsidR="006666B1">
        <w:t xml:space="preserve"> </w:t>
      </w:r>
      <w:r w:rsidRPr="007F70E3" w:rsidR="00DD4C0E">
        <w:t>also</w:t>
      </w:r>
      <w:r w:rsidR="00DD4C0E">
        <w:t xml:space="preserve"> </w:t>
      </w:r>
      <w:r w:rsidR="006666B1">
        <w:t>include</w:t>
      </w:r>
      <w:r w:rsidR="00023D79">
        <w:t>:</w:t>
      </w:r>
    </w:p>
    <w:p w:rsidR="003951C9" w:rsidP="00023D79" w:rsidRDefault="00023D79" w14:paraId="71B09A39" w14:textId="756E966A">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w:t>
      </w:r>
      <w:r w:rsidR="006666B1">
        <w:t xml:space="preserve">ime to </w:t>
      </w:r>
      <w:r w:rsidR="00675030">
        <w:t xml:space="preserve">study the new regulations </w:t>
      </w:r>
      <w:r w:rsidR="009555AE">
        <w:t>(learning curve)</w:t>
      </w:r>
      <w:r w:rsidR="009B3CAA">
        <w:t>,</w:t>
      </w:r>
      <w:r w:rsidR="009555AE">
        <w:t xml:space="preserve"> </w:t>
      </w:r>
    </w:p>
    <w:p w:rsidR="003951C9" w:rsidP="00B46F93" w:rsidRDefault="003951C9" w14:paraId="70C158C1" w14:textId="18873781">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U</w:t>
      </w:r>
      <w:r w:rsidR="009555AE">
        <w:t xml:space="preserve">pdates to internal systems </w:t>
      </w:r>
      <w:r w:rsidR="00EA5243">
        <w:t>(databases, data files, data gathering practices)</w:t>
      </w:r>
      <w:r w:rsidR="009B3CAA">
        <w:t>,</w:t>
      </w:r>
    </w:p>
    <w:p w:rsidR="00D34D57" w:rsidP="00B46F93" w:rsidRDefault="0011342F" w14:paraId="147AC5D1" w14:textId="0E5CF56B">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cost of improving certain documents required for certification (e.g., </w:t>
      </w:r>
      <w:r w:rsidR="0081557F">
        <w:t>AECD and adjustable parameter descriptions)</w:t>
      </w:r>
    </w:p>
    <w:p w:rsidR="0081557F" w:rsidP="00B46F93" w:rsidRDefault="0081557F" w14:paraId="6B35F22A" w14:textId="528D4D03">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cost of improving maintenance manuals, engine labels and warranty statements </w:t>
      </w:r>
    </w:p>
    <w:p w:rsidR="0081557F" w:rsidP="00B46F93" w:rsidRDefault="0081557F" w14:paraId="7F9BB2AC" w14:textId="1704EA25">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AB&amp;T credit calculation updates</w:t>
      </w:r>
    </w:p>
    <w:p w:rsidR="00B02ECF" w:rsidP="005F2538" w:rsidRDefault="00B02ECF" w14:paraId="195BE79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04CBC" w:rsidP="00404CBC" w:rsidRDefault="00404CBC" w14:paraId="4047438A" w14:textId="545C7429">
      <w:pPr>
        <w:numPr>
          <w:ilvl w:val="12"/>
          <w:numId w:val="0"/>
        </w:numPr>
        <w:ind w:firstLine="720"/>
      </w:pPr>
      <w:r>
        <w:t>EPA is proposing to streamline HD AB&amp;T reporting requirements and Marine CI testing and reporting requirements. In both cases, reporting requirements have been reduced to just once a year (from semi-annual</w:t>
      </w:r>
      <w:r w:rsidR="00AC31D6">
        <w:t>ly</w:t>
      </w:r>
      <w:r>
        <w:t xml:space="preserve"> for AB&amp;</w:t>
      </w:r>
      <w:r w:rsidR="009F34CE">
        <w:t>T</w:t>
      </w:r>
      <w:r>
        <w:t xml:space="preserve"> and quarterly for PLT</w:t>
      </w:r>
      <w:r w:rsidR="00AC31D6">
        <w:t>)</w:t>
      </w:r>
      <w:r>
        <w:t>. Th</w:t>
      </w:r>
      <w:r w:rsidR="007E71E3">
        <w:t xml:space="preserve">e streamlining of these programs </w:t>
      </w:r>
      <w:r>
        <w:t>results in great burden and cost savings to respondents in those industries and a more equitable testing scheme</w:t>
      </w:r>
      <w:r w:rsidR="0001351A">
        <w:t xml:space="preserve"> for Marine CI engine manufacturers</w:t>
      </w:r>
      <w:r>
        <w:t>. To quantify those savings, EPA consulted ICR 1684.20 which contains the burden for both programs and calculated the savings</w:t>
      </w:r>
      <w:r w:rsidR="00E029B6">
        <w:t xml:space="preserve"> as shown </w:t>
      </w:r>
      <w:r w:rsidRPr="006B145B" w:rsidR="00E029B6">
        <w:t xml:space="preserve">in Tables </w:t>
      </w:r>
      <w:r w:rsidRPr="006B145B" w:rsidR="006B145B">
        <w:t>7</w:t>
      </w:r>
      <w:r w:rsidRPr="006B145B" w:rsidR="00E029B6">
        <w:t xml:space="preserve"> and </w:t>
      </w:r>
      <w:r w:rsidRPr="006B145B" w:rsidR="006B145B">
        <w:t>8</w:t>
      </w:r>
      <w:r w:rsidR="00E029B6">
        <w:t xml:space="preserve"> below</w:t>
      </w:r>
      <w:r>
        <w:t xml:space="preserve">. The savings </w:t>
      </w:r>
      <w:r w:rsidR="00386F45">
        <w:t xml:space="preserve">are </w:t>
      </w:r>
      <w:r>
        <w:t>show</w:t>
      </w:r>
      <w:r w:rsidR="00386F45">
        <w:t>n</w:t>
      </w:r>
      <w:r>
        <w:t xml:space="preserve"> </w:t>
      </w:r>
      <w:r w:rsidRPr="00F03C2D" w:rsidR="00B02E3E">
        <w:t xml:space="preserve">in </w:t>
      </w:r>
      <w:r w:rsidR="007F70E3">
        <w:t>Table 3</w:t>
      </w:r>
      <w:r w:rsidR="00B02E3E">
        <w:t xml:space="preserve"> </w:t>
      </w:r>
      <w:r>
        <w:t>as reductions</w:t>
      </w:r>
      <w:r w:rsidR="00386F45">
        <w:t xml:space="preserve"> to the overall burden associated with the proposed rule</w:t>
      </w:r>
      <w:r>
        <w:t>.</w:t>
      </w:r>
    </w:p>
    <w:p w:rsidR="00404CBC" w:rsidP="00404CBC" w:rsidRDefault="00404CBC" w14:paraId="08F6D1A4" w14:textId="5C9728E5">
      <w:pPr>
        <w:numPr>
          <w:ilvl w:val="12"/>
          <w:numId w:val="0"/>
        </w:numPr>
      </w:pPr>
    </w:p>
    <w:p w:rsidR="00B11AED" w:rsidP="00B11AED" w:rsidRDefault="00B11AED" w14:paraId="20ABF5DB" w14:textId="2FD4DF7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r>
        <w:rPr>
          <w:iCs/>
          <w:color w:val="000000"/>
        </w:rPr>
        <w:tab/>
      </w:r>
      <w:r w:rsidR="002D1961">
        <w:rPr>
          <w:iCs/>
          <w:color w:val="000000"/>
        </w:rPr>
        <w:t>Specifically, c</w:t>
      </w:r>
      <w:r>
        <w:rPr>
          <w:iCs/>
          <w:color w:val="000000"/>
        </w:rPr>
        <w:t>urrent</w:t>
      </w:r>
      <w:r w:rsidR="00E47D11">
        <w:rPr>
          <w:iCs/>
          <w:color w:val="000000"/>
        </w:rPr>
        <w:t xml:space="preserve"> regulations require that</w:t>
      </w:r>
      <w:r>
        <w:rPr>
          <w:iCs/>
          <w:color w:val="000000"/>
        </w:rPr>
        <w:t xml:space="preserve"> manufacturers of HD engines participating in AB&amp;T submit </w:t>
      </w:r>
      <w:r w:rsidR="00DF73F2">
        <w:rPr>
          <w:iCs/>
          <w:color w:val="000000"/>
        </w:rPr>
        <w:t>an</w:t>
      </w:r>
      <w:r>
        <w:rPr>
          <w:iCs/>
          <w:color w:val="000000"/>
        </w:rPr>
        <w:t xml:space="preserve"> end-of-the-year report </w:t>
      </w:r>
      <w:r w:rsidR="009E424F">
        <w:rPr>
          <w:iCs/>
          <w:color w:val="000000"/>
        </w:rPr>
        <w:t>by</w:t>
      </w:r>
      <w:r w:rsidR="009C4DF0">
        <w:rPr>
          <w:iCs/>
          <w:color w:val="000000"/>
        </w:rPr>
        <w:t xml:space="preserve"> </w:t>
      </w:r>
      <w:r>
        <w:rPr>
          <w:iCs/>
          <w:color w:val="000000"/>
        </w:rPr>
        <w:t xml:space="preserve">March </w:t>
      </w:r>
      <w:r w:rsidR="009C4DF0">
        <w:rPr>
          <w:iCs/>
          <w:color w:val="000000"/>
        </w:rPr>
        <w:t xml:space="preserve">31 </w:t>
      </w:r>
      <w:r>
        <w:rPr>
          <w:iCs/>
          <w:color w:val="000000"/>
        </w:rPr>
        <w:t>and</w:t>
      </w:r>
      <w:r w:rsidR="009E424F">
        <w:rPr>
          <w:iCs/>
          <w:color w:val="000000"/>
        </w:rPr>
        <w:t xml:space="preserve"> a</w:t>
      </w:r>
      <w:r w:rsidR="00B0111F">
        <w:rPr>
          <w:iCs/>
          <w:color w:val="000000"/>
        </w:rPr>
        <w:t xml:space="preserve"> final report</w:t>
      </w:r>
      <w:r w:rsidR="009E424F">
        <w:rPr>
          <w:iCs/>
          <w:color w:val="000000"/>
        </w:rPr>
        <w:t xml:space="preserve"> by</w:t>
      </w:r>
      <w:r w:rsidR="00640C46">
        <w:rPr>
          <w:iCs/>
          <w:color w:val="000000"/>
        </w:rPr>
        <w:t xml:space="preserve"> </w:t>
      </w:r>
      <w:r w:rsidRPr="00640C46" w:rsidR="00640C46">
        <w:rPr>
          <w:iCs/>
          <w:color w:val="000000"/>
        </w:rPr>
        <w:t>S</w:t>
      </w:r>
      <w:r w:rsidRPr="00640C46">
        <w:rPr>
          <w:iCs/>
          <w:color w:val="000000"/>
        </w:rPr>
        <w:t>eptember</w:t>
      </w:r>
      <w:r w:rsidR="00640C46">
        <w:rPr>
          <w:iCs/>
          <w:color w:val="000000"/>
        </w:rPr>
        <w:t xml:space="preserve"> 30</w:t>
      </w:r>
      <w:r>
        <w:rPr>
          <w:iCs/>
          <w:color w:val="000000"/>
        </w:rPr>
        <w:t xml:space="preserve">. Manufacturers have expressed frustration about the difficulties of gathering the necessary data so close to the end of the model year. </w:t>
      </w:r>
      <w:r w:rsidR="002136DB">
        <w:rPr>
          <w:iCs/>
          <w:color w:val="000000"/>
        </w:rPr>
        <w:t xml:space="preserve">Therefore, </w:t>
      </w:r>
      <w:r>
        <w:rPr>
          <w:iCs/>
          <w:color w:val="000000"/>
        </w:rPr>
        <w:t>EPA is proposing to simpl</w:t>
      </w:r>
      <w:r w:rsidR="00BB788D">
        <w:rPr>
          <w:iCs/>
          <w:color w:val="000000"/>
        </w:rPr>
        <w:t>ify reporting requirements by</w:t>
      </w:r>
      <w:r>
        <w:rPr>
          <w:iCs/>
          <w:color w:val="000000"/>
        </w:rPr>
        <w:t xml:space="preserve"> discontinu</w:t>
      </w:r>
      <w:r w:rsidR="00BB788D">
        <w:rPr>
          <w:iCs/>
          <w:color w:val="000000"/>
        </w:rPr>
        <w:t>ing</w:t>
      </w:r>
      <w:r>
        <w:rPr>
          <w:iCs/>
          <w:color w:val="000000"/>
        </w:rPr>
        <w:t xml:space="preserve"> th</w:t>
      </w:r>
      <w:r w:rsidR="001371CB">
        <w:rPr>
          <w:iCs/>
          <w:color w:val="000000"/>
        </w:rPr>
        <w:t>e end-of-the-year</w:t>
      </w:r>
      <w:r>
        <w:rPr>
          <w:iCs/>
          <w:color w:val="000000"/>
        </w:rPr>
        <w:t xml:space="preserve"> report in favor of the final report. </w:t>
      </w:r>
    </w:p>
    <w:p w:rsidR="00B11AED" w:rsidP="00404CBC" w:rsidRDefault="00B11AED" w14:paraId="2E08BF9F" w14:textId="77777777">
      <w:pPr>
        <w:numPr>
          <w:ilvl w:val="12"/>
          <w:numId w:val="0"/>
        </w:numPr>
      </w:pPr>
    </w:p>
    <w:p w:rsidR="00907AF4" w:rsidP="00404CBC" w:rsidRDefault="00907AF4" w14:paraId="29F3B329" w14:textId="052CE69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00907AF4" w:rsidP="00404CBC" w:rsidRDefault="00907AF4" w14:paraId="269604C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Pr="00F53593" w:rsidR="00404CBC" w:rsidP="00404CBC" w:rsidRDefault="00404CBC" w14:paraId="51EAB54B" w14:textId="763F1D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rPr>
      </w:pPr>
      <w:r w:rsidRPr="006B145B">
        <w:rPr>
          <w:b/>
          <w:bCs/>
          <w:iCs/>
          <w:color w:val="000000"/>
        </w:rPr>
        <w:t xml:space="preserve">Table </w:t>
      </w:r>
      <w:r w:rsidRPr="006B145B" w:rsidR="006B145B">
        <w:rPr>
          <w:b/>
          <w:bCs/>
          <w:iCs/>
          <w:color w:val="000000"/>
        </w:rPr>
        <w:t>7</w:t>
      </w:r>
    </w:p>
    <w:p w:rsidRPr="00F53593" w:rsidR="00404CBC" w:rsidP="00404CBC" w:rsidRDefault="00404CBC" w14:paraId="3439D23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rPr>
      </w:pPr>
      <w:r w:rsidRPr="00F53593">
        <w:rPr>
          <w:b/>
          <w:bCs/>
          <w:iCs/>
          <w:color w:val="000000"/>
        </w:rPr>
        <w:t>Burden and Costs Savings from the Discontinuation of the HD AB&amp;T End-of-the-Year Report</w:t>
      </w:r>
    </w:p>
    <w:p w:rsidR="003D2615" w:rsidP="009647E5" w:rsidRDefault="003D2615" w14:paraId="6DCFB36E" w14:textId="219732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Cs/>
          <w:color w:val="000000"/>
        </w:rPr>
      </w:pPr>
    </w:p>
    <w:tbl>
      <w:tblPr>
        <w:tblW w:w="10080" w:type="dxa"/>
        <w:tblLook w:val="04A0" w:firstRow="1" w:lastRow="0" w:firstColumn="1" w:lastColumn="0" w:noHBand="0" w:noVBand="1"/>
      </w:tblPr>
      <w:tblGrid>
        <w:gridCol w:w="1742"/>
        <w:gridCol w:w="1414"/>
        <w:gridCol w:w="1298"/>
        <w:gridCol w:w="1387"/>
        <w:gridCol w:w="1279"/>
        <w:gridCol w:w="1319"/>
        <w:gridCol w:w="1419"/>
        <w:gridCol w:w="222"/>
      </w:tblGrid>
      <w:tr w:rsidRPr="003D2615" w:rsidR="003D2615" w:rsidTr="003D2615" w14:paraId="63A4B6C8" w14:textId="77777777">
        <w:trPr>
          <w:gridAfter w:val="1"/>
          <w:wAfter w:w="36" w:type="dxa"/>
          <w:trHeight w:val="260"/>
        </w:trPr>
        <w:tc>
          <w:tcPr>
            <w:tcW w:w="1928" w:type="dxa"/>
            <w:vMerge w:val="restart"/>
            <w:tcBorders>
              <w:top w:val="single" w:color="auto" w:sz="4" w:space="0"/>
              <w:left w:val="single" w:color="auto" w:sz="4" w:space="0"/>
              <w:bottom w:val="single" w:color="000000" w:sz="4" w:space="0"/>
              <w:right w:val="single" w:color="auto" w:sz="4" w:space="0"/>
            </w:tcBorders>
            <w:shd w:val="clear" w:color="FFFFFF" w:fill="B4C6E7"/>
            <w:vAlign w:val="bottom"/>
            <w:hideMark/>
          </w:tcPr>
          <w:p w:rsidRPr="003D2615" w:rsidR="003D2615" w:rsidP="003D2615" w:rsidRDefault="003D2615" w14:paraId="2090CC6B" w14:textId="77777777">
            <w:pPr>
              <w:widowControl/>
              <w:jc w:val="center"/>
              <w:rPr>
                <w:b/>
                <w:bCs/>
              </w:rPr>
            </w:pPr>
            <w:r w:rsidRPr="003D2615">
              <w:rPr>
                <w:b/>
                <w:bCs/>
              </w:rPr>
              <w:t>HD AB&amp;T</w:t>
            </w:r>
          </w:p>
        </w:tc>
        <w:tc>
          <w:tcPr>
            <w:tcW w:w="1414" w:type="dxa"/>
            <w:vMerge w:val="restart"/>
            <w:tcBorders>
              <w:top w:val="single" w:color="auto" w:sz="4" w:space="0"/>
              <w:left w:val="single" w:color="auto" w:sz="4" w:space="0"/>
              <w:bottom w:val="nil"/>
              <w:right w:val="single" w:color="auto" w:sz="4" w:space="0"/>
            </w:tcBorders>
            <w:shd w:val="clear" w:color="FFFFFF" w:fill="B4C6E7"/>
            <w:vAlign w:val="bottom"/>
            <w:hideMark/>
          </w:tcPr>
          <w:p w:rsidRPr="003D2615" w:rsidR="003D2615" w:rsidP="003D2615" w:rsidRDefault="003D2615" w14:paraId="6DFEDD4A" w14:textId="77777777">
            <w:pPr>
              <w:widowControl/>
              <w:jc w:val="center"/>
              <w:rPr>
                <w:b/>
                <w:bCs/>
              </w:rPr>
            </w:pPr>
            <w:r w:rsidRPr="003D2615">
              <w:rPr>
                <w:b/>
                <w:bCs/>
              </w:rPr>
              <w:t>Number of Respondents</w:t>
            </w:r>
          </w:p>
        </w:tc>
        <w:tc>
          <w:tcPr>
            <w:tcW w:w="1298" w:type="dxa"/>
            <w:vMerge w:val="restart"/>
            <w:tcBorders>
              <w:top w:val="single" w:color="auto" w:sz="4" w:space="0"/>
              <w:left w:val="single" w:color="auto" w:sz="4" w:space="0"/>
              <w:bottom w:val="nil"/>
              <w:right w:val="single" w:color="auto" w:sz="4" w:space="0"/>
            </w:tcBorders>
            <w:shd w:val="clear" w:color="FFFFFF" w:fill="B4C6E7"/>
            <w:vAlign w:val="bottom"/>
            <w:hideMark/>
          </w:tcPr>
          <w:p w:rsidRPr="003D2615" w:rsidR="003D2615" w:rsidP="003D2615" w:rsidRDefault="003D2615" w14:paraId="657C5777" w14:textId="77777777">
            <w:pPr>
              <w:widowControl/>
              <w:jc w:val="center"/>
              <w:rPr>
                <w:b/>
                <w:bCs/>
              </w:rPr>
            </w:pPr>
            <w:r w:rsidRPr="003D2615">
              <w:rPr>
                <w:b/>
                <w:bCs/>
              </w:rPr>
              <w:t>Labor Cost/Year</w:t>
            </w:r>
          </w:p>
        </w:tc>
        <w:tc>
          <w:tcPr>
            <w:tcW w:w="1387" w:type="dxa"/>
            <w:vMerge w:val="restart"/>
            <w:tcBorders>
              <w:top w:val="single" w:color="auto" w:sz="4" w:space="0"/>
              <w:left w:val="single" w:color="auto" w:sz="4" w:space="0"/>
              <w:bottom w:val="nil"/>
              <w:right w:val="single" w:color="auto" w:sz="4" w:space="0"/>
            </w:tcBorders>
            <w:shd w:val="clear" w:color="FFFFFF" w:fill="B4C6E7"/>
            <w:vAlign w:val="bottom"/>
            <w:hideMark/>
          </w:tcPr>
          <w:p w:rsidRPr="003D2615" w:rsidR="003D2615" w:rsidP="003D2615" w:rsidRDefault="003D2615" w14:paraId="6E346C89" w14:textId="77777777">
            <w:pPr>
              <w:widowControl/>
              <w:jc w:val="center"/>
              <w:rPr>
                <w:b/>
                <w:bCs/>
              </w:rPr>
            </w:pPr>
            <w:r w:rsidRPr="003D2615">
              <w:rPr>
                <w:b/>
                <w:bCs/>
              </w:rPr>
              <w:t>Capital Startup Costs</w:t>
            </w:r>
          </w:p>
        </w:tc>
        <w:tc>
          <w:tcPr>
            <w:tcW w:w="1279" w:type="dxa"/>
            <w:vMerge w:val="restart"/>
            <w:tcBorders>
              <w:top w:val="single" w:color="auto" w:sz="4" w:space="0"/>
              <w:left w:val="single" w:color="auto" w:sz="4" w:space="0"/>
              <w:bottom w:val="nil"/>
              <w:right w:val="single" w:color="auto" w:sz="4" w:space="0"/>
            </w:tcBorders>
            <w:shd w:val="clear" w:color="FFFFFF" w:fill="B4C6E7"/>
            <w:vAlign w:val="bottom"/>
            <w:hideMark/>
          </w:tcPr>
          <w:p w:rsidRPr="003D2615" w:rsidR="003D2615" w:rsidP="003D2615" w:rsidRDefault="003D2615" w14:paraId="6C34AAB8" w14:textId="77777777">
            <w:pPr>
              <w:widowControl/>
              <w:jc w:val="center"/>
              <w:rPr>
                <w:b/>
                <w:bCs/>
              </w:rPr>
            </w:pPr>
            <w:r w:rsidRPr="003D2615">
              <w:rPr>
                <w:b/>
                <w:bCs/>
              </w:rPr>
              <w:t>O&amp;M Cost</w:t>
            </w:r>
          </w:p>
        </w:tc>
        <w:tc>
          <w:tcPr>
            <w:tcW w:w="1319" w:type="dxa"/>
            <w:vMerge w:val="restart"/>
            <w:tcBorders>
              <w:top w:val="single" w:color="auto" w:sz="4" w:space="0"/>
              <w:left w:val="single" w:color="auto" w:sz="4" w:space="0"/>
              <w:bottom w:val="nil"/>
              <w:right w:val="single" w:color="auto" w:sz="4" w:space="0"/>
            </w:tcBorders>
            <w:shd w:val="clear" w:color="FFFFFF" w:fill="B4C6E7"/>
            <w:vAlign w:val="bottom"/>
            <w:hideMark/>
          </w:tcPr>
          <w:p w:rsidRPr="003D2615" w:rsidR="003D2615" w:rsidP="003D2615" w:rsidRDefault="003D2615" w14:paraId="3B8644DD" w14:textId="77777777">
            <w:pPr>
              <w:widowControl/>
              <w:jc w:val="center"/>
              <w:rPr>
                <w:b/>
                <w:bCs/>
              </w:rPr>
            </w:pPr>
            <w:r w:rsidRPr="003D2615">
              <w:rPr>
                <w:b/>
                <w:bCs/>
              </w:rPr>
              <w:t>Total Hour/Year</w:t>
            </w:r>
          </w:p>
        </w:tc>
        <w:tc>
          <w:tcPr>
            <w:tcW w:w="1419" w:type="dxa"/>
            <w:vMerge w:val="restart"/>
            <w:tcBorders>
              <w:top w:val="single" w:color="auto" w:sz="4" w:space="0"/>
              <w:left w:val="single" w:color="auto" w:sz="4" w:space="0"/>
              <w:bottom w:val="nil"/>
              <w:right w:val="single" w:color="auto" w:sz="4" w:space="0"/>
            </w:tcBorders>
            <w:shd w:val="clear" w:color="FFFFFF" w:fill="B4C6E7"/>
            <w:vAlign w:val="bottom"/>
            <w:hideMark/>
          </w:tcPr>
          <w:p w:rsidRPr="003D2615" w:rsidR="003D2615" w:rsidP="003D2615" w:rsidRDefault="003D2615" w14:paraId="290C9B0B" w14:textId="77777777">
            <w:pPr>
              <w:widowControl/>
              <w:jc w:val="center"/>
              <w:rPr>
                <w:b/>
                <w:bCs/>
              </w:rPr>
            </w:pPr>
            <w:r w:rsidRPr="003D2615">
              <w:rPr>
                <w:b/>
                <w:bCs/>
              </w:rPr>
              <w:t xml:space="preserve">Total Cost/Year     </w:t>
            </w:r>
          </w:p>
        </w:tc>
      </w:tr>
      <w:tr w:rsidRPr="003D2615" w:rsidR="003D2615" w:rsidTr="003D2615" w14:paraId="2BE3418B" w14:textId="77777777">
        <w:trPr>
          <w:trHeight w:val="260"/>
        </w:trPr>
        <w:tc>
          <w:tcPr>
            <w:tcW w:w="1928" w:type="dxa"/>
            <w:vMerge/>
            <w:tcBorders>
              <w:top w:val="single" w:color="auto" w:sz="4" w:space="0"/>
              <w:left w:val="single" w:color="auto" w:sz="4" w:space="0"/>
              <w:bottom w:val="single" w:color="000000" w:sz="4" w:space="0"/>
              <w:right w:val="single" w:color="auto" w:sz="4" w:space="0"/>
            </w:tcBorders>
            <w:vAlign w:val="center"/>
            <w:hideMark/>
          </w:tcPr>
          <w:p w:rsidRPr="003D2615" w:rsidR="003D2615" w:rsidP="003D2615" w:rsidRDefault="003D2615" w14:paraId="410502EE" w14:textId="77777777">
            <w:pPr>
              <w:widowControl/>
              <w:rPr>
                <w:b/>
                <w:bCs/>
              </w:rPr>
            </w:pPr>
          </w:p>
        </w:tc>
        <w:tc>
          <w:tcPr>
            <w:tcW w:w="1414"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784E29FE" w14:textId="77777777">
            <w:pPr>
              <w:widowControl/>
              <w:rPr>
                <w:b/>
                <w:bCs/>
              </w:rPr>
            </w:pPr>
          </w:p>
        </w:tc>
        <w:tc>
          <w:tcPr>
            <w:tcW w:w="1298"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69ADE4B1" w14:textId="77777777">
            <w:pPr>
              <w:widowControl/>
              <w:rPr>
                <w:b/>
                <w:bCs/>
              </w:rPr>
            </w:pPr>
          </w:p>
        </w:tc>
        <w:tc>
          <w:tcPr>
            <w:tcW w:w="1387"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4F2B3809" w14:textId="77777777">
            <w:pPr>
              <w:widowControl/>
              <w:rPr>
                <w:b/>
                <w:bCs/>
              </w:rPr>
            </w:pPr>
          </w:p>
        </w:tc>
        <w:tc>
          <w:tcPr>
            <w:tcW w:w="1279"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48119406" w14:textId="77777777">
            <w:pPr>
              <w:widowControl/>
              <w:rPr>
                <w:b/>
                <w:bCs/>
              </w:rPr>
            </w:pPr>
          </w:p>
        </w:tc>
        <w:tc>
          <w:tcPr>
            <w:tcW w:w="1319"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65689374" w14:textId="77777777">
            <w:pPr>
              <w:widowControl/>
              <w:rPr>
                <w:b/>
                <w:bCs/>
              </w:rPr>
            </w:pPr>
          </w:p>
        </w:tc>
        <w:tc>
          <w:tcPr>
            <w:tcW w:w="1419"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77EDAAD8" w14:textId="77777777">
            <w:pPr>
              <w:widowControl/>
              <w:rPr>
                <w:b/>
                <w:bCs/>
              </w:rPr>
            </w:pPr>
          </w:p>
        </w:tc>
        <w:tc>
          <w:tcPr>
            <w:tcW w:w="36" w:type="dxa"/>
            <w:tcBorders>
              <w:top w:val="nil"/>
              <w:left w:val="nil"/>
              <w:bottom w:val="nil"/>
              <w:right w:val="nil"/>
            </w:tcBorders>
            <w:shd w:val="clear" w:color="auto" w:fill="auto"/>
            <w:noWrap/>
            <w:vAlign w:val="bottom"/>
            <w:hideMark/>
          </w:tcPr>
          <w:p w:rsidRPr="003D2615" w:rsidR="003D2615" w:rsidP="003D2615" w:rsidRDefault="003D2615" w14:paraId="73C01B46" w14:textId="77777777">
            <w:pPr>
              <w:widowControl/>
              <w:jc w:val="center"/>
              <w:rPr>
                <w:b/>
                <w:bCs/>
              </w:rPr>
            </w:pPr>
          </w:p>
        </w:tc>
      </w:tr>
      <w:tr w:rsidRPr="003D2615" w:rsidR="003D2615" w:rsidTr="003D2615" w14:paraId="455B9F37" w14:textId="77777777">
        <w:trPr>
          <w:trHeight w:val="260"/>
        </w:trPr>
        <w:tc>
          <w:tcPr>
            <w:tcW w:w="1928" w:type="dxa"/>
            <w:vMerge/>
            <w:tcBorders>
              <w:top w:val="single" w:color="auto" w:sz="4" w:space="0"/>
              <w:left w:val="single" w:color="auto" w:sz="4" w:space="0"/>
              <w:bottom w:val="single" w:color="000000" w:sz="4" w:space="0"/>
              <w:right w:val="single" w:color="auto" w:sz="4" w:space="0"/>
            </w:tcBorders>
            <w:vAlign w:val="center"/>
            <w:hideMark/>
          </w:tcPr>
          <w:p w:rsidRPr="003D2615" w:rsidR="003D2615" w:rsidP="003D2615" w:rsidRDefault="003D2615" w14:paraId="485647BD" w14:textId="77777777">
            <w:pPr>
              <w:widowControl/>
              <w:rPr>
                <w:b/>
                <w:bCs/>
              </w:rPr>
            </w:pPr>
          </w:p>
        </w:tc>
        <w:tc>
          <w:tcPr>
            <w:tcW w:w="1414"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310AFA1F" w14:textId="77777777">
            <w:pPr>
              <w:widowControl/>
              <w:rPr>
                <w:b/>
                <w:bCs/>
              </w:rPr>
            </w:pPr>
          </w:p>
        </w:tc>
        <w:tc>
          <w:tcPr>
            <w:tcW w:w="1298"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0D2A56A6" w14:textId="77777777">
            <w:pPr>
              <w:widowControl/>
              <w:rPr>
                <w:b/>
                <w:bCs/>
              </w:rPr>
            </w:pPr>
          </w:p>
        </w:tc>
        <w:tc>
          <w:tcPr>
            <w:tcW w:w="1387"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2C4ADA8C" w14:textId="77777777">
            <w:pPr>
              <w:widowControl/>
              <w:rPr>
                <w:b/>
                <w:bCs/>
              </w:rPr>
            </w:pPr>
          </w:p>
        </w:tc>
        <w:tc>
          <w:tcPr>
            <w:tcW w:w="1279"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4EAF0832" w14:textId="77777777">
            <w:pPr>
              <w:widowControl/>
              <w:rPr>
                <w:b/>
                <w:bCs/>
              </w:rPr>
            </w:pPr>
          </w:p>
        </w:tc>
        <w:tc>
          <w:tcPr>
            <w:tcW w:w="1319"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2BDA501D" w14:textId="77777777">
            <w:pPr>
              <w:widowControl/>
              <w:rPr>
                <w:b/>
                <w:bCs/>
              </w:rPr>
            </w:pPr>
          </w:p>
        </w:tc>
        <w:tc>
          <w:tcPr>
            <w:tcW w:w="1419" w:type="dxa"/>
            <w:vMerge/>
            <w:tcBorders>
              <w:top w:val="single" w:color="auto" w:sz="4" w:space="0"/>
              <w:left w:val="single" w:color="auto" w:sz="4" w:space="0"/>
              <w:bottom w:val="nil"/>
              <w:right w:val="single" w:color="auto" w:sz="4" w:space="0"/>
            </w:tcBorders>
            <w:vAlign w:val="center"/>
            <w:hideMark/>
          </w:tcPr>
          <w:p w:rsidRPr="003D2615" w:rsidR="003D2615" w:rsidP="003D2615" w:rsidRDefault="003D2615" w14:paraId="71403C3A" w14:textId="77777777">
            <w:pPr>
              <w:widowControl/>
              <w:rPr>
                <w:b/>
                <w:bCs/>
              </w:rPr>
            </w:pPr>
          </w:p>
        </w:tc>
        <w:tc>
          <w:tcPr>
            <w:tcW w:w="36" w:type="dxa"/>
            <w:tcBorders>
              <w:top w:val="nil"/>
              <w:left w:val="nil"/>
              <w:bottom w:val="nil"/>
              <w:right w:val="nil"/>
            </w:tcBorders>
            <w:shd w:val="clear" w:color="auto" w:fill="auto"/>
            <w:noWrap/>
            <w:vAlign w:val="bottom"/>
            <w:hideMark/>
          </w:tcPr>
          <w:p w:rsidRPr="003D2615" w:rsidR="003D2615" w:rsidP="003D2615" w:rsidRDefault="003D2615" w14:paraId="48537927" w14:textId="77777777">
            <w:pPr>
              <w:widowControl/>
            </w:pPr>
          </w:p>
        </w:tc>
      </w:tr>
      <w:tr w:rsidRPr="003D2615" w:rsidR="003D2615" w:rsidTr="003D2615" w14:paraId="6968D41B" w14:textId="77777777">
        <w:trPr>
          <w:trHeight w:val="790"/>
        </w:trPr>
        <w:tc>
          <w:tcPr>
            <w:tcW w:w="1928" w:type="dxa"/>
            <w:tcBorders>
              <w:top w:val="nil"/>
              <w:left w:val="single" w:color="auto" w:sz="4" w:space="0"/>
              <w:bottom w:val="single" w:color="auto" w:sz="4" w:space="0"/>
              <w:right w:val="single" w:color="auto" w:sz="4" w:space="0"/>
            </w:tcBorders>
            <w:shd w:val="clear" w:color="auto" w:fill="auto"/>
            <w:vAlign w:val="bottom"/>
            <w:hideMark/>
          </w:tcPr>
          <w:p w:rsidRPr="003D2615" w:rsidR="003D2615" w:rsidP="003D2615" w:rsidRDefault="003D2615" w14:paraId="66F7D6D9" w14:textId="77777777">
            <w:pPr>
              <w:widowControl/>
            </w:pPr>
            <w:r w:rsidRPr="003D2615">
              <w:t xml:space="preserve">Current Inventory </w:t>
            </w:r>
            <w:r w:rsidRPr="003D2615">
              <w:br/>
              <w:t>ICR 1684.20, IC #1 Certification</w:t>
            </w:r>
          </w:p>
        </w:tc>
        <w:tc>
          <w:tcPr>
            <w:tcW w:w="1414" w:type="dxa"/>
            <w:tcBorders>
              <w:top w:val="single" w:color="auto" w:sz="4" w:space="0"/>
              <w:left w:val="nil"/>
              <w:bottom w:val="single" w:color="auto" w:sz="4" w:space="0"/>
              <w:right w:val="single" w:color="auto" w:sz="4" w:space="0"/>
            </w:tcBorders>
            <w:shd w:val="clear" w:color="auto" w:fill="auto"/>
            <w:noWrap/>
            <w:vAlign w:val="bottom"/>
            <w:hideMark/>
          </w:tcPr>
          <w:p w:rsidRPr="003D2615" w:rsidR="003D2615" w:rsidP="003D2615" w:rsidRDefault="003D2615" w14:paraId="4CFA22D1" w14:textId="77777777">
            <w:pPr>
              <w:widowControl/>
              <w:jc w:val="right"/>
            </w:pPr>
            <w:r w:rsidRPr="003D2615">
              <w:t>16</w:t>
            </w:r>
          </w:p>
        </w:tc>
        <w:tc>
          <w:tcPr>
            <w:tcW w:w="1298" w:type="dxa"/>
            <w:tcBorders>
              <w:top w:val="single" w:color="auto" w:sz="4" w:space="0"/>
              <w:left w:val="nil"/>
              <w:bottom w:val="single" w:color="auto" w:sz="4" w:space="0"/>
              <w:right w:val="single" w:color="auto" w:sz="4" w:space="0"/>
            </w:tcBorders>
            <w:shd w:val="clear" w:color="auto" w:fill="auto"/>
            <w:noWrap/>
            <w:vAlign w:val="bottom"/>
            <w:hideMark/>
          </w:tcPr>
          <w:p w:rsidRPr="003D2615" w:rsidR="003D2615" w:rsidP="003D2615" w:rsidRDefault="003D2615" w14:paraId="3316798D" w14:textId="77777777">
            <w:pPr>
              <w:widowControl/>
              <w:jc w:val="right"/>
            </w:pPr>
            <w:r w:rsidRPr="003D2615">
              <w:t>$192,223</w:t>
            </w:r>
          </w:p>
        </w:tc>
        <w:tc>
          <w:tcPr>
            <w:tcW w:w="1387" w:type="dxa"/>
            <w:tcBorders>
              <w:top w:val="single" w:color="auto" w:sz="4" w:space="0"/>
              <w:left w:val="nil"/>
              <w:bottom w:val="single" w:color="auto" w:sz="4" w:space="0"/>
              <w:right w:val="single" w:color="auto" w:sz="4" w:space="0"/>
            </w:tcBorders>
            <w:shd w:val="clear" w:color="auto" w:fill="auto"/>
            <w:noWrap/>
            <w:vAlign w:val="bottom"/>
            <w:hideMark/>
          </w:tcPr>
          <w:p w:rsidRPr="003D2615" w:rsidR="003D2615" w:rsidP="003D2615" w:rsidRDefault="003D2615" w14:paraId="0041F6F6" w14:textId="77777777">
            <w:pPr>
              <w:widowControl/>
              <w:jc w:val="right"/>
            </w:pPr>
            <w:r w:rsidRPr="003D2615">
              <w:t>$0</w:t>
            </w:r>
          </w:p>
        </w:tc>
        <w:tc>
          <w:tcPr>
            <w:tcW w:w="1279" w:type="dxa"/>
            <w:tcBorders>
              <w:top w:val="single" w:color="auto" w:sz="4" w:space="0"/>
              <w:left w:val="nil"/>
              <w:bottom w:val="single" w:color="auto" w:sz="4" w:space="0"/>
              <w:right w:val="single" w:color="auto" w:sz="4" w:space="0"/>
            </w:tcBorders>
            <w:shd w:val="clear" w:color="auto" w:fill="auto"/>
            <w:noWrap/>
            <w:vAlign w:val="bottom"/>
            <w:hideMark/>
          </w:tcPr>
          <w:p w:rsidRPr="003D2615" w:rsidR="003D2615" w:rsidP="003D2615" w:rsidRDefault="003D2615" w14:paraId="7DABDB95" w14:textId="77777777">
            <w:pPr>
              <w:widowControl/>
              <w:jc w:val="right"/>
            </w:pPr>
            <w:r w:rsidRPr="003D2615">
              <w:t>$800</w:t>
            </w:r>
          </w:p>
        </w:tc>
        <w:tc>
          <w:tcPr>
            <w:tcW w:w="1319" w:type="dxa"/>
            <w:tcBorders>
              <w:top w:val="single" w:color="auto" w:sz="4" w:space="0"/>
              <w:left w:val="nil"/>
              <w:bottom w:val="single" w:color="auto" w:sz="4" w:space="0"/>
              <w:right w:val="single" w:color="auto" w:sz="4" w:space="0"/>
            </w:tcBorders>
            <w:shd w:val="clear" w:color="auto" w:fill="auto"/>
            <w:noWrap/>
            <w:vAlign w:val="bottom"/>
            <w:hideMark/>
          </w:tcPr>
          <w:p w:rsidRPr="003D2615" w:rsidR="003D2615" w:rsidP="003D2615" w:rsidRDefault="003D2615" w14:paraId="4513E761" w14:textId="77777777">
            <w:pPr>
              <w:widowControl/>
            </w:pPr>
            <w:r w:rsidRPr="003D2615">
              <w:t xml:space="preserve">               2,464 </w:t>
            </w:r>
          </w:p>
        </w:tc>
        <w:tc>
          <w:tcPr>
            <w:tcW w:w="1419" w:type="dxa"/>
            <w:tcBorders>
              <w:top w:val="single" w:color="auto" w:sz="4" w:space="0"/>
              <w:left w:val="nil"/>
              <w:bottom w:val="single" w:color="auto" w:sz="4" w:space="0"/>
              <w:right w:val="single" w:color="auto" w:sz="4" w:space="0"/>
            </w:tcBorders>
            <w:shd w:val="clear" w:color="auto" w:fill="auto"/>
            <w:noWrap/>
            <w:vAlign w:val="bottom"/>
            <w:hideMark/>
          </w:tcPr>
          <w:p w:rsidRPr="003D2615" w:rsidR="003D2615" w:rsidP="003D2615" w:rsidRDefault="003D2615" w14:paraId="27A04D08" w14:textId="77777777">
            <w:pPr>
              <w:widowControl/>
              <w:jc w:val="right"/>
            </w:pPr>
            <w:r w:rsidRPr="003D2615">
              <w:t>$193,023</w:t>
            </w:r>
          </w:p>
        </w:tc>
        <w:tc>
          <w:tcPr>
            <w:tcW w:w="36" w:type="dxa"/>
            <w:vAlign w:val="center"/>
            <w:hideMark/>
          </w:tcPr>
          <w:p w:rsidRPr="003D2615" w:rsidR="003D2615" w:rsidP="003D2615" w:rsidRDefault="003D2615" w14:paraId="4BB7E8BF" w14:textId="77777777">
            <w:pPr>
              <w:widowControl/>
            </w:pPr>
          </w:p>
        </w:tc>
      </w:tr>
      <w:tr w:rsidRPr="003D2615" w:rsidR="003D2615" w:rsidTr="003D2615" w14:paraId="436F25F4" w14:textId="77777777">
        <w:trPr>
          <w:trHeight w:val="1050"/>
        </w:trPr>
        <w:tc>
          <w:tcPr>
            <w:tcW w:w="1928" w:type="dxa"/>
            <w:tcBorders>
              <w:top w:val="nil"/>
              <w:left w:val="single" w:color="auto" w:sz="4" w:space="0"/>
              <w:bottom w:val="single" w:color="auto" w:sz="4" w:space="0"/>
              <w:right w:val="single" w:color="auto" w:sz="4" w:space="0"/>
            </w:tcBorders>
            <w:shd w:val="clear" w:color="auto" w:fill="auto"/>
            <w:vAlign w:val="bottom"/>
            <w:hideMark/>
          </w:tcPr>
          <w:p w:rsidRPr="003D2615" w:rsidR="003D2615" w:rsidP="003D2615" w:rsidRDefault="003D2615" w14:paraId="759DFF26" w14:textId="77777777">
            <w:pPr>
              <w:widowControl/>
              <w:jc w:val="center"/>
            </w:pPr>
            <w:r w:rsidRPr="003D2615">
              <w:t>Estimated Savings from Discontinuation of the end-of-year report: 40%</w:t>
            </w:r>
          </w:p>
        </w:tc>
        <w:tc>
          <w:tcPr>
            <w:tcW w:w="1414" w:type="dxa"/>
            <w:tcBorders>
              <w:top w:val="nil"/>
              <w:left w:val="nil"/>
              <w:bottom w:val="single" w:color="auto" w:sz="4" w:space="0"/>
              <w:right w:val="single" w:color="auto" w:sz="4" w:space="0"/>
            </w:tcBorders>
            <w:shd w:val="clear" w:color="auto" w:fill="auto"/>
            <w:noWrap/>
            <w:vAlign w:val="bottom"/>
            <w:hideMark/>
          </w:tcPr>
          <w:p w:rsidRPr="003D2615" w:rsidR="003D2615" w:rsidP="003D2615" w:rsidRDefault="003D2615" w14:paraId="495251DC" w14:textId="77777777">
            <w:pPr>
              <w:widowControl/>
              <w:jc w:val="right"/>
            </w:pPr>
            <w:r w:rsidRPr="003D2615">
              <w:t>16</w:t>
            </w:r>
          </w:p>
        </w:tc>
        <w:tc>
          <w:tcPr>
            <w:tcW w:w="1298" w:type="dxa"/>
            <w:tcBorders>
              <w:top w:val="nil"/>
              <w:left w:val="nil"/>
              <w:bottom w:val="single" w:color="auto" w:sz="4" w:space="0"/>
              <w:right w:val="single" w:color="auto" w:sz="4" w:space="0"/>
            </w:tcBorders>
            <w:shd w:val="clear" w:color="auto" w:fill="auto"/>
            <w:noWrap/>
            <w:vAlign w:val="bottom"/>
            <w:hideMark/>
          </w:tcPr>
          <w:p w:rsidRPr="003D2615" w:rsidR="003D2615" w:rsidP="003D2615" w:rsidRDefault="003D2615" w14:paraId="761B44E7" w14:textId="0A85B187">
            <w:pPr>
              <w:widowControl/>
              <w:jc w:val="right"/>
            </w:pPr>
            <w:r w:rsidRPr="003D2615">
              <w:t xml:space="preserve"> $</w:t>
            </w:r>
            <w:r>
              <w:t xml:space="preserve"> </w:t>
            </w:r>
            <w:r w:rsidRPr="003D2615">
              <w:t>(76,889)</w:t>
            </w:r>
          </w:p>
        </w:tc>
        <w:tc>
          <w:tcPr>
            <w:tcW w:w="1387" w:type="dxa"/>
            <w:tcBorders>
              <w:top w:val="nil"/>
              <w:left w:val="nil"/>
              <w:bottom w:val="single" w:color="auto" w:sz="4" w:space="0"/>
              <w:right w:val="single" w:color="auto" w:sz="4" w:space="0"/>
            </w:tcBorders>
            <w:shd w:val="clear" w:color="auto" w:fill="auto"/>
            <w:noWrap/>
            <w:vAlign w:val="bottom"/>
            <w:hideMark/>
          </w:tcPr>
          <w:p w:rsidRPr="003D2615" w:rsidR="003D2615" w:rsidP="003D2615" w:rsidRDefault="003D2615" w14:paraId="0F2F45E9" w14:textId="77777777">
            <w:pPr>
              <w:widowControl/>
              <w:jc w:val="right"/>
            </w:pPr>
            <w:r w:rsidRPr="003D2615">
              <w:t>$0</w:t>
            </w:r>
          </w:p>
        </w:tc>
        <w:tc>
          <w:tcPr>
            <w:tcW w:w="1279" w:type="dxa"/>
            <w:tcBorders>
              <w:top w:val="nil"/>
              <w:left w:val="nil"/>
              <w:bottom w:val="single" w:color="auto" w:sz="4" w:space="0"/>
              <w:right w:val="single" w:color="auto" w:sz="4" w:space="0"/>
            </w:tcBorders>
            <w:shd w:val="clear" w:color="auto" w:fill="auto"/>
            <w:noWrap/>
            <w:vAlign w:val="bottom"/>
            <w:hideMark/>
          </w:tcPr>
          <w:p w:rsidRPr="003D2615" w:rsidR="003D2615" w:rsidP="003D2615" w:rsidRDefault="003D2615" w14:paraId="2399B604" w14:textId="619DA452">
            <w:pPr>
              <w:widowControl/>
              <w:jc w:val="right"/>
            </w:pPr>
            <w:r w:rsidRPr="003D2615">
              <w:t xml:space="preserve"> $ (320)</w:t>
            </w:r>
          </w:p>
        </w:tc>
        <w:tc>
          <w:tcPr>
            <w:tcW w:w="1319" w:type="dxa"/>
            <w:tcBorders>
              <w:top w:val="nil"/>
              <w:left w:val="nil"/>
              <w:bottom w:val="single" w:color="auto" w:sz="4" w:space="0"/>
              <w:right w:val="single" w:color="auto" w:sz="4" w:space="0"/>
            </w:tcBorders>
            <w:shd w:val="clear" w:color="auto" w:fill="auto"/>
            <w:noWrap/>
            <w:vAlign w:val="bottom"/>
            <w:hideMark/>
          </w:tcPr>
          <w:p w:rsidRPr="003D2615" w:rsidR="003D2615" w:rsidP="003D2615" w:rsidRDefault="003D2615" w14:paraId="5AE87E09" w14:textId="77777777">
            <w:pPr>
              <w:widowControl/>
              <w:jc w:val="right"/>
            </w:pPr>
            <w:r w:rsidRPr="003D2615">
              <w:t xml:space="preserve">                (986)</w:t>
            </w:r>
          </w:p>
        </w:tc>
        <w:tc>
          <w:tcPr>
            <w:tcW w:w="1419" w:type="dxa"/>
            <w:tcBorders>
              <w:top w:val="nil"/>
              <w:left w:val="nil"/>
              <w:bottom w:val="single" w:color="auto" w:sz="4" w:space="0"/>
              <w:right w:val="single" w:color="auto" w:sz="4" w:space="0"/>
            </w:tcBorders>
            <w:shd w:val="clear" w:color="auto" w:fill="auto"/>
            <w:noWrap/>
            <w:vAlign w:val="bottom"/>
            <w:hideMark/>
          </w:tcPr>
          <w:p w:rsidRPr="003D2615" w:rsidR="003D2615" w:rsidP="003D2615" w:rsidRDefault="003D2615" w14:paraId="2437FD28" w14:textId="45F8396C">
            <w:pPr>
              <w:widowControl/>
              <w:jc w:val="right"/>
            </w:pPr>
            <w:r w:rsidRPr="003D2615">
              <w:t xml:space="preserve"> $ (77,209)</w:t>
            </w:r>
          </w:p>
        </w:tc>
        <w:tc>
          <w:tcPr>
            <w:tcW w:w="36" w:type="dxa"/>
            <w:vAlign w:val="center"/>
            <w:hideMark/>
          </w:tcPr>
          <w:p w:rsidRPr="003D2615" w:rsidR="003D2615" w:rsidP="003D2615" w:rsidRDefault="003D2615" w14:paraId="12F7B1DD" w14:textId="77777777">
            <w:pPr>
              <w:widowControl/>
            </w:pPr>
          </w:p>
        </w:tc>
      </w:tr>
    </w:tbl>
    <w:p w:rsidR="003D2615" w:rsidP="009647E5" w:rsidRDefault="003D2615" w14:paraId="40673BC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Cs/>
          <w:color w:val="000000"/>
        </w:rPr>
      </w:pPr>
    </w:p>
    <w:p w:rsidRPr="00D75DCF" w:rsidR="00DB006F" w:rsidP="00404CBC" w:rsidRDefault="00DB006F" w14:paraId="57B35FD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00D54976" w:rsidP="00404CBC" w:rsidRDefault="00D54976" w14:paraId="0FD41B6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54976" w:rsidP="00404CBC" w:rsidRDefault="00D54976" w14:paraId="7582E7D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54976" w:rsidP="00404CBC" w:rsidRDefault="00D54976" w14:paraId="715C488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54976" w:rsidP="00404CBC" w:rsidRDefault="00D54976" w14:paraId="5FCF65E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54976" w:rsidP="00404CBC" w:rsidRDefault="00D54976" w14:paraId="30F0CE7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54976" w:rsidP="00404CBC" w:rsidRDefault="00D54976" w14:paraId="3FF67D4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04CBC" w:rsidP="00404CBC" w:rsidRDefault="00404CBC" w14:paraId="10267659" w14:textId="212C6A4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B65BE3">
        <w:rPr>
          <w:color w:val="000000"/>
        </w:rPr>
        <w:t xml:space="preserve">In the case of Marine CI PLT, </w:t>
      </w:r>
      <w:r>
        <w:rPr>
          <w:color w:val="000000"/>
        </w:rPr>
        <w:t>EPA is proposing to significantly reduce testing and reporting requirements. An analysis of the program shows that</w:t>
      </w:r>
      <w:r w:rsidR="00BE4280">
        <w:rPr>
          <w:color w:val="000000"/>
        </w:rPr>
        <w:t xml:space="preserve"> under the proposed </w:t>
      </w:r>
      <w:r>
        <w:rPr>
          <w:color w:val="000000"/>
        </w:rPr>
        <w:t xml:space="preserve">testing rates respondents will need to perform about 22 test per year, a reduction </w:t>
      </w:r>
      <w:r w:rsidR="009B1FCE">
        <w:rPr>
          <w:color w:val="000000"/>
        </w:rPr>
        <w:t xml:space="preserve">of 30 tests per year </w:t>
      </w:r>
      <w:r>
        <w:rPr>
          <w:color w:val="000000"/>
        </w:rPr>
        <w:t xml:space="preserve">in an industry of only 29 respondents many of whom are small </w:t>
      </w:r>
      <w:r w:rsidR="00D078A9">
        <w:rPr>
          <w:color w:val="000000"/>
        </w:rPr>
        <w:t>businesses:</w:t>
      </w:r>
      <w:r>
        <w:rPr>
          <w:color w:val="000000"/>
        </w:rPr>
        <w:t xml:space="preserve"> a 60% reduction. Reporting rates are decreased from four per year to just one, a 40% decrease. Table 6 below </w:t>
      </w:r>
      <w:r w:rsidR="00971F8C">
        <w:rPr>
          <w:color w:val="000000"/>
        </w:rPr>
        <w:t xml:space="preserve">approximates </w:t>
      </w:r>
      <w:r>
        <w:rPr>
          <w:color w:val="000000"/>
        </w:rPr>
        <w:t>the burden and expense savings.</w:t>
      </w:r>
    </w:p>
    <w:p w:rsidR="00404CBC" w:rsidP="00404CBC" w:rsidRDefault="00404CBC" w14:paraId="2E97013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04CBC" w:rsidP="00404CBC" w:rsidRDefault="00404CBC" w14:paraId="7216360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F53593" w:rsidR="00404CBC" w:rsidP="00404CBC" w:rsidRDefault="00404CBC" w14:paraId="59239A56" w14:textId="0753FB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rPr>
      </w:pPr>
      <w:r w:rsidRPr="006B145B">
        <w:rPr>
          <w:b/>
          <w:bCs/>
          <w:iCs/>
          <w:color w:val="000000"/>
        </w:rPr>
        <w:t xml:space="preserve">Table </w:t>
      </w:r>
      <w:r w:rsidRPr="006B145B" w:rsidR="006B145B">
        <w:rPr>
          <w:b/>
          <w:bCs/>
          <w:iCs/>
          <w:color w:val="000000"/>
        </w:rPr>
        <w:t>8</w:t>
      </w:r>
    </w:p>
    <w:p w:rsidR="00404CBC" w:rsidP="00404CBC" w:rsidRDefault="00404CBC" w14:paraId="45E4AF6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rPr>
      </w:pPr>
      <w:r w:rsidRPr="00F53593">
        <w:rPr>
          <w:b/>
          <w:bCs/>
          <w:iCs/>
          <w:color w:val="000000"/>
        </w:rPr>
        <w:t xml:space="preserve">Burden and Costs Savings from </w:t>
      </w:r>
      <w:r>
        <w:rPr>
          <w:b/>
          <w:bCs/>
          <w:iCs/>
          <w:color w:val="000000"/>
        </w:rPr>
        <w:t>Changes to the MCI PLT Program</w:t>
      </w:r>
    </w:p>
    <w:p w:rsidR="005E6A04" w:rsidP="00404CBC" w:rsidRDefault="005E6A04" w14:paraId="0B5A9E90" w14:textId="2E81B8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rPr>
      </w:pPr>
    </w:p>
    <w:tbl>
      <w:tblPr>
        <w:tblW w:w="5000" w:type="pct"/>
        <w:jc w:val="center"/>
        <w:tblLook w:val="04A0" w:firstRow="1" w:lastRow="0" w:firstColumn="1" w:lastColumn="0" w:noHBand="0" w:noVBand="1"/>
      </w:tblPr>
      <w:tblGrid>
        <w:gridCol w:w="1884"/>
        <w:gridCol w:w="1306"/>
        <w:gridCol w:w="1150"/>
        <w:gridCol w:w="872"/>
        <w:gridCol w:w="1150"/>
        <w:gridCol w:w="1616"/>
        <w:gridCol w:w="1150"/>
        <w:gridCol w:w="222"/>
      </w:tblGrid>
      <w:tr w:rsidRPr="005E6A04" w:rsidR="005E6A04" w:rsidTr="00B46F93" w14:paraId="27727698" w14:textId="77777777">
        <w:trPr>
          <w:gridAfter w:val="1"/>
          <w:wAfter w:w="119" w:type="pct"/>
          <w:trHeight w:val="250"/>
          <w:jc w:val="center"/>
        </w:trPr>
        <w:tc>
          <w:tcPr>
            <w:tcW w:w="1104" w:type="pct"/>
            <w:vMerge w:val="restart"/>
            <w:tcBorders>
              <w:top w:val="single" w:color="auto" w:sz="4" w:space="0"/>
              <w:left w:val="single" w:color="auto" w:sz="4" w:space="0"/>
              <w:bottom w:val="nil"/>
              <w:right w:val="single" w:color="auto" w:sz="4" w:space="0"/>
            </w:tcBorders>
            <w:shd w:val="clear" w:color="000000" w:fill="B4C6E7"/>
            <w:vAlign w:val="bottom"/>
            <w:hideMark/>
          </w:tcPr>
          <w:p w:rsidRPr="005E6A04" w:rsidR="005E6A04" w:rsidP="00B46F93" w:rsidRDefault="005E6A04" w14:paraId="12E5A148" w14:textId="77777777">
            <w:pPr>
              <w:widowControl/>
              <w:jc w:val="center"/>
              <w:rPr>
                <w:b/>
                <w:bCs/>
              </w:rPr>
            </w:pPr>
            <w:r w:rsidRPr="005E6A04">
              <w:rPr>
                <w:b/>
                <w:bCs/>
              </w:rPr>
              <w:t xml:space="preserve">MCI PLT </w:t>
            </w:r>
          </w:p>
        </w:tc>
        <w:tc>
          <w:tcPr>
            <w:tcW w:w="475" w:type="pct"/>
            <w:vMerge w:val="restart"/>
            <w:tcBorders>
              <w:top w:val="single" w:color="auto" w:sz="4" w:space="0"/>
              <w:left w:val="single" w:color="auto" w:sz="4" w:space="0"/>
              <w:bottom w:val="nil"/>
              <w:right w:val="single" w:color="auto" w:sz="4" w:space="0"/>
            </w:tcBorders>
            <w:shd w:val="clear" w:color="000000" w:fill="B4C6E7"/>
            <w:vAlign w:val="bottom"/>
            <w:hideMark/>
          </w:tcPr>
          <w:p w:rsidRPr="005E6A04" w:rsidR="005E6A04" w:rsidP="00B46F93" w:rsidRDefault="005E6A04" w14:paraId="0E68FCBC" w14:textId="77777777">
            <w:pPr>
              <w:widowControl/>
              <w:jc w:val="center"/>
              <w:rPr>
                <w:b/>
                <w:bCs/>
              </w:rPr>
            </w:pPr>
            <w:r w:rsidRPr="005E6A04">
              <w:rPr>
                <w:b/>
                <w:bCs/>
              </w:rPr>
              <w:t>Number of Respondents</w:t>
            </w:r>
          </w:p>
        </w:tc>
        <w:tc>
          <w:tcPr>
            <w:tcW w:w="634" w:type="pct"/>
            <w:vMerge w:val="restart"/>
            <w:tcBorders>
              <w:top w:val="single" w:color="auto" w:sz="4" w:space="0"/>
              <w:left w:val="single" w:color="auto" w:sz="4" w:space="0"/>
              <w:bottom w:val="nil"/>
              <w:right w:val="single" w:color="auto" w:sz="4" w:space="0"/>
            </w:tcBorders>
            <w:shd w:val="clear" w:color="000000" w:fill="B4C6E7"/>
            <w:vAlign w:val="bottom"/>
            <w:hideMark/>
          </w:tcPr>
          <w:p w:rsidRPr="005E6A04" w:rsidR="005E6A04" w:rsidP="00B46F93" w:rsidRDefault="005E6A04" w14:paraId="6CB466E6" w14:textId="77777777">
            <w:pPr>
              <w:widowControl/>
              <w:jc w:val="center"/>
              <w:rPr>
                <w:b/>
                <w:bCs/>
              </w:rPr>
            </w:pPr>
            <w:r w:rsidRPr="005E6A04">
              <w:rPr>
                <w:b/>
                <w:bCs/>
              </w:rPr>
              <w:t>Labor Cost/yr</w:t>
            </w:r>
          </w:p>
        </w:tc>
        <w:tc>
          <w:tcPr>
            <w:tcW w:w="543" w:type="pct"/>
            <w:vMerge w:val="restart"/>
            <w:tcBorders>
              <w:top w:val="single" w:color="auto" w:sz="4" w:space="0"/>
              <w:left w:val="single" w:color="auto" w:sz="4" w:space="0"/>
              <w:bottom w:val="nil"/>
              <w:right w:val="single" w:color="auto" w:sz="4" w:space="0"/>
            </w:tcBorders>
            <w:shd w:val="clear" w:color="000000" w:fill="B4C6E7"/>
            <w:vAlign w:val="bottom"/>
            <w:hideMark/>
          </w:tcPr>
          <w:p w:rsidRPr="005E6A04" w:rsidR="005E6A04" w:rsidP="00B46F93" w:rsidRDefault="005E6A04" w14:paraId="5FDC8502" w14:textId="77777777">
            <w:pPr>
              <w:widowControl/>
              <w:jc w:val="center"/>
              <w:rPr>
                <w:b/>
                <w:bCs/>
              </w:rPr>
            </w:pPr>
            <w:r w:rsidRPr="005E6A04">
              <w:rPr>
                <w:b/>
                <w:bCs/>
              </w:rPr>
              <w:t>Capital Startup Cost</w:t>
            </w:r>
          </w:p>
        </w:tc>
        <w:tc>
          <w:tcPr>
            <w:tcW w:w="627" w:type="pct"/>
            <w:vMerge w:val="restart"/>
            <w:tcBorders>
              <w:top w:val="single" w:color="auto" w:sz="4" w:space="0"/>
              <w:left w:val="single" w:color="auto" w:sz="4" w:space="0"/>
              <w:bottom w:val="nil"/>
              <w:right w:val="single" w:color="auto" w:sz="4" w:space="0"/>
            </w:tcBorders>
            <w:shd w:val="clear" w:color="000000" w:fill="B4C6E7"/>
            <w:vAlign w:val="bottom"/>
            <w:hideMark/>
          </w:tcPr>
          <w:p w:rsidRPr="005E6A04" w:rsidR="005E6A04" w:rsidP="00B46F93" w:rsidRDefault="005E6A04" w14:paraId="29E77685" w14:textId="247B5771">
            <w:pPr>
              <w:widowControl/>
              <w:jc w:val="center"/>
              <w:rPr>
                <w:b/>
                <w:bCs/>
              </w:rPr>
            </w:pPr>
            <w:r w:rsidRPr="005E6A04">
              <w:rPr>
                <w:b/>
                <w:bCs/>
              </w:rPr>
              <w:t>O &amp; M Cost</w:t>
            </w:r>
          </w:p>
        </w:tc>
        <w:tc>
          <w:tcPr>
            <w:tcW w:w="864" w:type="pct"/>
            <w:vMerge w:val="restart"/>
            <w:tcBorders>
              <w:top w:val="single" w:color="auto" w:sz="4" w:space="0"/>
              <w:left w:val="single" w:color="auto" w:sz="4" w:space="0"/>
              <w:bottom w:val="nil"/>
              <w:right w:val="single" w:color="auto" w:sz="4" w:space="0"/>
            </w:tcBorders>
            <w:shd w:val="clear" w:color="000000" w:fill="B4C6E7"/>
            <w:vAlign w:val="bottom"/>
            <w:hideMark/>
          </w:tcPr>
          <w:p w:rsidRPr="005E6A04" w:rsidR="005E6A04" w:rsidP="00B46F93" w:rsidRDefault="005E6A04" w14:paraId="2FBA8929" w14:textId="77777777">
            <w:pPr>
              <w:widowControl/>
              <w:jc w:val="center"/>
              <w:rPr>
                <w:b/>
                <w:bCs/>
              </w:rPr>
            </w:pPr>
            <w:r w:rsidRPr="005E6A04">
              <w:rPr>
                <w:b/>
                <w:bCs/>
              </w:rPr>
              <w:t>Total hr/yr</w:t>
            </w:r>
          </w:p>
        </w:tc>
        <w:tc>
          <w:tcPr>
            <w:tcW w:w="633" w:type="pct"/>
            <w:vMerge w:val="restart"/>
            <w:tcBorders>
              <w:top w:val="single" w:color="auto" w:sz="4" w:space="0"/>
              <w:left w:val="single" w:color="auto" w:sz="4" w:space="0"/>
              <w:bottom w:val="nil"/>
              <w:right w:val="single" w:color="auto" w:sz="4" w:space="0"/>
            </w:tcBorders>
            <w:shd w:val="clear" w:color="000000" w:fill="B4C6E7"/>
            <w:vAlign w:val="bottom"/>
            <w:hideMark/>
          </w:tcPr>
          <w:p w:rsidRPr="005E6A04" w:rsidR="005E6A04" w:rsidP="00B46F93" w:rsidRDefault="005E6A04" w14:paraId="222CB041" w14:textId="77777777">
            <w:pPr>
              <w:widowControl/>
              <w:jc w:val="center"/>
              <w:rPr>
                <w:b/>
                <w:bCs/>
              </w:rPr>
            </w:pPr>
            <w:proofErr w:type="gramStart"/>
            <w:r w:rsidRPr="005E6A04">
              <w:rPr>
                <w:b/>
                <w:bCs/>
              </w:rPr>
              <w:t>Total  Cost</w:t>
            </w:r>
            <w:proofErr w:type="gramEnd"/>
            <w:r w:rsidRPr="005E6A04">
              <w:rPr>
                <w:b/>
                <w:bCs/>
              </w:rPr>
              <w:t xml:space="preserve">/yr       </w:t>
            </w:r>
          </w:p>
        </w:tc>
      </w:tr>
      <w:tr w:rsidRPr="005E6A04" w:rsidR="005E6A04" w:rsidTr="00B46F93" w14:paraId="2A44A15A" w14:textId="77777777">
        <w:trPr>
          <w:trHeight w:val="250"/>
          <w:jc w:val="center"/>
        </w:trPr>
        <w:tc>
          <w:tcPr>
            <w:tcW w:w="1104"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6D3C7BE9" w14:textId="77777777">
            <w:pPr>
              <w:widowControl/>
              <w:rPr>
                <w:b/>
                <w:bCs/>
              </w:rPr>
            </w:pPr>
          </w:p>
        </w:tc>
        <w:tc>
          <w:tcPr>
            <w:tcW w:w="475"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446A798E" w14:textId="77777777">
            <w:pPr>
              <w:widowControl/>
              <w:rPr>
                <w:b/>
                <w:bCs/>
              </w:rPr>
            </w:pPr>
          </w:p>
        </w:tc>
        <w:tc>
          <w:tcPr>
            <w:tcW w:w="634"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43C6033E" w14:textId="77777777">
            <w:pPr>
              <w:widowControl/>
              <w:rPr>
                <w:b/>
                <w:bCs/>
              </w:rPr>
            </w:pPr>
          </w:p>
        </w:tc>
        <w:tc>
          <w:tcPr>
            <w:tcW w:w="543"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1E774661" w14:textId="77777777">
            <w:pPr>
              <w:widowControl/>
              <w:rPr>
                <w:b/>
                <w:bCs/>
              </w:rPr>
            </w:pPr>
          </w:p>
        </w:tc>
        <w:tc>
          <w:tcPr>
            <w:tcW w:w="627"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60D3BD72" w14:textId="77777777">
            <w:pPr>
              <w:widowControl/>
              <w:rPr>
                <w:b/>
                <w:bCs/>
              </w:rPr>
            </w:pPr>
          </w:p>
        </w:tc>
        <w:tc>
          <w:tcPr>
            <w:tcW w:w="864"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36179FD2" w14:textId="77777777">
            <w:pPr>
              <w:widowControl/>
              <w:rPr>
                <w:b/>
                <w:bCs/>
              </w:rPr>
            </w:pPr>
          </w:p>
        </w:tc>
        <w:tc>
          <w:tcPr>
            <w:tcW w:w="633"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435B1A39" w14:textId="77777777">
            <w:pPr>
              <w:widowControl/>
              <w:rPr>
                <w:b/>
                <w:bCs/>
              </w:rPr>
            </w:pPr>
          </w:p>
        </w:tc>
        <w:tc>
          <w:tcPr>
            <w:tcW w:w="119" w:type="pct"/>
            <w:tcBorders>
              <w:top w:val="nil"/>
              <w:left w:val="nil"/>
              <w:bottom w:val="nil"/>
              <w:right w:val="nil"/>
            </w:tcBorders>
            <w:shd w:val="clear" w:color="auto" w:fill="auto"/>
            <w:noWrap/>
            <w:vAlign w:val="bottom"/>
            <w:hideMark/>
          </w:tcPr>
          <w:p w:rsidRPr="005E6A04" w:rsidR="005E6A04" w:rsidP="00B46F93" w:rsidRDefault="005E6A04" w14:paraId="1909DBDE" w14:textId="77777777">
            <w:pPr>
              <w:widowControl/>
              <w:jc w:val="center"/>
              <w:rPr>
                <w:b/>
                <w:bCs/>
              </w:rPr>
            </w:pPr>
          </w:p>
        </w:tc>
      </w:tr>
      <w:tr w:rsidRPr="005E6A04" w:rsidR="005E6A04" w:rsidTr="00B46F93" w14:paraId="4EB69D6F" w14:textId="77777777">
        <w:trPr>
          <w:trHeight w:val="410"/>
          <w:jc w:val="center"/>
        </w:trPr>
        <w:tc>
          <w:tcPr>
            <w:tcW w:w="1104"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25EEBB09" w14:textId="77777777">
            <w:pPr>
              <w:widowControl/>
              <w:rPr>
                <w:b/>
                <w:bCs/>
              </w:rPr>
            </w:pPr>
          </w:p>
        </w:tc>
        <w:tc>
          <w:tcPr>
            <w:tcW w:w="475"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528A0ABB" w14:textId="77777777">
            <w:pPr>
              <w:widowControl/>
              <w:rPr>
                <w:b/>
                <w:bCs/>
              </w:rPr>
            </w:pPr>
          </w:p>
        </w:tc>
        <w:tc>
          <w:tcPr>
            <w:tcW w:w="634"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14CA8632" w14:textId="77777777">
            <w:pPr>
              <w:widowControl/>
              <w:rPr>
                <w:b/>
                <w:bCs/>
              </w:rPr>
            </w:pPr>
          </w:p>
        </w:tc>
        <w:tc>
          <w:tcPr>
            <w:tcW w:w="543"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388AF2F9" w14:textId="77777777">
            <w:pPr>
              <w:widowControl/>
              <w:rPr>
                <w:b/>
                <w:bCs/>
              </w:rPr>
            </w:pPr>
          </w:p>
        </w:tc>
        <w:tc>
          <w:tcPr>
            <w:tcW w:w="627"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459806E2" w14:textId="77777777">
            <w:pPr>
              <w:widowControl/>
              <w:rPr>
                <w:b/>
                <w:bCs/>
              </w:rPr>
            </w:pPr>
          </w:p>
        </w:tc>
        <w:tc>
          <w:tcPr>
            <w:tcW w:w="864"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744CF06D" w14:textId="77777777">
            <w:pPr>
              <w:widowControl/>
              <w:rPr>
                <w:b/>
                <w:bCs/>
              </w:rPr>
            </w:pPr>
          </w:p>
        </w:tc>
        <w:tc>
          <w:tcPr>
            <w:tcW w:w="633" w:type="pct"/>
            <w:vMerge/>
            <w:tcBorders>
              <w:top w:val="single" w:color="auto" w:sz="4" w:space="0"/>
              <w:left w:val="single" w:color="auto" w:sz="4" w:space="0"/>
              <w:bottom w:val="nil"/>
              <w:right w:val="single" w:color="auto" w:sz="4" w:space="0"/>
            </w:tcBorders>
            <w:vAlign w:val="center"/>
            <w:hideMark/>
          </w:tcPr>
          <w:p w:rsidRPr="005E6A04" w:rsidR="005E6A04" w:rsidP="00B46F93" w:rsidRDefault="005E6A04" w14:paraId="46B08E1E" w14:textId="77777777">
            <w:pPr>
              <w:widowControl/>
              <w:rPr>
                <w:b/>
                <w:bCs/>
              </w:rPr>
            </w:pPr>
          </w:p>
        </w:tc>
        <w:tc>
          <w:tcPr>
            <w:tcW w:w="119" w:type="pct"/>
            <w:tcBorders>
              <w:top w:val="nil"/>
              <w:left w:val="nil"/>
              <w:bottom w:val="nil"/>
              <w:right w:val="nil"/>
            </w:tcBorders>
            <w:shd w:val="clear" w:color="auto" w:fill="auto"/>
            <w:noWrap/>
            <w:vAlign w:val="bottom"/>
            <w:hideMark/>
          </w:tcPr>
          <w:p w:rsidRPr="005E6A04" w:rsidR="005E6A04" w:rsidP="00B46F93" w:rsidRDefault="005E6A04" w14:paraId="7E48ECF0" w14:textId="77777777">
            <w:pPr>
              <w:widowControl/>
            </w:pPr>
          </w:p>
        </w:tc>
      </w:tr>
      <w:tr w:rsidRPr="005E6A04" w:rsidR="005E6A04" w:rsidTr="00B46F93" w14:paraId="424C10CE" w14:textId="77777777">
        <w:trPr>
          <w:trHeight w:val="900"/>
          <w:jc w:val="center"/>
        </w:trPr>
        <w:tc>
          <w:tcPr>
            <w:tcW w:w="110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E6A04" w:rsidR="005E6A04" w:rsidP="00B46F93" w:rsidRDefault="005E6A04" w14:paraId="4EC29B0B" w14:textId="77777777">
            <w:pPr>
              <w:widowControl/>
            </w:pPr>
            <w:r w:rsidRPr="005E6A04">
              <w:t xml:space="preserve">Current Inventory </w:t>
            </w:r>
            <w:r w:rsidRPr="005E6A04">
              <w:br/>
              <w:t>ICR 1684.120, IC #1 Certification</w:t>
            </w:r>
          </w:p>
        </w:tc>
        <w:tc>
          <w:tcPr>
            <w:tcW w:w="475" w:type="pct"/>
            <w:tcBorders>
              <w:top w:val="single" w:color="auto" w:sz="4" w:space="0"/>
              <w:left w:val="nil"/>
              <w:bottom w:val="single" w:color="auto" w:sz="4" w:space="0"/>
              <w:right w:val="single" w:color="auto" w:sz="4" w:space="0"/>
            </w:tcBorders>
            <w:shd w:val="clear" w:color="auto" w:fill="auto"/>
            <w:noWrap/>
            <w:vAlign w:val="bottom"/>
            <w:hideMark/>
          </w:tcPr>
          <w:p w:rsidRPr="005E6A04" w:rsidR="005E6A04" w:rsidP="00B46F93" w:rsidRDefault="005E6A04" w14:paraId="1AC2C82B" w14:textId="77777777">
            <w:pPr>
              <w:widowControl/>
              <w:jc w:val="right"/>
            </w:pPr>
            <w:r w:rsidRPr="005E6A04">
              <w:t>29</w:t>
            </w:r>
          </w:p>
        </w:tc>
        <w:tc>
          <w:tcPr>
            <w:tcW w:w="634" w:type="pct"/>
            <w:tcBorders>
              <w:top w:val="single" w:color="auto" w:sz="4" w:space="0"/>
              <w:left w:val="nil"/>
              <w:bottom w:val="single" w:color="auto" w:sz="4" w:space="0"/>
              <w:right w:val="single" w:color="auto" w:sz="4" w:space="0"/>
            </w:tcBorders>
            <w:shd w:val="clear" w:color="auto" w:fill="auto"/>
            <w:noWrap/>
            <w:vAlign w:val="bottom"/>
            <w:hideMark/>
          </w:tcPr>
          <w:p w:rsidRPr="005E6A04" w:rsidR="005E6A04" w:rsidP="00B46F93" w:rsidRDefault="005E6A04" w14:paraId="3D85E4ED" w14:textId="77777777">
            <w:pPr>
              <w:widowControl/>
              <w:jc w:val="right"/>
            </w:pPr>
            <w:r w:rsidRPr="005E6A04">
              <w:t>$661,223</w:t>
            </w:r>
          </w:p>
        </w:tc>
        <w:tc>
          <w:tcPr>
            <w:tcW w:w="543" w:type="pct"/>
            <w:tcBorders>
              <w:top w:val="single" w:color="auto" w:sz="4" w:space="0"/>
              <w:left w:val="nil"/>
              <w:bottom w:val="single" w:color="auto" w:sz="4" w:space="0"/>
              <w:right w:val="single" w:color="auto" w:sz="4" w:space="0"/>
            </w:tcBorders>
            <w:shd w:val="clear" w:color="auto" w:fill="auto"/>
            <w:noWrap/>
            <w:vAlign w:val="bottom"/>
            <w:hideMark/>
          </w:tcPr>
          <w:p w:rsidRPr="005E6A04" w:rsidR="005E6A04" w:rsidP="00B46F93" w:rsidRDefault="005E6A04" w14:paraId="54AC20A1" w14:textId="77777777">
            <w:pPr>
              <w:widowControl/>
              <w:jc w:val="right"/>
            </w:pPr>
            <w:r w:rsidRPr="005E6A04">
              <w:t>$0</w:t>
            </w:r>
          </w:p>
        </w:tc>
        <w:tc>
          <w:tcPr>
            <w:tcW w:w="627" w:type="pct"/>
            <w:tcBorders>
              <w:top w:val="single" w:color="auto" w:sz="4" w:space="0"/>
              <w:left w:val="nil"/>
              <w:bottom w:val="single" w:color="auto" w:sz="4" w:space="0"/>
              <w:right w:val="single" w:color="auto" w:sz="4" w:space="0"/>
            </w:tcBorders>
            <w:shd w:val="clear" w:color="auto" w:fill="auto"/>
            <w:noWrap/>
            <w:vAlign w:val="bottom"/>
            <w:hideMark/>
          </w:tcPr>
          <w:p w:rsidRPr="005E6A04" w:rsidR="005E6A04" w:rsidP="00B46F93" w:rsidRDefault="005E6A04" w14:paraId="6A6C93BB" w14:textId="77777777">
            <w:pPr>
              <w:widowControl/>
              <w:jc w:val="right"/>
            </w:pPr>
            <w:r w:rsidRPr="005E6A04">
              <w:t>$511,307</w:t>
            </w:r>
          </w:p>
        </w:tc>
        <w:tc>
          <w:tcPr>
            <w:tcW w:w="864" w:type="pct"/>
            <w:tcBorders>
              <w:top w:val="single" w:color="auto" w:sz="4" w:space="0"/>
              <w:left w:val="nil"/>
              <w:bottom w:val="single" w:color="auto" w:sz="4" w:space="0"/>
              <w:right w:val="single" w:color="auto" w:sz="4" w:space="0"/>
            </w:tcBorders>
            <w:shd w:val="clear" w:color="auto" w:fill="auto"/>
            <w:noWrap/>
            <w:vAlign w:val="bottom"/>
            <w:hideMark/>
          </w:tcPr>
          <w:p w:rsidRPr="005E6A04" w:rsidR="005E6A04" w:rsidP="00B46F93" w:rsidRDefault="005E6A04" w14:paraId="626C6591" w14:textId="77777777">
            <w:pPr>
              <w:widowControl/>
              <w:jc w:val="right"/>
            </w:pPr>
            <w:r w:rsidRPr="005E6A04">
              <w:t xml:space="preserve">                   8,900 </w:t>
            </w:r>
          </w:p>
        </w:tc>
        <w:tc>
          <w:tcPr>
            <w:tcW w:w="633" w:type="pct"/>
            <w:tcBorders>
              <w:top w:val="single" w:color="auto" w:sz="4" w:space="0"/>
              <w:left w:val="nil"/>
              <w:bottom w:val="single" w:color="auto" w:sz="4" w:space="0"/>
              <w:right w:val="single" w:color="auto" w:sz="4" w:space="0"/>
            </w:tcBorders>
            <w:shd w:val="clear" w:color="auto" w:fill="auto"/>
            <w:noWrap/>
            <w:vAlign w:val="bottom"/>
            <w:hideMark/>
          </w:tcPr>
          <w:p w:rsidRPr="005E6A04" w:rsidR="005E6A04" w:rsidP="00B46F93" w:rsidRDefault="005E6A04" w14:paraId="73815672" w14:textId="77777777">
            <w:pPr>
              <w:widowControl/>
              <w:jc w:val="right"/>
            </w:pPr>
            <w:r w:rsidRPr="005E6A04">
              <w:t>$1,172,530</w:t>
            </w:r>
          </w:p>
        </w:tc>
        <w:tc>
          <w:tcPr>
            <w:tcW w:w="119" w:type="pct"/>
            <w:vAlign w:val="center"/>
            <w:hideMark/>
          </w:tcPr>
          <w:p w:rsidRPr="005E6A04" w:rsidR="005E6A04" w:rsidP="00B46F93" w:rsidRDefault="005E6A04" w14:paraId="43DE4D66" w14:textId="77777777">
            <w:pPr>
              <w:widowControl/>
            </w:pPr>
          </w:p>
        </w:tc>
      </w:tr>
      <w:tr w:rsidRPr="005E6A04" w:rsidR="005E6A04" w:rsidTr="00B46F93" w14:paraId="1CBDC57E" w14:textId="77777777">
        <w:trPr>
          <w:trHeight w:val="520"/>
          <w:jc w:val="center"/>
        </w:trPr>
        <w:tc>
          <w:tcPr>
            <w:tcW w:w="1104" w:type="pct"/>
            <w:tcBorders>
              <w:top w:val="nil"/>
              <w:left w:val="single" w:color="auto" w:sz="4" w:space="0"/>
              <w:bottom w:val="single" w:color="auto" w:sz="4" w:space="0"/>
              <w:right w:val="single" w:color="auto" w:sz="4" w:space="0"/>
            </w:tcBorders>
            <w:shd w:val="clear" w:color="auto" w:fill="auto"/>
            <w:vAlign w:val="bottom"/>
            <w:hideMark/>
          </w:tcPr>
          <w:p w:rsidRPr="005E6A04" w:rsidR="005E6A04" w:rsidP="00B46F93" w:rsidRDefault="005E6A04" w14:paraId="7B2D8500" w14:textId="77777777">
            <w:pPr>
              <w:widowControl/>
            </w:pPr>
            <w:r w:rsidRPr="005E6A04">
              <w:t>Estimated Savings from this Action: 65%</w:t>
            </w:r>
          </w:p>
        </w:tc>
        <w:tc>
          <w:tcPr>
            <w:tcW w:w="475" w:type="pct"/>
            <w:tcBorders>
              <w:top w:val="nil"/>
              <w:left w:val="nil"/>
              <w:bottom w:val="single" w:color="auto" w:sz="4" w:space="0"/>
              <w:right w:val="single" w:color="auto" w:sz="4" w:space="0"/>
            </w:tcBorders>
            <w:shd w:val="clear" w:color="auto" w:fill="auto"/>
            <w:noWrap/>
            <w:vAlign w:val="bottom"/>
            <w:hideMark/>
          </w:tcPr>
          <w:p w:rsidRPr="005E6A04" w:rsidR="005E6A04" w:rsidP="00B46F93" w:rsidRDefault="005E6A04" w14:paraId="1C544CDC" w14:textId="77777777">
            <w:pPr>
              <w:widowControl/>
              <w:jc w:val="right"/>
            </w:pPr>
            <w:r w:rsidRPr="005E6A04">
              <w:t>29</w:t>
            </w:r>
          </w:p>
        </w:tc>
        <w:tc>
          <w:tcPr>
            <w:tcW w:w="634" w:type="pct"/>
            <w:tcBorders>
              <w:top w:val="nil"/>
              <w:left w:val="nil"/>
              <w:bottom w:val="single" w:color="auto" w:sz="4" w:space="0"/>
              <w:right w:val="single" w:color="auto" w:sz="4" w:space="0"/>
            </w:tcBorders>
            <w:shd w:val="clear" w:color="auto" w:fill="auto"/>
            <w:noWrap/>
            <w:vAlign w:val="bottom"/>
            <w:hideMark/>
          </w:tcPr>
          <w:p w:rsidRPr="005E6A04" w:rsidR="005E6A04" w:rsidP="00B46F93" w:rsidRDefault="005E6A04" w14:paraId="69155123" w14:textId="77777777">
            <w:pPr>
              <w:widowControl/>
              <w:jc w:val="right"/>
            </w:pPr>
            <w:r w:rsidRPr="005E6A04">
              <w:t xml:space="preserve">$ </w:t>
            </w:r>
            <w:r>
              <w:t>(</w:t>
            </w:r>
            <w:r w:rsidRPr="005E6A04">
              <w:t>429,795)</w:t>
            </w:r>
          </w:p>
        </w:tc>
        <w:tc>
          <w:tcPr>
            <w:tcW w:w="543" w:type="pct"/>
            <w:tcBorders>
              <w:top w:val="nil"/>
              <w:left w:val="nil"/>
              <w:bottom w:val="single" w:color="auto" w:sz="4" w:space="0"/>
              <w:right w:val="single" w:color="auto" w:sz="4" w:space="0"/>
            </w:tcBorders>
            <w:shd w:val="clear" w:color="auto" w:fill="auto"/>
            <w:noWrap/>
            <w:vAlign w:val="bottom"/>
            <w:hideMark/>
          </w:tcPr>
          <w:p w:rsidRPr="005E6A04" w:rsidR="005E6A04" w:rsidP="00B46F93" w:rsidRDefault="005E6A04" w14:paraId="71D694E9" w14:textId="77777777">
            <w:pPr>
              <w:widowControl/>
              <w:jc w:val="right"/>
            </w:pPr>
            <w:r w:rsidRPr="005E6A04">
              <w:t>$0</w:t>
            </w:r>
          </w:p>
        </w:tc>
        <w:tc>
          <w:tcPr>
            <w:tcW w:w="627" w:type="pct"/>
            <w:tcBorders>
              <w:top w:val="nil"/>
              <w:left w:val="nil"/>
              <w:bottom w:val="single" w:color="auto" w:sz="4" w:space="0"/>
              <w:right w:val="single" w:color="auto" w:sz="4" w:space="0"/>
            </w:tcBorders>
            <w:shd w:val="clear" w:color="auto" w:fill="auto"/>
            <w:noWrap/>
            <w:vAlign w:val="bottom"/>
            <w:hideMark/>
          </w:tcPr>
          <w:p w:rsidRPr="005E6A04" w:rsidR="005E6A04" w:rsidP="00B46F93" w:rsidRDefault="005E6A04" w14:paraId="501BAFBF" w14:textId="77777777">
            <w:pPr>
              <w:widowControl/>
              <w:jc w:val="right"/>
            </w:pPr>
            <w:r w:rsidRPr="005E6A04">
              <w:t>$ (332,349)</w:t>
            </w:r>
          </w:p>
        </w:tc>
        <w:tc>
          <w:tcPr>
            <w:tcW w:w="864" w:type="pct"/>
            <w:tcBorders>
              <w:top w:val="nil"/>
              <w:left w:val="nil"/>
              <w:bottom w:val="single" w:color="auto" w:sz="4" w:space="0"/>
              <w:right w:val="single" w:color="auto" w:sz="4" w:space="0"/>
            </w:tcBorders>
            <w:shd w:val="clear" w:color="auto" w:fill="auto"/>
            <w:noWrap/>
            <w:vAlign w:val="bottom"/>
            <w:hideMark/>
          </w:tcPr>
          <w:p w:rsidRPr="005E6A04" w:rsidR="005E6A04" w:rsidP="00B46F93" w:rsidRDefault="005E6A04" w14:paraId="51320B07" w14:textId="77777777">
            <w:pPr>
              <w:widowControl/>
              <w:jc w:val="right"/>
            </w:pPr>
            <w:r w:rsidRPr="005E6A04">
              <w:t>(5,785)</w:t>
            </w:r>
          </w:p>
        </w:tc>
        <w:tc>
          <w:tcPr>
            <w:tcW w:w="633" w:type="pct"/>
            <w:tcBorders>
              <w:top w:val="nil"/>
              <w:left w:val="nil"/>
              <w:bottom w:val="single" w:color="auto" w:sz="4" w:space="0"/>
              <w:right w:val="single" w:color="auto" w:sz="4" w:space="0"/>
            </w:tcBorders>
            <w:shd w:val="clear" w:color="auto" w:fill="auto"/>
            <w:noWrap/>
            <w:vAlign w:val="bottom"/>
            <w:hideMark/>
          </w:tcPr>
          <w:p w:rsidRPr="005E6A04" w:rsidR="005E6A04" w:rsidP="00B46F93" w:rsidRDefault="005E6A04" w14:paraId="07DDE0D1" w14:textId="77777777">
            <w:pPr>
              <w:widowControl/>
              <w:jc w:val="right"/>
            </w:pPr>
            <w:r w:rsidRPr="005E6A04">
              <w:t>$ (762,144)</w:t>
            </w:r>
          </w:p>
        </w:tc>
        <w:tc>
          <w:tcPr>
            <w:tcW w:w="119" w:type="pct"/>
            <w:vAlign w:val="center"/>
            <w:hideMark/>
          </w:tcPr>
          <w:p w:rsidRPr="005E6A04" w:rsidR="005E6A04" w:rsidP="00B46F93" w:rsidRDefault="005E6A04" w14:paraId="66065A29" w14:textId="77777777">
            <w:pPr>
              <w:widowControl/>
            </w:pPr>
          </w:p>
        </w:tc>
      </w:tr>
    </w:tbl>
    <w:p w:rsidRPr="00F53593" w:rsidR="005E6A04" w:rsidP="00404CBC" w:rsidRDefault="005E6A04" w14:paraId="41847E1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Cs/>
          <w:color w:val="000000"/>
        </w:rPr>
      </w:pPr>
    </w:p>
    <w:p w:rsidR="00335F2D" w:rsidP="00404CBC" w:rsidRDefault="00335F2D" w14:paraId="3476C08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77FB5" w:rsidP="009C40B7" w:rsidRDefault="00404CBC" w14:paraId="75DAE758" w14:textId="2121030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r>
        <w:rPr>
          <w:iCs/>
          <w:color w:val="000000"/>
        </w:rPr>
        <w:tab/>
        <w:t xml:space="preserve">EPA is also proposing to discontinue HD </w:t>
      </w:r>
      <w:r w:rsidR="002D099B">
        <w:rPr>
          <w:iCs/>
          <w:color w:val="000000"/>
        </w:rPr>
        <w:t xml:space="preserve">engine </w:t>
      </w:r>
      <w:r>
        <w:rPr>
          <w:iCs/>
          <w:color w:val="000000"/>
        </w:rPr>
        <w:t>Phase 2 in-use testing requirements</w:t>
      </w:r>
      <w:r w:rsidR="0064221D">
        <w:rPr>
          <w:iCs/>
          <w:color w:val="000000"/>
        </w:rPr>
        <w:t xml:space="preserve"> </w:t>
      </w:r>
      <w:r w:rsidR="00482CD1">
        <w:rPr>
          <w:iCs/>
          <w:color w:val="000000"/>
        </w:rPr>
        <w:t>b</w:t>
      </w:r>
      <w:r w:rsidR="00862FE1">
        <w:rPr>
          <w:iCs/>
          <w:color w:val="000000"/>
        </w:rPr>
        <w:t xml:space="preserve">eginning in </w:t>
      </w:r>
      <w:r w:rsidR="00482CD1">
        <w:rPr>
          <w:iCs/>
          <w:color w:val="000000"/>
        </w:rPr>
        <w:t xml:space="preserve">MY 2027. </w:t>
      </w:r>
      <w:r w:rsidR="00405DF3">
        <w:rPr>
          <w:iCs/>
          <w:color w:val="000000"/>
        </w:rPr>
        <w:t xml:space="preserve">Under current provisions, </w:t>
      </w:r>
      <w:r w:rsidR="00161223">
        <w:rPr>
          <w:iCs/>
          <w:color w:val="000000"/>
        </w:rPr>
        <w:t>if an engine family</w:t>
      </w:r>
      <w:r w:rsidR="008730AC">
        <w:rPr>
          <w:iCs/>
          <w:color w:val="000000"/>
        </w:rPr>
        <w:t xml:space="preserve"> selected for in-use verification</w:t>
      </w:r>
      <w:r w:rsidR="00161223">
        <w:rPr>
          <w:iCs/>
          <w:color w:val="000000"/>
        </w:rPr>
        <w:t xml:space="preserve"> fails </w:t>
      </w:r>
      <w:r w:rsidR="008730AC">
        <w:rPr>
          <w:iCs/>
          <w:color w:val="000000"/>
        </w:rPr>
        <w:t xml:space="preserve">eight out </w:t>
      </w:r>
      <w:r w:rsidR="00161223">
        <w:rPr>
          <w:iCs/>
          <w:color w:val="000000"/>
        </w:rPr>
        <w:t>of 10</w:t>
      </w:r>
      <w:r w:rsidR="008730AC">
        <w:rPr>
          <w:iCs/>
          <w:color w:val="000000"/>
        </w:rPr>
        <w:t xml:space="preserve"> in-use tests (Phase 1), the manufacturer is required to test an additional 10 engines</w:t>
      </w:r>
      <w:r w:rsidR="00161223">
        <w:rPr>
          <w:iCs/>
          <w:color w:val="000000"/>
        </w:rPr>
        <w:t xml:space="preserve"> </w:t>
      </w:r>
      <w:r w:rsidR="008730AC">
        <w:rPr>
          <w:iCs/>
          <w:color w:val="000000"/>
        </w:rPr>
        <w:t>(</w:t>
      </w:r>
      <w:r w:rsidR="00405DF3">
        <w:rPr>
          <w:iCs/>
          <w:color w:val="000000"/>
        </w:rPr>
        <w:t>Phase 2</w:t>
      </w:r>
      <w:r w:rsidR="00865689">
        <w:rPr>
          <w:iCs/>
          <w:color w:val="000000"/>
        </w:rPr>
        <w:t xml:space="preserve">). The proposal seeks to establish </w:t>
      </w:r>
      <w:r w:rsidR="00133D81">
        <w:rPr>
          <w:iCs/>
          <w:color w:val="000000"/>
        </w:rPr>
        <w:t>fail/pass status with a maximum of 10 engines</w:t>
      </w:r>
      <w:r w:rsidR="003D2615">
        <w:rPr>
          <w:iCs/>
          <w:color w:val="000000"/>
        </w:rPr>
        <w:t xml:space="preserve"> tested</w:t>
      </w:r>
      <w:r w:rsidR="00133D81">
        <w:rPr>
          <w:iCs/>
          <w:color w:val="000000"/>
        </w:rPr>
        <w:t>, the original limit of Phase 1</w:t>
      </w:r>
      <w:r w:rsidR="003D2615">
        <w:rPr>
          <w:iCs/>
          <w:color w:val="000000"/>
        </w:rPr>
        <w:t>, thus repealing Phase 2 provisions</w:t>
      </w:r>
      <w:r w:rsidR="00133D81">
        <w:rPr>
          <w:iCs/>
          <w:color w:val="000000"/>
        </w:rPr>
        <w:t xml:space="preserve">. </w:t>
      </w:r>
      <w:r w:rsidR="00447D12">
        <w:rPr>
          <w:iCs/>
          <w:color w:val="000000"/>
        </w:rPr>
        <w:t>While this</w:t>
      </w:r>
      <w:r w:rsidR="00DE1C05">
        <w:rPr>
          <w:iCs/>
          <w:color w:val="000000"/>
        </w:rPr>
        <w:t xml:space="preserve"> proposal</w:t>
      </w:r>
      <w:r w:rsidR="00447D12">
        <w:rPr>
          <w:iCs/>
          <w:color w:val="000000"/>
        </w:rPr>
        <w:t xml:space="preserve"> represents significant</w:t>
      </w:r>
      <w:r w:rsidR="00DE1C05">
        <w:rPr>
          <w:iCs/>
          <w:color w:val="000000"/>
        </w:rPr>
        <w:t xml:space="preserve"> potential</w:t>
      </w:r>
      <w:r w:rsidR="00447D12">
        <w:rPr>
          <w:iCs/>
          <w:color w:val="000000"/>
        </w:rPr>
        <w:t xml:space="preserve"> savings </w:t>
      </w:r>
      <w:r w:rsidR="00DE1C05">
        <w:rPr>
          <w:iCs/>
          <w:color w:val="000000"/>
        </w:rPr>
        <w:t xml:space="preserve">for </w:t>
      </w:r>
      <w:r w:rsidR="004C4DCC">
        <w:rPr>
          <w:iCs/>
          <w:color w:val="000000"/>
        </w:rPr>
        <w:t>respondents</w:t>
      </w:r>
      <w:r w:rsidR="00DE1C05">
        <w:rPr>
          <w:iCs/>
          <w:color w:val="000000"/>
        </w:rPr>
        <w:t xml:space="preserve">, EPA is not accounting for this reduction </w:t>
      </w:r>
      <w:r w:rsidR="009C40B7">
        <w:rPr>
          <w:iCs/>
          <w:color w:val="000000"/>
        </w:rPr>
        <w:t>at this time</w:t>
      </w:r>
      <w:r w:rsidR="003D2615">
        <w:rPr>
          <w:iCs/>
          <w:color w:val="000000"/>
        </w:rPr>
        <w:t xml:space="preserve"> because the burden associated with is not currently reflected in ICR 1864.20</w:t>
      </w:r>
      <w:r w:rsidR="00DE1C05">
        <w:rPr>
          <w:iCs/>
          <w:color w:val="000000"/>
        </w:rPr>
        <w:t>.</w:t>
      </w:r>
      <w:r w:rsidR="00DC42C5">
        <w:rPr>
          <w:iCs/>
          <w:color w:val="000000"/>
        </w:rPr>
        <w:t xml:space="preserve"> </w:t>
      </w:r>
    </w:p>
    <w:p w:rsidR="00D77FB5" w:rsidP="009C40B7" w:rsidRDefault="00D77FB5" w14:paraId="524439A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00AD420A" w:rsidP="009C40B7" w:rsidRDefault="00D77FB5" w14:paraId="49F33A8A" w14:textId="4F14FF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r>
        <w:rPr>
          <w:iCs/>
          <w:color w:val="000000"/>
        </w:rPr>
        <w:tab/>
      </w:r>
      <w:r w:rsidR="00AD420A">
        <w:rPr>
          <w:iCs/>
          <w:color w:val="000000"/>
        </w:rPr>
        <w:t>EPA is</w:t>
      </w:r>
      <w:r w:rsidR="005D044B">
        <w:rPr>
          <w:iCs/>
          <w:color w:val="000000"/>
        </w:rPr>
        <w:t xml:space="preserve"> also</w:t>
      </w:r>
      <w:r w:rsidR="00AD420A">
        <w:rPr>
          <w:iCs/>
          <w:color w:val="000000"/>
        </w:rPr>
        <w:t xml:space="preserve"> proposing to add the new </w:t>
      </w:r>
      <w:r>
        <w:rPr>
          <w:iCs/>
          <w:color w:val="000000"/>
        </w:rPr>
        <w:t xml:space="preserve">certification </w:t>
      </w:r>
      <w:r w:rsidR="00AD420A">
        <w:rPr>
          <w:iCs/>
          <w:color w:val="000000"/>
        </w:rPr>
        <w:t>test cycles to in-use testing</w:t>
      </w:r>
      <w:r w:rsidR="00DC56D1">
        <w:rPr>
          <w:iCs/>
          <w:color w:val="000000"/>
        </w:rPr>
        <w:t xml:space="preserve">; therefore, EPA </w:t>
      </w:r>
      <w:r w:rsidR="00540742">
        <w:rPr>
          <w:iCs/>
          <w:color w:val="000000"/>
        </w:rPr>
        <w:t>has</w:t>
      </w:r>
      <w:r w:rsidR="00DC56D1">
        <w:rPr>
          <w:iCs/>
          <w:color w:val="000000"/>
        </w:rPr>
        <w:t xml:space="preserve"> account</w:t>
      </w:r>
      <w:r w:rsidR="00540742">
        <w:rPr>
          <w:iCs/>
          <w:color w:val="000000"/>
        </w:rPr>
        <w:t>ed</w:t>
      </w:r>
      <w:r w:rsidR="00DC56D1">
        <w:rPr>
          <w:iCs/>
          <w:color w:val="000000"/>
        </w:rPr>
        <w:t xml:space="preserve"> for the incremental testing burden</w:t>
      </w:r>
      <w:r w:rsidR="00736505">
        <w:rPr>
          <w:iCs/>
          <w:color w:val="000000"/>
        </w:rPr>
        <w:t xml:space="preserve"> in </w:t>
      </w:r>
      <w:r w:rsidR="007F70E3">
        <w:rPr>
          <w:iCs/>
          <w:color w:val="000000"/>
        </w:rPr>
        <w:t>Table 3</w:t>
      </w:r>
      <w:r w:rsidR="00DC56D1">
        <w:rPr>
          <w:iCs/>
          <w:color w:val="000000"/>
        </w:rPr>
        <w:t xml:space="preserve">. </w:t>
      </w:r>
      <w:r w:rsidR="00516820">
        <w:rPr>
          <w:iCs/>
          <w:color w:val="000000"/>
        </w:rPr>
        <w:t>As described in ICR 1684</w:t>
      </w:r>
      <w:r w:rsidR="00432A92">
        <w:rPr>
          <w:iCs/>
          <w:color w:val="000000"/>
        </w:rPr>
        <w:t>.20</w:t>
      </w:r>
      <w:r w:rsidR="00516820">
        <w:rPr>
          <w:iCs/>
          <w:color w:val="000000"/>
        </w:rPr>
        <w:t xml:space="preserve">, </w:t>
      </w:r>
      <w:r w:rsidR="00516820">
        <w:t>every year EPA orders an average of 6 manufacturers to test one engine family each.</w:t>
      </w:r>
      <w:r w:rsidRPr="005D044B" w:rsidR="005D044B">
        <w:rPr>
          <w:iCs/>
          <w:color w:val="000000"/>
        </w:rPr>
        <w:t xml:space="preserve"> </w:t>
      </w:r>
    </w:p>
    <w:p w:rsidR="00037EC1" w:rsidP="009C40B7" w:rsidRDefault="00037EC1" w14:paraId="58E4638A" w14:textId="4CCB8A1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Pr="00AD420A" w:rsidR="00037EC1" w:rsidP="009C40B7" w:rsidRDefault="00037EC1" w14:paraId="377C54FD" w14:textId="4273E10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r>
        <w:rPr>
          <w:iCs/>
          <w:color w:val="000000"/>
        </w:rPr>
        <w:tab/>
        <w:t>The propos</w:t>
      </w:r>
      <w:r w:rsidR="000C2492">
        <w:rPr>
          <w:iCs/>
          <w:color w:val="000000"/>
        </w:rPr>
        <w:t>ed rule</w:t>
      </w:r>
      <w:r>
        <w:rPr>
          <w:iCs/>
          <w:color w:val="000000"/>
        </w:rPr>
        <w:t xml:space="preserve"> includes other </w:t>
      </w:r>
      <w:r w:rsidR="000C2492">
        <w:rPr>
          <w:iCs/>
          <w:color w:val="000000"/>
        </w:rPr>
        <w:t>potentially burden-reducing provisions, such as allowing manufacturers to carry across OBD data between engine and vehicle families if those families are sufficiently similar.</w:t>
      </w:r>
      <w:r>
        <w:rPr>
          <w:iCs/>
          <w:color w:val="000000"/>
        </w:rPr>
        <w:t xml:space="preserve"> </w:t>
      </w:r>
      <w:r w:rsidR="00EF08F7">
        <w:rPr>
          <w:iCs/>
          <w:color w:val="000000"/>
        </w:rPr>
        <w:t xml:space="preserve">EPA is not accounting for those reductions </w:t>
      </w:r>
      <w:r w:rsidR="005C5CDC">
        <w:rPr>
          <w:iCs/>
          <w:color w:val="000000"/>
        </w:rPr>
        <w:t xml:space="preserve">in burden yet as it is unclear </w:t>
      </w:r>
      <w:r w:rsidR="00F04792">
        <w:rPr>
          <w:iCs/>
          <w:color w:val="000000"/>
        </w:rPr>
        <w:t xml:space="preserve">at this time </w:t>
      </w:r>
      <w:r w:rsidR="005C5CDC">
        <w:rPr>
          <w:iCs/>
          <w:color w:val="000000"/>
        </w:rPr>
        <w:t>how many engine and vehicle families would qualify.</w:t>
      </w:r>
    </w:p>
    <w:p w:rsidR="00404CBC" w:rsidP="00404CBC" w:rsidRDefault="00404CBC" w14:paraId="6EF1821D" w14:textId="478184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00DC3818" w:rsidP="00404CBC" w:rsidRDefault="00DC3818" w14:paraId="3909646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r>
        <w:rPr>
          <w:iCs/>
          <w:color w:val="000000"/>
        </w:rPr>
        <w:tab/>
        <w:t xml:space="preserve">The proposal contains no changes to recordkeeping requirements. </w:t>
      </w:r>
      <w:proofErr w:type="gramStart"/>
      <w:r>
        <w:rPr>
          <w:iCs/>
          <w:color w:val="000000"/>
        </w:rPr>
        <w:t>Despite the fact that</w:t>
      </w:r>
      <w:proofErr w:type="gramEnd"/>
      <w:r>
        <w:rPr>
          <w:iCs/>
          <w:color w:val="000000"/>
        </w:rPr>
        <w:t xml:space="preserve"> ICR 1684.20 already accounts for recordkeeping, EPA has accounted for a modest amount of burden and cost related to the new testing requirements and data analysis. </w:t>
      </w:r>
    </w:p>
    <w:p w:rsidR="00DC3818" w:rsidP="00404CBC" w:rsidRDefault="00DC3818" w14:paraId="61487FF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p>
    <w:p w:rsidRPr="00D40498" w:rsidR="00404CBC" w:rsidP="00404CBC" w:rsidRDefault="00DC3818" w14:paraId="42199031" w14:textId="0D77A1B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rPr>
      </w:pPr>
      <w:r>
        <w:rPr>
          <w:iCs/>
          <w:color w:val="000000"/>
        </w:rPr>
        <w:tab/>
      </w:r>
      <w:r w:rsidR="00D41F56">
        <w:rPr>
          <w:iCs/>
          <w:color w:val="000000"/>
        </w:rPr>
        <w:t xml:space="preserve">Regarding the number of responses, it must be noted that the proposed </w:t>
      </w:r>
      <w:r w:rsidR="00CE24BA">
        <w:rPr>
          <w:iCs/>
          <w:color w:val="000000"/>
        </w:rPr>
        <w:t>rule</w:t>
      </w:r>
      <w:r w:rsidR="00D41F56">
        <w:rPr>
          <w:iCs/>
          <w:color w:val="000000"/>
        </w:rPr>
        <w:t xml:space="preserve"> </w:t>
      </w:r>
      <w:r>
        <w:rPr>
          <w:iCs/>
          <w:color w:val="000000"/>
        </w:rPr>
        <w:t>amend</w:t>
      </w:r>
      <w:r w:rsidR="00CE24BA">
        <w:rPr>
          <w:iCs/>
          <w:color w:val="000000"/>
        </w:rPr>
        <w:t>s</w:t>
      </w:r>
      <w:r>
        <w:rPr>
          <w:iCs/>
          <w:color w:val="000000"/>
        </w:rPr>
        <w:t xml:space="preserve"> responses (</w:t>
      </w:r>
      <w:r w:rsidR="007D3C27">
        <w:rPr>
          <w:iCs/>
          <w:color w:val="000000"/>
        </w:rPr>
        <w:t xml:space="preserve">e.g., </w:t>
      </w:r>
      <w:r>
        <w:rPr>
          <w:iCs/>
          <w:color w:val="000000"/>
        </w:rPr>
        <w:t xml:space="preserve">certification applications, AB&amp;T reports, PLT </w:t>
      </w:r>
      <w:r w:rsidR="007D3C27">
        <w:rPr>
          <w:iCs/>
          <w:color w:val="000000"/>
        </w:rPr>
        <w:t xml:space="preserve">reports) already accounted for in the programmatic ICRs, mainly ICR 1684.20. </w:t>
      </w:r>
      <w:r w:rsidR="00CE24BA">
        <w:rPr>
          <w:iCs/>
          <w:color w:val="000000"/>
        </w:rPr>
        <w:t xml:space="preserve">The proposed rule </w:t>
      </w:r>
      <w:r w:rsidR="00585A66">
        <w:rPr>
          <w:iCs/>
          <w:color w:val="000000"/>
        </w:rPr>
        <w:t xml:space="preserve">only creates one new </w:t>
      </w:r>
      <w:r w:rsidR="0014578A">
        <w:rPr>
          <w:iCs/>
          <w:color w:val="000000"/>
        </w:rPr>
        <w:t>type of report</w:t>
      </w:r>
      <w:r w:rsidR="00A37708">
        <w:rPr>
          <w:iCs/>
          <w:color w:val="000000"/>
        </w:rPr>
        <w:t>: an annual DF verification report to be submitted by each HD engine manufacturer (16 respondent</w:t>
      </w:r>
      <w:r w:rsidR="008F1149">
        <w:rPr>
          <w:iCs/>
          <w:color w:val="000000"/>
        </w:rPr>
        <w:t>s</w:t>
      </w:r>
      <w:r w:rsidR="00A37708">
        <w:rPr>
          <w:iCs/>
          <w:color w:val="000000"/>
        </w:rPr>
        <w:t>)</w:t>
      </w:r>
      <w:r w:rsidR="008F1149">
        <w:rPr>
          <w:iCs/>
          <w:color w:val="000000"/>
        </w:rPr>
        <w:t xml:space="preserve"> until their DF validation is complete (</w:t>
      </w:r>
      <w:r w:rsidR="007B338C">
        <w:rPr>
          <w:iCs/>
          <w:color w:val="000000"/>
        </w:rPr>
        <w:t xml:space="preserve">maximum of </w:t>
      </w:r>
      <w:r w:rsidR="008F1149">
        <w:rPr>
          <w:iCs/>
          <w:color w:val="000000"/>
        </w:rPr>
        <w:t>8 years)</w:t>
      </w:r>
      <w:r w:rsidR="00A37708">
        <w:rPr>
          <w:iCs/>
          <w:color w:val="000000"/>
        </w:rPr>
        <w:t xml:space="preserve">. </w:t>
      </w:r>
      <w:r w:rsidR="00C01280">
        <w:rPr>
          <w:iCs/>
          <w:color w:val="000000"/>
        </w:rPr>
        <w:t xml:space="preserve">In addition, EPA estimates that approximately </w:t>
      </w:r>
      <w:r w:rsidR="001F1FE4">
        <w:rPr>
          <w:iCs/>
          <w:color w:val="000000"/>
        </w:rPr>
        <w:t xml:space="preserve">177 respondents from across industries may submit </w:t>
      </w:r>
      <w:r w:rsidR="002970ED">
        <w:rPr>
          <w:iCs/>
          <w:color w:val="000000"/>
        </w:rPr>
        <w:t xml:space="preserve">a </w:t>
      </w:r>
      <w:r w:rsidR="00EA66D0">
        <w:rPr>
          <w:iCs/>
          <w:color w:val="000000"/>
        </w:rPr>
        <w:t xml:space="preserve">special request (e.g., requests for test variances, </w:t>
      </w:r>
      <w:r w:rsidR="002970ED">
        <w:rPr>
          <w:iCs/>
          <w:color w:val="000000"/>
        </w:rPr>
        <w:t>policy determinations</w:t>
      </w:r>
      <w:r w:rsidR="005378AD">
        <w:rPr>
          <w:iCs/>
          <w:color w:val="000000"/>
        </w:rPr>
        <w:t xml:space="preserve">, etc.) during the first year of the rule, should it become </w:t>
      </w:r>
      <w:r w:rsidR="002970ED">
        <w:rPr>
          <w:iCs/>
          <w:color w:val="000000"/>
        </w:rPr>
        <w:t xml:space="preserve">final. </w:t>
      </w:r>
      <w:r w:rsidR="00A37708">
        <w:rPr>
          <w:iCs/>
          <w:color w:val="000000"/>
        </w:rPr>
        <w:t xml:space="preserve">Therefore, the </w:t>
      </w:r>
      <w:r w:rsidR="005A7FD6">
        <w:rPr>
          <w:iCs/>
          <w:color w:val="000000"/>
        </w:rPr>
        <w:t xml:space="preserve">estimated </w:t>
      </w:r>
      <w:r w:rsidR="00A37708">
        <w:rPr>
          <w:iCs/>
          <w:color w:val="000000"/>
        </w:rPr>
        <w:t xml:space="preserve">number of responses </w:t>
      </w:r>
      <w:r w:rsidR="00D158BB">
        <w:rPr>
          <w:iCs/>
          <w:color w:val="000000"/>
        </w:rPr>
        <w:t xml:space="preserve">for this collection </w:t>
      </w:r>
      <w:r w:rsidR="005A7FD6">
        <w:rPr>
          <w:iCs/>
          <w:color w:val="000000"/>
        </w:rPr>
        <w:t>is approximately</w:t>
      </w:r>
      <w:r w:rsidR="002A1024">
        <w:rPr>
          <w:iCs/>
          <w:color w:val="000000"/>
        </w:rPr>
        <w:t xml:space="preserve"> </w:t>
      </w:r>
      <w:r w:rsidR="00F23E30">
        <w:rPr>
          <w:iCs/>
          <w:color w:val="000000"/>
        </w:rPr>
        <w:t xml:space="preserve">193 (16 + </w:t>
      </w:r>
      <w:r w:rsidR="00FF7181">
        <w:rPr>
          <w:iCs/>
          <w:color w:val="000000"/>
        </w:rPr>
        <w:t>177</w:t>
      </w:r>
      <w:r w:rsidR="00F23E30">
        <w:rPr>
          <w:iCs/>
          <w:color w:val="000000"/>
        </w:rPr>
        <w:t>)</w:t>
      </w:r>
      <w:r w:rsidR="002A1024">
        <w:rPr>
          <w:iCs/>
          <w:color w:val="000000"/>
        </w:rPr>
        <w:t xml:space="preserve">. </w:t>
      </w:r>
      <w:r w:rsidR="00D158BB">
        <w:rPr>
          <w:iCs/>
          <w:color w:val="000000"/>
        </w:rPr>
        <w:t xml:space="preserve">Including the responses already accounted for in other ICRs would </w:t>
      </w:r>
      <w:r w:rsidR="007E17A9">
        <w:rPr>
          <w:iCs/>
          <w:color w:val="000000"/>
        </w:rPr>
        <w:t>duplicate the number of responses</w:t>
      </w:r>
      <w:r w:rsidR="002F3F95">
        <w:rPr>
          <w:iCs/>
          <w:color w:val="000000"/>
        </w:rPr>
        <w:t xml:space="preserve"> and artificially increase the burden</w:t>
      </w:r>
      <w:r w:rsidR="007E17A9">
        <w:rPr>
          <w:iCs/>
          <w:color w:val="000000"/>
        </w:rPr>
        <w:t xml:space="preserve"> in the total inventory of burden. </w:t>
      </w:r>
      <w:r w:rsidR="00404CBC">
        <w:rPr>
          <w:iCs/>
          <w:color w:val="000000"/>
        </w:rPr>
        <w:tab/>
        <w:t xml:space="preserve"> </w:t>
      </w:r>
    </w:p>
    <w:p w:rsidR="00404CBC" w:rsidRDefault="00404CBC" w14:paraId="77B178C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404CBC" w:rsidRDefault="00404CBC" w14:paraId="70FF731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54976" w:rsidRDefault="00D54976" w14:paraId="72D687B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54976" w:rsidRDefault="00D54976" w14:paraId="32ECC59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54976" w:rsidRDefault="00D54976" w14:paraId="6D846C6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54976" w:rsidRDefault="00D54976" w14:paraId="64BDF17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54976" w:rsidRDefault="00D54976" w14:paraId="0CF2139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Pr="00BD41C3" w:rsidR="000362E7" w:rsidRDefault="000362E7" w14:paraId="697C20EB" w14:textId="65E493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BD41C3">
        <w:rPr>
          <w:b/>
          <w:color w:val="000000"/>
        </w:rPr>
        <w:t xml:space="preserve">6(e) </w:t>
      </w:r>
      <w:r w:rsidR="00BD41C3">
        <w:rPr>
          <w:b/>
          <w:color w:val="000000"/>
        </w:rPr>
        <w:tab/>
      </w:r>
      <w:r w:rsidRPr="00BD41C3">
        <w:rPr>
          <w:b/>
          <w:color w:val="000000"/>
        </w:rPr>
        <w:t>Bottom Line Burden Hours and Cost Tables</w:t>
      </w:r>
    </w:p>
    <w:p w:rsidRPr="00C208A1" w:rsidR="000362E7" w:rsidRDefault="000362E7" w14:paraId="5A07B98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C208A1" w:rsidR="000362E7" w:rsidRDefault="000362E7" w14:paraId="756547EE" w14:textId="40470A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3E0275">
        <w:rPr>
          <w:color w:val="000000"/>
        </w:rPr>
        <w:tab/>
      </w:r>
      <w:r w:rsidRPr="003E0275" w:rsidR="003E0275">
        <w:rPr>
          <w:i/>
          <w:color w:val="000000"/>
        </w:rPr>
        <w:t>6(e)</w:t>
      </w:r>
      <w:r w:rsidRPr="003E0275">
        <w:rPr>
          <w:i/>
          <w:color w:val="000000"/>
        </w:rPr>
        <w:t>(</w:t>
      </w:r>
      <w:proofErr w:type="spellStart"/>
      <w:r w:rsidRPr="00C208A1">
        <w:rPr>
          <w:i/>
          <w:color w:val="000000"/>
        </w:rPr>
        <w:t>i</w:t>
      </w:r>
      <w:proofErr w:type="spellEnd"/>
      <w:r w:rsidRPr="00C208A1">
        <w:rPr>
          <w:i/>
          <w:color w:val="000000"/>
        </w:rPr>
        <w:t>) Respondent Tally</w:t>
      </w:r>
      <w:r w:rsidRPr="00C208A1">
        <w:rPr>
          <w:color w:val="000000"/>
        </w:rPr>
        <w:t xml:space="preserve"> </w:t>
      </w:r>
    </w:p>
    <w:p w:rsidRPr="00C208A1" w:rsidR="00AC0E80" w:rsidP="00AC0E80" w:rsidRDefault="00AC0E80" w14:paraId="3C688AF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Pr="0065792C" w:rsidR="00AC0E80" w:rsidP="004155D9" w:rsidRDefault="00AC0E80" w14:paraId="11A8AFE1" w14:textId="4E2CA358">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5792C">
        <w:rPr>
          <w:color w:val="000000"/>
        </w:rPr>
        <w:t xml:space="preserve">Number of Respondents:  </w:t>
      </w:r>
      <w:r>
        <w:rPr>
          <w:color w:val="000000"/>
        </w:rPr>
        <w:t>27</w:t>
      </w:r>
      <w:r w:rsidRPr="0065792C">
        <w:rPr>
          <w:color w:val="000000"/>
        </w:rPr>
        <w:t>9</w:t>
      </w:r>
    </w:p>
    <w:p w:rsidRPr="0065792C" w:rsidR="00AC0E80" w:rsidP="004155D9" w:rsidRDefault="00AC0E80" w14:paraId="0F700569" w14:textId="330A89C1">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5792C">
        <w:rPr>
          <w:color w:val="000000"/>
        </w:rPr>
        <w:t>Total Hours per Year:</w:t>
      </w:r>
      <w:r w:rsidR="00653364">
        <w:rPr>
          <w:color w:val="000000"/>
        </w:rPr>
        <w:t xml:space="preserve"> </w:t>
      </w:r>
      <w:r w:rsidRPr="00024580" w:rsidR="00653364">
        <w:rPr>
          <w:color w:val="000000"/>
        </w:rPr>
        <w:t>24,214</w:t>
      </w:r>
      <w:r w:rsidRPr="0065792C">
        <w:rPr>
          <w:color w:val="000000"/>
        </w:rPr>
        <w:t xml:space="preserve">  </w:t>
      </w:r>
    </w:p>
    <w:p w:rsidRPr="0065792C" w:rsidR="00AC0E80" w:rsidP="004155D9" w:rsidRDefault="00AC0E80" w14:paraId="578C493C" w14:textId="43289BD2">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5792C">
        <w:rPr>
          <w:color w:val="000000"/>
        </w:rPr>
        <w:t>Total Labor Cost per Year:  $</w:t>
      </w:r>
      <w:r w:rsidR="00F46DE8">
        <w:rPr>
          <w:color w:val="000000"/>
        </w:rPr>
        <w:t>1,</w:t>
      </w:r>
      <w:r w:rsidR="00D34852">
        <w:rPr>
          <w:color w:val="000000"/>
        </w:rPr>
        <w:t>964,708</w:t>
      </w:r>
    </w:p>
    <w:p w:rsidRPr="0065792C" w:rsidR="00AC0E80" w:rsidP="004155D9" w:rsidRDefault="00AC0E80" w14:paraId="3BE27690" w14:textId="1292E287">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5792C">
        <w:rPr>
          <w:color w:val="000000"/>
        </w:rPr>
        <w:t xml:space="preserve">Total Capital Costs per Year:  </w:t>
      </w:r>
      <w:r w:rsidR="00685A39">
        <w:rPr>
          <w:color w:val="000000"/>
        </w:rPr>
        <w:t xml:space="preserve">      </w:t>
      </w:r>
      <w:r w:rsidRPr="0065792C">
        <w:rPr>
          <w:color w:val="000000"/>
        </w:rPr>
        <w:t>0</w:t>
      </w:r>
    </w:p>
    <w:p w:rsidRPr="0065792C" w:rsidR="00AC0E80" w:rsidP="004155D9" w:rsidRDefault="00AC0E80" w14:paraId="79EB3E23" w14:textId="6A0C16FF">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5792C">
        <w:rPr>
          <w:color w:val="000000"/>
        </w:rPr>
        <w:t xml:space="preserve">Total O&amp;M Costs per Year:  </w:t>
      </w:r>
      <w:r>
        <w:rPr>
          <w:color w:val="000000"/>
        </w:rPr>
        <w:t>$</w:t>
      </w:r>
      <w:r w:rsidR="00FD79FD">
        <w:rPr>
          <w:color w:val="000000"/>
        </w:rPr>
        <w:t>3,729,550</w:t>
      </w:r>
    </w:p>
    <w:p w:rsidRPr="0065792C" w:rsidR="00AC0E80" w:rsidP="004155D9" w:rsidRDefault="00AC0E80" w14:paraId="50BBBE06" w14:textId="513107BC">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5792C">
        <w:rPr>
          <w:color w:val="000000"/>
        </w:rPr>
        <w:t>Total Costs: $</w:t>
      </w:r>
      <w:r w:rsidR="00FD79FD">
        <w:rPr>
          <w:color w:val="000000"/>
        </w:rPr>
        <w:t>5</w:t>
      </w:r>
      <w:r w:rsidR="00971AE5">
        <w:rPr>
          <w:color w:val="000000"/>
        </w:rPr>
        <w:t>,694,258</w:t>
      </w:r>
    </w:p>
    <w:p w:rsidR="000362E7" w:rsidRDefault="000362E7" w14:paraId="40746AF2" w14:textId="31C391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72CC5" w:rsidRDefault="00472CC5" w14:paraId="36C370F2" w14:textId="02D0C0F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C208A1" w:rsidR="00472CC5" w:rsidRDefault="00472CC5" w14:paraId="1D86ACE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B635F" w:rsidRDefault="000362E7" w14:paraId="56ECDFC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p>
    <w:p w:rsidRPr="00C208A1" w:rsidR="000362E7" w:rsidRDefault="004B635F" w14:paraId="5851DA70" w14:textId="55AC71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3E0275">
        <w:rPr>
          <w:color w:val="000000"/>
        </w:rPr>
        <w:tab/>
      </w:r>
      <w:r w:rsidRPr="003E0275" w:rsidR="003E0275">
        <w:rPr>
          <w:i/>
          <w:color w:val="000000"/>
        </w:rPr>
        <w:t>6(e)</w:t>
      </w:r>
      <w:r w:rsidRPr="003E0275" w:rsidR="000362E7">
        <w:rPr>
          <w:i/>
          <w:color w:val="000000"/>
        </w:rPr>
        <w:t>(</w:t>
      </w:r>
      <w:r w:rsidRPr="00C208A1" w:rsidR="000362E7">
        <w:rPr>
          <w:i/>
          <w:color w:val="000000"/>
        </w:rPr>
        <w:t xml:space="preserve">ii) </w:t>
      </w:r>
      <w:r w:rsidR="00470997">
        <w:rPr>
          <w:i/>
          <w:color w:val="000000"/>
        </w:rPr>
        <w:t>Government Tally</w:t>
      </w:r>
    </w:p>
    <w:p w:rsidRPr="00C208A1" w:rsidR="000362E7" w:rsidRDefault="000362E7" w14:paraId="5735F24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Pr="0065792C" w:rsidR="0065792C" w:rsidP="004155D9" w:rsidRDefault="0065792C" w14:paraId="19886BE2" w14:textId="7353A7F1">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5792C">
        <w:rPr>
          <w:color w:val="000000"/>
        </w:rPr>
        <w:t xml:space="preserve">Number of Respondents:  </w:t>
      </w:r>
      <w:r w:rsidR="00971AE5">
        <w:rPr>
          <w:color w:val="000000"/>
        </w:rPr>
        <w:t>279</w:t>
      </w:r>
    </w:p>
    <w:p w:rsidRPr="007F70E3" w:rsidR="0065792C" w:rsidP="004155D9" w:rsidRDefault="0065792C" w14:paraId="219F8243" w14:textId="03804373">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F70E3">
        <w:rPr>
          <w:color w:val="000000"/>
        </w:rPr>
        <w:t xml:space="preserve">Total Hours per Year:  </w:t>
      </w:r>
      <w:r w:rsidRPr="007F70E3" w:rsidR="007F70E3">
        <w:rPr>
          <w:color w:val="000000"/>
        </w:rPr>
        <w:t>5,720</w:t>
      </w:r>
    </w:p>
    <w:p w:rsidRPr="007F70E3" w:rsidR="0065792C" w:rsidP="004155D9" w:rsidRDefault="0065792C" w14:paraId="7F5510EA" w14:textId="6DB396B0">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F70E3">
        <w:rPr>
          <w:color w:val="000000"/>
        </w:rPr>
        <w:t>Total Labor Cost per Year:  $</w:t>
      </w:r>
      <w:r w:rsidRPr="007F70E3" w:rsidR="007F70E3">
        <w:rPr>
          <w:color w:val="000000"/>
        </w:rPr>
        <w:t>285,823</w:t>
      </w:r>
    </w:p>
    <w:p w:rsidRPr="007F70E3" w:rsidR="0065792C" w:rsidP="004155D9" w:rsidRDefault="0065792C" w14:paraId="7D76D345" w14:textId="77777777">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F70E3">
        <w:rPr>
          <w:color w:val="000000"/>
        </w:rPr>
        <w:t>Total Capital Costs per Year:  0</w:t>
      </w:r>
    </w:p>
    <w:p w:rsidRPr="007F70E3" w:rsidR="0065792C" w:rsidP="004155D9" w:rsidRDefault="0065792C" w14:paraId="5293FE6B" w14:textId="5B8A3169">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F70E3">
        <w:rPr>
          <w:color w:val="000000"/>
        </w:rPr>
        <w:t xml:space="preserve">Total O&amp;M Costs per Year:  </w:t>
      </w:r>
      <w:r w:rsidRPr="007F70E3" w:rsidR="00FF08C8">
        <w:rPr>
          <w:color w:val="000000"/>
        </w:rPr>
        <w:t>$</w:t>
      </w:r>
      <w:r w:rsidRPr="007F70E3" w:rsidR="007F70E3">
        <w:rPr>
          <w:color w:val="000000"/>
        </w:rPr>
        <w:t>103,500</w:t>
      </w:r>
    </w:p>
    <w:p w:rsidRPr="007F70E3" w:rsidR="0065792C" w:rsidP="004155D9" w:rsidRDefault="0065792C" w14:paraId="12942E8F" w14:textId="1E0419FA">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F70E3">
        <w:rPr>
          <w:color w:val="000000"/>
        </w:rPr>
        <w:t>Total Costs:  $</w:t>
      </w:r>
      <w:r w:rsidRPr="007F70E3" w:rsidR="007F70E3">
        <w:rPr>
          <w:color w:val="000000"/>
        </w:rPr>
        <w:t>389,323</w:t>
      </w:r>
    </w:p>
    <w:p w:rsidR="0065792C" w:rsidRDefault="0065792C" w14:paraId="5A896DC4" w14:textId="4B9B14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FF08C8" w:rsidRDefault="00FF08C8" w14:paraId="1769157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C208A1" w:rsidR="0065792C" w:rsidRDefault="0065792C" w14:paraId="1D4055E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BD41C3" w:rsidR="000362E7" w:rsidRDefault="0098228E" w14:paraId="238BCD90" w14:textId="3BFA1B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sidRPr="00BD41C3" w:rsidR="000362E7">
        <w:rPr>
          <w:b/>
          <w:color w:val="000000"/>
        </w:rPr>
        <w:t xml:space="preserve">6(f) </w:t>
      </w:r>
      <w:r w:rsidR="00BD41C3">
        <w:rPr>
          <w:b/>
          <w:color w:val="000000"/>
        </w:rPr>
        <w:tab/>
      </w:r>
      <w:r w:rsidRPr="00BD41C3" w:rsidR="000362E7">
        <w:rPr>
          <w:b/>
          <w:color w:val="000000"/>
        </w:rPr>
        <w:t>Reasons for change in burden</w:t>
      </w:r>
    </w:p>
    <w:p w:rsidRPr="00F54191" w:rsidR="000362E7" w:rsidRDefault="000362E7" w14:paraId="4559DCB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F54191" w:rsidR="00412484" w:rsidP="00D41F56" w:rsidRDefault="003667FA" w14:paraId="7AF3C55B" w14:textId="2DB27A4C">
      <w:pPr>
        <w:ind w:firstLine="720"/>
      </w:pPr>
      <w:r w:rsidRPr="00F54191">
        <w:t>This is a new collection</w:t>
      </w:r>
      <w:r w:rsidRPr="00F54191" w:rsidR="00971AE5">
        <w:t xml:space="preserve"> related to a proposed rule</w:t>
      </w:r>
      <w:r w:rsidRPr="00F54191" w:rsidR="00E66EFD">
        <w:t>;</w:t>
      </w:r>
      <w:r w:rsidRPr="00F54191">
        <w:t xml:space="preserve"> therefore, there is a net increase of </w:t>
      </w:r>
      <w:r w:rsidR="00D96DD7">
        <w:t>24,214</w:t>
      </w:r>
      <w:r w:rsidRPr="00F54191">
        <w:t xml:space="preserve"> in burden due to government action.</w:t>
      </w:r>
    </w:p>
    <w:p w:rsidRPr="00F54191" w:rsidR="00447FAA" w:rsidP="0065792C" w:rsidRDefault="00447FAA" w14:paraId="5591E00D" w14:textId="53FFB1D9">
      <w:pPr>
        <w:ind w:firstLine="720"/>
      </w:pPr>
    </w:p>
    <w:p w:rsidR="00447FAA" w:rsidP="00447FAA" w:rsidRDefault="00447FAA" w14:paraId="584D2811" w14:textId="77777777">
      <w:pPr>
        <w:rPr>
          <w:color w:val="000000"/>
        </w:rPr>
      </w:pPr>
    </w:p>
    <w:p w:rsidRPr="005D7BF2" w:rsidR="00371184" w:rsidP="00D72137" w:rsidRDefault="00371184" w14:paraId="31056A52" w14:textId="059560F2">
      <w:pPr>
        <w:rPr>
          <w:color w:val="000000"/>
          <w:sz w:val="24"/>
          <w:szCs w:val="24"/>
        </w:rPr>
      </w:pPr>
    </w:p>
    <w:p w:rsidRPr="00BD41C3" w:rsidR="000362E7" w:rsidRDefault="0098228E" w14:paraId="7C3AAB2D" w14:textId="0509A02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ab/>
      </w:r>
      <w:r w:rsidR="00BD41C3">
        <w:rPr>
          <w:b/>
          <w:color w:val="000000"/>
        </w:rPr>
        <w:t>6(g)</w:t>
      </w:r>
      <w:r w:rsidR="00BD41C3">
        <w:rPr>
          <w:b/>
          <w:color w:val="000000"/>
        </w:rPr>
        <w:tab/>
      </w:r>
      <w:r w:rsidRPr="00BD41C3" w:rsidR="000362E7">
        <w:rPr>
          <w:b/>
          <w:color w:val="000000"/>
        </w:rPr>
        <w:t>Burden Statement</w:t>
      </w:r>
    </w:p>
    <w:p w:rsidRPr="00C208A1" w:rsidR="000362E7" w:rsidRDefault="000362E7" w14:paraId="71C5C63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A373AD" w:rsidR="00641DA6" w:rsidP="00641DA6" w:rsidRDefault="00641DA6" w14:paraId="223CC6AE" w14:textId="715DC431">
      <w:pPr>
        <w:ind w:firstLine="720"/>
      </w:pPr>
      <w:r w:rsidRPr="002D63DD">
        <w:rPr>
          <w:lang w:val="en-CA"/>
        </w:rPr>
        <w:fldChar w:fldCharType="begin"/>
      </w:r>
      <w:r w:rsidRPr="002D63DD">
        <w:rPr>
          <w:lang w:val="en-CA"/>
        </w:rPr>
        <w:instrText xml:space="preserve"> SEQ CHAPTER \h \r 1</w:instrText>
      </w:r>
      <w:r w:rsidRPr="002D63DD">
        <w:rPr>
          <w:lang w:val="en-CA"/>
        </w:rPr>
        <w:fldChar w:fldCharType="end"/>
      </w:r>
      <w:r w:rsidRPr="002D63DD">
        <w:t xml:space="preserve">The annual public reporting and recordkeeping burden for this collection is estimated to average </w:t>
      </w:r>
      <w:r w:rsidR="003667FA">
        <w:t>7</w:t>
      </w:r>
      <w:r w:rsidR="00355F44">
        <w:t>2</w:t>
      </w:r>
      <w:r w:rsidRPr="002D63DD">
        <w:t xml:space="preserve"> hours per respon</w:t>
      </w:r>
      <w:r w:rsidR="00E35CA3">
        <w:t>dent</w:t>
      </w:r>
      <w:r w:rsidRPr="002D63DD">
        <w:t>. Burden means the total time, effort, or financial resources</w:t>
      </w:r>
      <w:r w:rsidRPr="00A373AD">
        <w:t xml:space="preserve">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t>'</w:t>
      </w:r>
      <w:r w:rsidRPr="00A373AD">
        <w:t>s regulations are listed in 40 CFR pa</w:t>
      </w:r>
      <w:r>
        <w:t>rt 9 and 48 CFR chapter 15.</w:t>
      </w:r>
    </w:p>
    <w:p w:rsidRPr="00A373AD" w:rsidR="00641DA6" w:rsidP="00641DA6" w:rsidRDefault="00641DA6" w14:paraId="109ED25D" w14:textId="77777777"/>
    <w:p w:rsidRPr="005A49A7" w:rsidR="00641DA6" w:rsidP="00641DA6" w:rsidRDefault="00641DA6" w14:paraId="37F8E266" w14:textId="4A661E99">
      <w:pPr>
        <w:rPr>
          <w:bCs/>
        </w:rPr>
      </w:pPr>
      <w:r w:rsidRPr="00A373AD">
        <w:tab/>
        <w:t>To comment on the Agency</w:t>
      </w:r>
      <w:r>
        <w:t>'</w:t>
      </w:r>
      <w:r w:rsidRPr="00A373AD">
        <w:t xml:space="preserve">s need for this information, the accuracy of the provided burden estimates, and any suggested methods for minimizing respondent burden, including the use of automated collection techniques, EPA has established a public docket for this ICR under Docket ID No. </w:t>
      </w:r>
      <w:r w:rsidRPr="00C6698E" w:rsidR="00C27609">
        <w:rPr>
          <w:bCs/>
        </w:rPr>
        <w:t>EPA-HQ-OAR-2019-0055</w:t>
      </w:r>
      <w:r w:rsidRPr="0034466B">
        <w:rPr>
          <w:bCs/>
        </w:rPr>
        <w:t>,</w:t>
      </w:r>
      <w:r w:rsidRPr="00E42555">
        <w:rPr>
          <w:bCs/>
        </w:rPr>
        <w:t xml:space="preserve"> which is available for online viewing at www.regulations.gov, or in person viewing at the </w:t>
      </w:r>
      <w:r>
        <w:rPr>
          <w:bCs/>
        </w:rPr>
        <w:t>Air and Radiation Docket</w:t>
      </w:r>
      <w:r w:rsidRPr="00E42555">
        <w:rPr>
          <w:bCs/>
        </w:rPr>
        <w:t xml:space="preserve"> in the</w:t>
      </w:r>
      <w:r>
        <w:rPr>
          <w:bCs/>
        </w:rPr>
        <w:t xml:space="preserve"> EPA Docket Center (EPA/DC), WJC Federal Building West, Room 3334</w:t>
      </w:r>
      <w:r w:rsidRPr="00E42555">
        <w:rPr>
          <w:bCs/>
        </w:rPr>
        <w:t xml:space="preserve">, 1301 Constitution Avenue, NW, </w:t>
      </w:r>
      <w:r w:rsidRPr="00E42555">
        <w:rPr>
          <w:bCs/>
        </w:rPr>
        <w:lastRenderedPageBreak/>
        <w:t xml:space="preserve">Washington, D.C.  The EPA Docket Center Public Reading Room is open from 8:30 a.m. to 4:30 p.m., Monday through Friday, excluding legal holidays.  The telephone number for the Reading Room is (202) 566-1744, and the telephone number for the </w:t>
      </w:r>
      <w:r>
        <w:rPr>
          <w:bCs/>
        </w:rPr>
        <w:t>Air and Radiation Docket</w:t>
      </w:r>
      <w:r w:rsidRPr="00E42555">
        <w:rPr>
          <w:bCs/>
        </w:rPr>
        <w:t xml:space="preserve"> is (202) 566-</w:t>
      </w:r>
      <w:r>
        <w:rPr>
          <w:bCs/>
        </w:rPr>
        <w:t>1742</w:t>
      </w:r>
      <w:r w:rsidRPr="00E42555">
        <w:rPr>
          <w:bCs/>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A373AD">
        <w:t xml:space="preserve">Also, you can send comments to the Office of Information and Regulatory Affairs, Office of Management and Budget, 725 17th Street, NW, Washington, DC 20503, Attention: </w:t>
      </w:r>
      <w:r>
        <w:t xml:space="preserve"> </w:t>
      </w:r>
      <w:r w:rsidRPr="00A373AD">
        <w:t xml:space="preserve">Desk Office for EPA.  Please include the EPA Docket ID No. </w:t>
      </w:r>
      <w:r w:rsidRPr="00C6698E" w:rsidR="00C6698E">
        <w:rPr>
          <w:bCs/>
        </w:rPr>
        <w:t>EPA-HQ-OAR-2019-0055</w:t>
      </w:r>
      <w:r w:rsidR="00C6698E">
        <w:rPr>
          <w:bCs/>
        </w:rPr>
        <w:t xml:space="preserve"> </w:t>
      </w:r>
      <w:r w:rsidRPr="0034466B">
        <w:t>and OMB control number 2060-</w:t>
      </w:r>
      <w:r w:rsidR="00C6698E">
        <w:t>NEW</w:t>
      </w:r>
      <w:r w:rsidRPr="0034466B">
        <w:t xml:space="preserve"> in any correspondence.</w:t>
      </w:r>
    </w:p>
    <w:sectPr w:rsidRPr="005A49A7" w:rsidR="00641DA6" w:rsidSect="00E33B46">
      <w:headerReference w:type="even" r:id="rId20"/>
      <w:headerReference w:type="default" r:id="rId21"/>
      <w:footerReference w:type="even" r:id="rId22"/>
      <w:footerReference w:type="default" r:id="rId23"/>
      <w:endnotePr>
        <w:numFmt w:val="lowerLetter"/>
      </w:endnotePr>
      <w:pgSz w:w="12240" w:h="15840"/>
      <w:pgMar w:top="1440" w:right="1440" w:bottom="1440" w:left="1440" w:header="100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97C5" w14:textId="77777777" w:rsidR="00C6399F" w:rsidRDefault="00C6399F">
      <w:r>
        <w:separator/>
      </w:r>
    </w:p>
  </w:endnote>
  <w:endnote w:type="continuationSeparator" w:id="0">
    <w:p w14:paraId="2051AF6D" w14:textId="77777777" w:rsidR="00C6399F" w:rsidRDefault="00C6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KOF M+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style Std">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8657" w14:textId="03A0564A" w:rsidR="00B46F93" w:rsidRDefault="00B46F93" w:rsidP="00E361B6">
    <w:pPr>
      <w:pStyle w:val="Footer"/>
      <w:jc w:val="center"/>
    </w:pPr>
    <w:r>
      <w:rPr>
        <w:noProof/>
      </w:rPr>
      <mc:AlternateContent>
        <mc:Choice Requires="wps">
          <w:drawing>
            <wp:anchor distT="0" distB="0" distL="114300" distR="114300" simplePos="0" relativeHeight="251660288" behindDoc="0" locked="0" layoutInCell="1" allowOverlap="1" wp14:anchorId="391B07E9" wp14:editId="1C235F4F">
              <wp:simplePos x="0" y="0"/>
              <wp:positionH relativeFrom="column">
                <wp:posOffset>573708</wp:posOffset>
              </wp:positionH>
              <wp:positionV relativeFrom="paragraph">
                <wp:posOffset>-193370</wp:posOffset>
              </wp:positionV>
              <wp:extent cx="495631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563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0558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15.25pt" to="435.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" strokecolor="#4472c4 [3204]" strokeweight=".5pt">
              <v:stroke joinstyle="miter"/>
            </v:line>
          </w:pict>
        </mc:Fallback>
      </mc:AlternateContent>
    </w:r>
    <w:r>
      <w:t xml:space="preserve">Page </w:t>
    </w:r>
    <w:r>
      <w:fldChar w:fldCharType="begin"/>
    </w:r>
    <w:r>
      <w:instrText xml:space="preserve"> PAGE   \* MERGEFORMAT </w:instrText>
    </w:r>
    <w:r>
      <w:fldChar w:fldCharType="separate"/>
    </w:r>
    <w:r>
      <w:rPr>
        <w:noProof/>
      </w:rPr>
      <w:t>1</w:t>
    </w:r>
    <w:r>
      <w:rPr>
        <w:noProof/>
      </w:rPr>
      <w:fldChar w:fldCharType="end"/>
    </w:r>
  </w:p>
  <w:p w14:paraId="4EA89D47" w14:textId="07EC63A6" w:rsidR="00B46F93" w:rsidRDefault="00B46F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A337" w14:textId="77777777" w:rsidR="00B46F93" w:rsidRPr="0083071C" w:rsidRDefault="00B46F93" w:rsidP="00165457">
    <w:pPr>
      <w:pStyle w:val="Footer"/>
      <w:jc w:val="center"/>
      <w:rPr>
        <w:i/>
        <w:iCs/>
        <w:sz w:val="18"/>
        <w:szCs w:val="18"/>
      </w:rPr>
    </w:pPr>
    <w:r w:rsidRPr="0083071C">
      <w:rPr>
        <w:i/>
        <w:iCs/>
        <w:noProof/>
        <w:sz w:val="18"/>
        <w:szCs w:val="18"/>
      </w:rPr>
      <mc:AlternateContent>
        <mc:Choice Requires="wps">
          <w:drawing>
            <wp:anchor distT="0" distB="0" distL="114300" distR="114300" simplePos="0" relativeHeight="251664384" behindDoc="0" locked="0" layoutInCell="1" allowOverlap="1" wp14:anchorId="07EE2C5B" wp14:editId="57285B73">
              <wp:simplePos x="0" y="0"/>
              <wp:positionH relativeFrom="column">
                <wp:posOffset>573708</wp:posOffset>
              </wp:positionH>
              <wp:positionV relativeFrom="paragraph">
                <wp:posOffset>-193370</wp:posOffset>
              </wp:positionV>
              <wp:extent cx="495631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9563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E976A"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15.25pt" to="435.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" strokecolor="#4472c4 [3204]" strokeweight=".5pt">
              <v:stroke joinstyle="miter"/>
            </v:line>
          </w:pict>
        </mc:Fallback>
      </mc:AlternateContent>
    </w:r>
    <w:r w:rsidRPr="0083071C">
      <w:rPr>
        <w:i/>
        <w:iCs/>
        <w:sz w:val="18"/>
        <w:szCs w:val="18"/>
      </w:rPr>
      <w:t xml:space="preserve">Page </w:t>
    </w:r>
    <w:r w:rsidRPr="0083071C">
      <w:rPr>
        <w:i/>
        <w:iCs/>
        <w:sz w:val="18"/>
        <w:szCs w:val="18"/>
      </w:rPr>
      <w:fldChar w:fldCharType="begin"/>
    </w:r>
    <w:r w:rsidRPr="0083071C">
      <w:rPr>
        <w:i/>
        <w:iCs/>
        <w:sz w:val="18"/>
        <w:szCs w:val="18"/>
      </w:rPr>
      <w:instrText xml:space="preserve"> PAGE   \* MERGEFORMAT </w:instrText>
    </w:r>
    <w:r w:rsidRPr="0083071C">
      <w:rPr>
        <w:i/>
        <w:iCs/>
        <w:sz w:val="18"/>
        <w:szCs w:val="18"/>
      </w:rPr>
      <w:fldChar w:fldCharType="separate"/>
    </w:r>
    <w:r w:rsidRPr="0083071C">
      <w:rPr>
        <w:i/>
        <w:iCs/>
        <w:sz w:val="18"/>
        <w:szCs w:val="18"/>
      </w:rPr>
      <w:t>2</w:t>
    </w:r>
    <w:r w:rsidRPr="0083071C">
      <w:rPr>
        <w:i/>
        <w:iCs/>
        <w:noProof/>
        <w:sz w:val="18"/>
        <w:szCs w:val="18"/>
      </w:rPr>
      <w:fldChar w:fldCharType="end"/>
    </w:r>
  </w:p>
  <w:p w14:paraId="5C77CA9D" w14:textId="77777777" w:rsidR="00B46F93" w:rsidRDefault="00B46F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8565" w14:textId="77777777" w:rsidR="00C6399F" w:rsidRDefault="00C6399F">
      <w:r>
        <w:separator/>
      </w:r>
    </w:p>
  </w:footnote>
  <w:footnote w:type="continuationSeparator" w:id="0">
    <w:p w14:paraId="2D424F5F" w14:textId="77777777" w:rsidR="00C6399F" w:rsidRDefault="00C6399F">
      <w:r>
        <w:continuationSeparator/>
      </w:r>
    </w:p>
  </w:footnote>
  <w:footnote w:id="1">
    <w:p w14:paraId="23D71DD1" w14:textId="184D36D2" w:rsidR="00B46F93" w:rsidRPr="00260C1F" w:rsidRDefault="00B46F93">
      <w:pPr>
        <w:pStyle w:val="FootnoteText"/>
        <w:rPr>
          <w:sz w:val="16"/>
          <w:szCs w:val="16"/>
        </w:rPr>
      </w:pPr>
      <w:r w:rsidRPr="00260C1F">
        <w:rPr>
          <w:rStyle w:val="FootnoteReference"/>
          <w:sz w:val="16"/>
          <w:szCs w:val="16"/>
        </w:rPr>
        <w:footnoteRef/>
      </w:r>
      <w:r w:rsidRPr="00260C1F">
        <w:rPr>
          <w:sz w:val="16"/>
          <w:szCs w:val="16"/>
        </w:rPr>
        <w:t xml:space="preserve"> </w:t>
      </w:r>
      <w:r>
        <w:rPr>
          <w:sz w:val="16"/>
          <w:szCs w:val="16"/>
        </w:rPr>
        <w:t xml:space="preserve">The ANPR may be found at </w:t>
      </w:r>
      <w:hyperlink r:id="rId1" w:history="1">
        <w:r w:rsidRPr="005D59F1">
          <w:rPr>
            <w:rStyle w:val="Hyperlink"/>
            <w:sz w:val="16"/>
            <w:szCs w:val="16"/>
          </w:rPr>
          <w:t>https://www.govinfo.gov/content/pkg/FR-2020-01-21/pdf/2020-00542.pdf</w:t>
        </w:r>
      </w:hyperlink>
      <w:r w:rsidRPr="00260C1F">
        <w:rPr>
          <w:sz w:val="16"/>
          <w:szCs w:val="16"/>
        </w:rPr>
        <w:t xml:space="preserve"> </w:t>
      </w:r>
    </w:p>
  </w:footnote>
  <w:footnote w:id="2">
    <w:p w14:paraId="061A0CA9" w14:textId="6F7F3167" w:rsidR="00B46F93" w:rsidRPr="002F0C59" w:rsidRDefault="00B46F93" w:rsidP="00BD3E64">
      <w:pPr>
        <w:pStyle w:val="FootnoteText"/>
        <w:rPr>
          <w:sz w:val="16"/>
          <w:szCs w:val="16"/>
        </w:rPr>
      </w:pPr>
      <w:r w:rsidRPr="00260C1F">
        <w:rPr>
          <w:rStyle w:val="FootnoteReference"/>
          <w:sz w:val="16"/>
          <w:szCs w:val="16"/>
        </w:rPr>
        <w:footnoteRef/>
      </w:r>
      <w:r w:rsidRPr="00260C1F">
        <w:rPr>
          <w:sz w:val="16"/>
          <w:szCs w:val="16"/>
        </w:rPr>
        <w:t xml:space="preserve"> Executive Order on Strengthening American Leadership in Clean Cars and Trucks. 86 FR 43583</w:t>
      </w:r>
      <w:r w:rsidRPr="002F0C59">
        <w:rPr>
          <w:sz w:val="16"/>
          <w:szCs w:val="16"/>
        </w:rPr>
        <w:t>, August 10, 2021.</w:t>
      </w:r>
    </w:p>
  </w:footnote>
  <w:footnote w:id="3">
    <w:p w14:paraId="0EE59BBF" w14:textId="47015439" w:rsidR="00B46F93" w:rsidRPr="006E7535" w:rsidRDefault="00B46F93">
      <w:pPr>
        <w:pStyle w:val="FootnoteText"/>
        <w:rPr>
          <w:sz w:val="16"/>
          <w:szCs w:val="16"/>
        </w:rPr>
      </w:pPr>
      <w:r>
        <w:rPr>
          <w:rStyle w:val="FootnoteReference"/>
        </w:rPr>
        <w:footnoteRef/>
      </w:r>
      <w:r>
        <w:t xml:space="preserve"> </w:t>
      </w:r>
      <w:r w:rsidRPr="006E7535">
        <w:rPr>
          <w:sz w:val="16"/>
          <w:szCs w:val="16"/>
        </w:rPr>
        <w:t xml:space="preserve">Code of Federal Regulations, </w:t>
      </w:r>
      <w:hyperlink r:id="rId2" w:history="1">
        <w:r w:rsidRPr="006E7535">
          <w:rPr>
            <w:rStyle w:val="Hyperlink"/>
            <w:sz w:val="16"/>
            <w:szCs w:val="16"/>
          </w:rPr>
          <w:t>https://www.ecfr.gov/</w:t>
        </w:r>
      </w:hyperlink>
      <w:r w:rsidRPr="006E7535">
        <w:rPr>
          <w:sz w:val="16"/>
          <w:szCs w:val="16"/>
        </w:rPr>
        <w:t>. EPA emissions regulations are found in Title 40.</w:t>
      </w:r>
    </w:p>
  </w:footnote>
  <w:footnote w:id="4">
    <w:p w14:paraId="1AE3976C" w14:textId="0B967BB4" w:rsidR="00B46F93" w:rsidRPr="00294CEB" w:rsidRDefault="00B46F93">
      <w:pPr>
        <w:pStyle w:val="FootnoteText"/>
        <w:rPr>
          <w:sz w:val="16"/>
          <w:szCs w:val="16"/>
        </w:rPr>
      </w:pPr>
      <w:r>
        <w:rPr>
          <w:rStyle w:val="FootnoteReference"/>
        </w:rPr>
        <w:footnoteRef/>
      </w:r>
      <w:r>
        <w:t xml:space="preserve"> </w:t>
      </w:r>
      <w:r w:rsidRPr="00294CEB">
        <w:rPr>
          <w:sz w:val="16"/>
          <w:szCs w:val="16"/>
        </w:rPr>
        <w:t>NAICS Association. NAICS &amp; SIC Identification Tools. Available online: https://www.naics.com/search</w:t>
      </w:r>
    </w:p>
  </w:footnote>
  <w:footnote w:id="5">
    <w:p w14:paraId="0B782369" w14:textId="715E2D0B" w:rsidR="00B46F93" w:rsidRDefault="00B46F93">
      <w:pPr>
        <w:pStyle w:val="FootnoteText"/>
      </w:pPr>
      <w:r w:rsidRPr="00DA3CC7">
        <w:rPr>
          <w:rStyle w:val="FootnoteReference"/>
          <w:sz w:val="16"/>
          <w:szCs w:val="16"/>
        </w:rPr>
        <w:footnoteRef/>
      </w:r>
      <w:r w:rsidRPr="00DA3CC7">
        <w:rPr>
          <w:sz w:val="16"/>
          <w:szCs w:val="16"/>
        </w:rPr>
        <w:t>U.S. EPA. "Guidance on Deterioration Factor Validation Methods for Heavy-Duty Diesel Highway Engines and Nonroad Diesel Engines equipped with SCR." CD-2020-19 (HD Highway and Nonroad). November 17, 2020.</w:t>
      </w:r>
    </w:p>
  </w:footnote>
  <w:footnote w:id="6">
    <w:p w14:paraId="538A100A" w14:textId="06650933" w:rsidR="00B46F93" w:rsidRPr="00FC2DBF" w:rsidRDefault="00B46F93" w:rsidP="00FC2DBF">
      <w:pPr>
        <w:pStyle w:val="FootnoteText"/>
        <w:rPr>
          <w:sz w:val="16"/>
          <w:szCs w:val="16"/>
        </w:rPr>
      </w:pPr>
      <w:r w:rsidRPr="00B14B8F">
        <w:rPr>
          <w:rStyle w:val="FootnoteReference"/>
          <w:sz w:val="16"/>
          <w:szCs w:val="16"/>
        </w:rPr>
        <w:footnoteRef/>
      </w:r>
      <w:r w:rsidRPr="00B14B8F">
        <w:rPr>
          <w:rStyle w:val="FootnoteReference"/>
          <w:sz w:val="16"/>
          <w:szCs w:val="16"/>
        </w:rPr>
        <w:t xml:space="preserve"> </w:t>
      </w:r>
      <w:r w:rsidRPr="00FC2DBF">
        <w:rPr>
          <w:sz w:val="16"/>
          <w:szCs w:val="16"/>
        </w:rPr>
        <w:t>California Air Resources Board, “</w:t>
      </w:r>
      <w:r>
        <w:rPr>
          <w:sz w:val="16"/>
          <w:szCs w:val="16"/>
        </w:rPr>
        <w:t xml:space="preserve">Methods to Validate On-Road Heavy-Duty Diesel and Offroad Diesel Engine Deterioration Factors for CARB Approval,” </w:t>
      </w:r>
      <w:r w:rsidRPr="00FC2DBF">
        <w:rPr>
          <w:sz w:val="16"/>
          <w:szCs w:val="16"/>
        </w:rPr>
        <w:t>ECC 2020-07</w:t>
      </w:r>
      <w:r>
        <w:rPr>
          <w:sz w:val="16"/>
          <w:szCs w:val="16"/>
        </w:rPr>
        <w:t>, November 24, 2020</w:t>
      </w:r>
    </w:p>
  </w:footnote>
  <w:footnote w:id="7">
    <w:p w14:paraId="5620CD02" w14:textId="77777777" w:rsidR="00B46F93" w:rsidRPr="00F65BB7" w:rsidRDefault="00B46F93" w:rsidP="002424D5">
      <w:pPr>
        <w:pStyle w:val="FootnoteText"/>
        <w:rPr>
          <w:sz w:val="16"/>
          <w:szCs w:val="16"/>
        </w:rPr>
      </w:pPr>
      <w:r w:rsidRPr="00F65BB7">
        <w:rPr>
          <w:rStyle w:val="FootnoteReference"/>
          <w:sz w:val="16"/>
          <w:szCs w:val="16"/>
        </w:rPr>
        <w:footnoteRef/>
      </w:r>
      <w:r w:rsidRPr="00F65BB7">
        <w:rPr>
          <w:sz w:val="16"/>
          <w:szCs w:val="16"/>
        </w:rPr>
        <w:t xml:space="preserve"> “Derived 5-cycle Coefficients for 2017 and Later Model Years”, EPA Guidance Document CD-15-15, June 22, 2015.</w:t>
      </w:r>
    </w:p>
  </w:footnote>
  <w:footnote w:id="8">
    <w:p w14:paraId="5F0C7FD4" w14:textId="768832AF" w:rsidR="00B46F93" w:rsidRDefault="00B46F93">
      <w:pPr>
        <w:pStyle w:val="FootnoteText"/>
      </w:pPr>
      <w:r w:rsidRPr="00F65BB7">
        <w:rPr>
          <w:rStyle w:val="FootnoteReference"/>
          <w:sz w:val="16"/>
          <w:szCs w:val="16"/>
        </w:rPr>
        <w:footnoteRef/>
      </w:r>
      <w:r w:rsidRPr="00F65BB7">
        <w:rPr>
          <w:sz w:val="16"/>
          <w:szCs w:val="16"/>
        </w:rPr>
        <w:t xml:space="preserve"> US EPA, “Non-Road Compression Ignited Engines: Guidance on Reporting Maximum Allowable Off Cycle Emissions,” CCD-04-12 (HD), June 15, 2004</w:t>
      </w:r>
    </w:p>
  </w:footnote>
  <w:footnote w:id="9">
    <w:p w14:paraId="2778D1E0" w14:textId="2FE3A85D" w:rsidR="00B46F93" w:rsidRPr="00776083" w:rsidRDefault="00B46F93">
      <w:pPr>
        <w:pStyle w:val="FootnoteText"/>
        <w:rPr>
          <w:sz w:val="16"/>
          <w:szCs w:val="16"/>
        </w:rPr>
      </w:pPr>
      <w:r w:rsidRPr="00776083">
        <w:rPr>
          <w:rStyle w:val="FootnoteReference"/>
          <w:sz w:val="16"/>
          <w:szCs w:val="16"/>
        </w:rPr>
        <w:footnoteRef/>
      </w:r>
      <w:r w:rsidRPr="00776083">
        <w:rPr>
          <w:sz w:val="16"/>
          <w:szCs w:val="16"/>
        </w:rPr>
        <w:t xml:space="preserve"> Estimate was developed for ICR 1684.20 and adjusted for inflation.</w:t>
      </w:r>
    </w:p>
  </w:footnote>
  <w:footnote w:id="10">
    <w:p w14:paraId="36D200FD" w14:textId="44268098" w:rsidR="00B46F93" w:rsidRDefault="00B46F93" w:rsidP="00776083">
      <w:pPr>
        <w:pStyle w:val="FootnoteText"/>
      </w:pPr>
      <w:r w:rsidRPr="00776083">
        <w:rPr>
          <w:rStyle w:val="FootnoteReference"/>
          <w:sz w:val="16"/>
          <w:szCs w:val="16"/>
        </w:rPr>
        <w:footnoteRef/>
      </w:r>
      <w:r w:rsidRPr="00776083">
        <w:rPr>
          <w:sz w:val="16"/>
          <w:szCs w:val="16"/>
        </w:rPr>
        <w:t xml:space="preserve"> U.S. EPA. "Guidance on Deterioration Factor Validation Methods for Heavy-Duty Diesel Highway Engines and Nonroad Diesel Engines equipped</w:t>
      </w:r>
      <w:r w:rsidRPr="00DA3CC7">
        <w:rPr>
          <w:sz w:val="16"/>
          <w:szCs w:val="16"/>
        </w:rPr>
        <w:t xml:space="preserve"> with SCR." CD-2020-19 (HD Highway and Nonroad). November 17, 2020</w:t>
      </w:r>
      <w:r>
        <w:rPr>
          <w:sz w:val="16"/>
          <w:szCs w:val="16"/>
        </w:rPr>
        <w:t xml:space="preserve">; and </w:t>
      </w:r>
      <w:r w:rsidRPr="00FC2DBF">
        <w:rPr>
          <w:sz w:val="16"/>
          <w:szCs w:val="16"/>
        </w:rPr>
        <w:t>California Air Resources Board, “</w:t>
      </w:r>
      <w:r>
        <w:rPr>
          <w:sz w:val="16"/>
          <w:szCs w:val="16"/>
        </w:rPr>
        <w:t xml:space="preserve">Methods to Validate On-Road Heavy-Duty Diesel and Offroad Diesel Engine Deterioration Factors for CARB Approval,” </w:t>
      </w:r>
      <w:r w:rsidRPr="00FC2DBF">
        <w:rPr>
          <w:sz w:val="16"/>
          <w:szCs w:val="16"/>
        </w:rPr>
        <w:t>ECC 2020-07</w:t>
      </w:r>
      <w:r>
        <w:rPr>
          <w:sz w:val="16"/>
          <w:szCs w:val="16"/>
        </w:rPr>
        <w:t>, November 24, 2020</w:t>
      </w:r>
    </w:p>
  </w:footnote>
  <w:footnote w:id="11">
    <w:p w14:paraId="456866AE" w14:textId="0ADB3C12" w:rsidR="00B46F93" w:rsidRPr="00D54976" w:rsidRDefault="00B46F93">
      <w:pPr>
        <w:pStyle w:val="FootnoteText"/>
        <w:rPr>
          <w:sz w:val="16"/>
          <w:szCs w:val="16"/>
        </w:rPr>
      </w:pPr>
      <w:r w:rsidRPr="00D54976">
        <w:rPr>
          <w:rStyle w:val="FootnoteReference"/>
          <w:sz w:val="16"/>
          <w:szCs w:val="16"/>
        </w:rPr>
        <w:footnoteRef/>
      </w:r>
      <w:r w:rsidRPr="00D54976">
        <w:rPr>
          <w:sz w:val="16"/>
          <w:szCs w:val="16"/>
        </w:rPr>
        <w:t xml:space="preserve"> Respondents across industries that may need to perform minor (from a burden perspective) activities such as update formulas used in their calculations or request testing variances, as outlined in Section 4(b)(</w:t>
      </w:r>
      <w:r w:rsidRPr="00D54976">
        <w:rPr>
          <w:sz w:val="16"/>
          <w:szCs w:val="16"/>
        </w:rPr>
        <w: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9549" w14:textId="67661084" w:rsidR="00B46F93" w:rsidRPr="002E0920" w:rsidRDefault="00B46F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5194851F" wp14:editId="002864E7">
              <wp:simplePos x="0" y="0"/>
              <wp:positionH relativeFrom="column">
                <wp:posOffset>-172830</wp:posOffset>
              </wp:positionH>
              <wp:positionV relativeFrom="paragraph">
                <wp:posOffset>182881</wp:posOffset>
              </wp:positionV>
              <wp:extent cx="638754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875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BEF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4.4pt" to="489.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" strokecolor="#4472c4 [3204]" strokeweight=".5pt">
              <v:stroke joinstyle="miter"/>
            </v:line>
          </w:pict>
        </mc:Fallback>
      </mc:AlternateContent>
    </w:r>
    <w:r w:rsidRPr="002E0920">
      <w:rPr>
        <w:color w:val="2F5496" w:themeColor="accent1" w:themeShade="BF"/>
      </w:rPr>
      <w:t>HD2027 Proposed Rule</w:t>
    </w:r>
    <w:r w:rsidRPr="002E0920">
      <w:rPr>
        <w:color w:val="2F5496" w:themeColor="accent1" w:themeShade="BF"/>
      </w:rPr>
      <w:ptab w:relativeTo="margin" w:alignment="center" w:leader="none"/>
    </w:r>
    <w:r w:rsidRPr="002E0920">
      <w:rPr>
        <w:color w:val="2F5496" w:themeColor="accent1" w:themeShade="BF"/>
      </w:rPr>
      <w:t>-ICR DRAFT-</w:t>
    </w:r>
    <w:r w:rsidRPr="002E0920">
      <w:rPr>
        <w:color w:val="2F5496" w:themeColor="accent1" w:themeShade="BF"/>
      </w:rPr>
      <w:ptab w:relativeTo="margin" w:alignment="right" w:leader="none"/>
    </w:r>
    <w:r w:rsidRPr="002E0920">
      <w:rPr>
        <w:color w:val="2F5496" w:themeColor="accent1" w:themeShade="BF"/>
      </w:rPr>
      <w:t>US EPA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13E8" w14:textId="08FED308" w:rsidR="00B46F93" w:rsidRPr="00301628" w:rsidRDefault="00B46F93" w:rsidP="00A90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2F5496" w:themeColor="accent1" w:themeShade="BF"/>
        <w:sz w:val="16"/>
        <w:szCs w:val="16"/>
      </w:rPr>
    </w:pPr>
    <w:r w:rsidRPr="00301628">
      <w:rPr>
        <w:i/>
        <w:iCs/>
        <w:color w:val="2F5496" w:themeColor="accent1" w:themeShade="BF"/>
        <w:sz w:val="16"/>
        <w:szCs w:val="16"/>
      </w:rPr>
      <w:t>Information Collection Request</w:t>
    </w:r>
    <w:r w:rsidRPr="00301628">
      <w:rPr>
        <w:i/>
        <w:iCs/>
        <w:noProof/>
        <w:color w:val="2F5496" w:themeColor="accent1" w:themeShade="BF"/>
        <w:sz w:val="16"/>
        <w:szCs w:val="16"/>
      </w:rPr>
      <w:t xml:space="preserve"> </w:t>
    </w:r>
    <w:r w:rsidRPr="00301628">
      <w:rPr>
        <w:i/>
        <w:iCs/>
        <w:noProof/>
        <w:color w:val="2F5496" w:themeColor="accent1" w:themeShade="BF"/>
        <w:sz w:val="16"/>
        <w:szCs w:val="16"/>
      </w:rPr>
      <mc:AlternateContent>
        <mc:Choice Requires="wps">
          <w:drawing>
            <wp:anchor distT="0" distB="0" distL="114300" distR="114300" simplePos="0" relativeHeight="251662336" behindDoc="0" locked="0" layoutInCell="1" allowOverlap="1" wp14:anchorId="10DD8366" wp14:editId="1D06AAE9">
              <wp:simplePos x="0" y="0"/>
              <wp:positionH relativeFrom="column">
                <wp:posOffset>-172830</wp:posOffset>
              </wp:positionH>
              <wp:positionV relativeFrom="paragraph">
                <wp:posOffset>182881</wp:posOffset>
              </wp:positionV>
              <wp:extent cx="638754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3875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91E1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4.4pt" to="489.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" strokecolor="#4472c4 [3204]" strokeweight=".5pt">
              <v:stroke joinstyle="miter"/>
            </v:line>
          </w:pict>
        </mc:Fallback>
      </mc:AlternateContent>
    </w:r>
    <w:r w:rsidRPr="00301628">
      <w:rPr>
        <w:i/>
        <w:iCs/>
        <w:noProof/>
        <w:color w:val="2F5496" w:themeColor="accent1" w:themeShade="BF"/>
        <w:sz w:val="16"/>
        <w:szCs w:val="16"/>
      </w:rPr>
      <w:tab/>
    </w:r>
    <w:r w:rsidRPr="00301628">
      <w:rPr>
        <w:i/>
        <w:iCs/>
        <w:noProof/>
        <w:color w:val="2F5496" w:themeColor="accent1" w:themeShade="BF"/>
        <w:sz w:val="16"/>
        <w:szCs w:val="16"/>
      </w:rPr>
      <w:tab/>
    </w:r>
    <w:r w:rsidRPr="00301628">
      <w:rPr>
        <w:i/>
        <w:iCs/>
        <w:noProof/>
        <w:color w:val="2F5496" w:themeColor="accent1" w:themeShade="BF"/>
        <w:sz w:val="16"/>
        <w:szCs w:val="16"/>
      </w:rPr>
      <w:tab/>
    </w:r>
    <w:r>
      <w:rPr>
        <w:i/>
        <w:iCs/>
        <w:noProof/>
        <w:color w:val="2F5496" w:themeColor="accent1" w:themeShade="BF"/>
        <w:sz w:val="16"/>
        <w:szCs w:val="16"/>
      </w:rPr>
      <w:t xml:space="preserve">                        </w:t>
    </w:r>
    <w:r w:rsidRPr="00301628">
      <w:rPr>
        <w:i/>
        <w:iCs/>
        <w:noProof/>
        <w:color w:val="2F5496" w:themeColor="accent1" w:themeShade="BF"/>
        <w:sz w:val="16"/>
        <w:szCs w:val="16"/>
      </w:rPr>
      <w:t>US EPA</w:t>
    </w:r>
    <w:r w:rsidRPr="00301628">
      <w:rPr>
        <w:i/>
        <w:iCs/>
        <w:noProof/>
        <w:color w:val="2F5496" w:themeColor="accent1" w:themeShade="BF"/>
        <w:sz w:val="16"/>
        <w:szCs w:val="16"/>
      </w:rPr>
      <w:tab/>
    </w:r>
    <w:r w:rsidRPr="00301628">
      <w:rPr>
        <w:i/>
        <w:iCs/>
        <w:noProof/>
        <w:color w:val="2F5496" w:themeColor="accent1" w:themeShade="BF"/>
        <w:sz w:val="16"/>
        <w:szCs w:val="16"/>
      </w:rPr>
      <w:tab/>
    </w:r>
    <w:r>
      <w:rPr>
        <w:i/>
        <w:iCs/>
        <w:noProof/>
        <w:color w:val="2F5496" w:themeColor="accent1" w:themeShade="BF"/>
        <w:sz w:val="16"/>
        <w:szCs w:val="16"/>
      </w:rPr>
      <w:t xml:space="preserve">                  </w:t>
    </w:r>
    <w:r w:rsidRPr="00301628">
      <w:rPr>
        <w:i/>
        <w:iCs/>
        <w:noProof/>
        <w:color w:val="2F5496" w:themeColor="accent1" w:themeShade="BF"/>
        <w:sz w:val="16"/>
        <w:szCs w:val="16"/>
      </w:rPr>
      <w:t xml:space="preserve"> </w:t>
    </w:r>
    <w:r>
      <w:rPr>
        <w:i/>
        <w:iCs/>
        <w:noProof/>
        <w:color w:val="2F5496" w:themeColor="accent1" w:themeShade="BF"/>
        <w:sz w:val="16"/>
        <w:szCs w:val="16"/>
      </w:rPr>
      <w:t xml:space="preserve">            </w:t>
    </w:r>
    <w:r w:rsidRPr="00301628">
      <w:rPr>
        <w:i/>
        <w:iCs/>
        <w:noProof/>
        <w:color w:val="2F5496" w:themeColor="accent1" w:themeShade="BF"/>
        <w:sz w:val="16"/>
        <w:szCs w:val="16"/>
      </w:rPr>
      <w:t xml:space="preserve"> </w:t>
    </w:r>
    <w:r w:rsidRPr="00301628">
      <w:rPr>
        <w:i/>
        <w:iCs/>
        <w:color w:val="2F5496" w:themeColor="accent1" w:themeShade="BF"/>
        <w:sz w:val="16"/>
        <w:szCs w:val="16"/>
      </w:rPr>
      <w:t>HD2027 Proposed Rule</w:t>
    </w:r>
    <w:r w:rsidRPr="00301628">
      <w:rPr>
        <w:i/>
        <w:iCs/>
        <w:color w:val="2F5496" w:themeColor="accent1" w:themeShade="BF"/>
        <w:sz w:val="16"/>
        <w:szCs w:val="16"/>
      </w:rPr>
      <w:ptab w:relativeTo="margin" w:alignment="right" w:leader="none"/>
    </w:r>
  </w:p>
  <w:p w14:paraId="57589FEA" w14:textId="77777777" w:rsidR="00B46F93" w:rsidRDefault="00B46F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42A"/>
    <w:multiLevelType w:val="hybridMultilevel"/>
    <w:tmpl w:val="633A4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D51FA"/>
    <w:multiLevelType w:val="hybridMultilevel"/>
    <w:tmpl w:val="66F8A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E51EA"/>
    <w:multiLevelType w:val="hybridMultilevel"/>
    <w:tmpl w:val="A7E800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31201C4"/>
    <w:multiLevelType w:val="hybridMultilevel"/>
    <w:tmpl w:val="82626A7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4" w15:restartNumberingAfterBreak="0">
    <w:nsid w:val="04ED3A40"/>
    <w:multiLevelType w:val="hybridMultilevel"/>
    <w:tmpl w:val="CFB84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A6487"/>
    <w:multiLevelType w:val="hybridMultilevel"/>
    <w:tmpl w:val="D9368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8228B6"/>
    <w:multiLevelType w:val="hybridMultilevel"/>
    <w:tmpl w:val="0FA448BA"/>
    <w:lvl w:ilvl="0" w:tplc="5B728F12">
      <w:start w:val="1"/>
      <w:numFmt w:val="decimal"/>
      <w:pStyle w:val="NumberLis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DE7790A"/>
    <w:multiLevelType w:val="hybridMultilevel"/>
    <w:tmpl w:val="A8241E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C07B3"/>
    <w:multiLevelType w:val="hybridMultilevel"/>
    <w:tmpl w:val="454A7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0094D"/>
    <w:multiLevelType w:val="hybridMultilevel"/>
    <w:tmpl w:val="42A068B6"/>
    <w:lvl w:ilvl="0" w:tplc="04090001">
      <w:start w:val="1"/>
      <w:numFmt w:val="bullet"/>
      <w:lvlText w:val=""/>
      <w:lvlJc w:val="left"/>
      <w:pPr>
        <w:ind w:left="1443" w:hanging="360"/>
      </w:pPr>
      <w:rPr>
        <w:rFonts w:ascii="Symbol" w:hAnsi="Symbol" w:hint="default"/>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2AC86AD7"/>
    <w:multiLevelType w:val="hybridMultilevel"/>
    <w:tmpl w:val="0FEC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C394E"/>
    <w:multiLevelType w:val="hybridMultilevel"/>
    <w:tmpl w:val="547EB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FF7D63"/>
    <w:multiLevelType w:val="hybridMultilevel"/>
    <w:tmpl w:val="0BB68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0E31C8"/>
    <w:multiLevelType w:val="hybridMultilevel"/>
    <w:tmpl w:val="991E99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4324FE"/>
    <w:multiLevelType w:val="hybridMultilevel"/>
    <w:tmpl w:val="411A0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610E6"/>
    <w:multiLevelType w:val="hybridMultilevel"/>
    <w:tmpl w:val="F926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0558D"/>
    <w:multiLevelType w:val="hybridMultilevel"/>
    <w:tmpl w:val="A4721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1D5127"/>
    <w:multiLevelType w:val="multilevel"/>
    <w:tmpl w:val="0D861E4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8" w15:restartNumberingAfterBreak="0">
    <w:nsid w:val="5EAB10E6"/>
    <w:multiLevelType w:val="hybridMultilevel"/>
    <w:tmpl w:val="8D72C7AE"/>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9" w15:restartNumberingAfterBreak="0">
    <w:nsid w:val="61525B38"/>
    <w:multiLevelType w:val="hybridMultilevel"/>
    <w:tmpl w:val="3A4CE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ED15A1"/>
    <w:multiLevelType w:val="hybridMultilevel"/>
    <w:tmpl w:val="0C487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617D2E"/>
    <w:multiLevelType w:val="hybridMultilevel"/>
    <w:tmpl w:val="37A42044"/>
    <w:lvl w:ilvl="0" w:tplc="0542FAE6">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D04259"/>
    <w:multiLevelType w:val="hybridMultilevel"/>
    <w:tmpl w:val="3204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7483F"/>
    <w:multiLevelType w:val="hybridMultilevel"/>
    <w:tmpl w:val="DD163D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450C82"/>
    <w:multiLevelType w:val="hybridMultilevel"/>
    <w:tmpl w:val="2BFA7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97734"/>
    <w:multiLevelType w:val="hybridMultilevel"/>
    <w:tmpl w:val="999A3C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4E1958"/>
    <w:multiLevelType w:val="multilevel"/>
    <w:tmpl w:val="E3EC558E"/>
    <w:lvl w:ilvl="0">
      <w:start w:val="5"/>
      <w:numFmt w:val="upperRoman"/>
      <w:pStyle w:val="Heading1"/>
      <w:suff w:val="space"/>
      <w:lvlText w:val="%1. "/>
      <w:lvlJc w:val="left"/>
      <w:pPr>
        <w:ind w:left="360" w:hanging="360"/>
      </w:pPr>
      <w:rPr>
        <w:rFonts w:hint="default"/>
      </w:rPr>
    </w:lvl>
    <w:lvl w:ilvl="1">
      <w:start w:val="1"/>
      <w:numFmt w:val="upperLetter"/>
      <w:pStyle w:val="Heading2"/>
      <w:suff w:val="space"/>
      <w:lvlText w:val="%2. "/>
      <w:lvlJc w:val="left"/>
      <w:pPr>
        <w:ind w:left="432" w:hanging="432"/>
      </w:pPr>
      <w:rPr>
        <w:rFonts w:hint="default"/>
      </w:rPr>
    </w:lvl>
    <w:lvl w:ilvl="2">
      <w:start w:val="1"/>
      <w:numFmt w:val="decimal"/>
      <w:pStyle w:val="Heading3"/>
      <w:suff w:val="space"/>
      <w:lvlText w:val="(%3) "/>
      <w:lvlJc w:val="left"/>
      <w:pPr>
        <w:ind w:left="1044" w:hanging="504"/>
      </w:pPr>
      <w:rPr>
        <w:rFonts w:hint="default"/>
        <w:sz w:val="24"/>
        <w:szCs w:val="24"/>
      </w:rPr>
    </w:lvl>
    <w:lvl w:ilvl="3">
      <w:start w:val="1"/>
      <w:numFmt w:val="lowerLetter"/>
      <w:pStyle w:val="Heading4"/>
      <w:suff w:val="space"/>
      <w:lvlText w:val="(%4)"/>
      <w:lvlJc w:val="left"/>
      <w:pPr>
        <w:ind w:left="2412" w:hanging="432"/>
      </w:pPr>
      <w:rPr>
        <w:rFonts w:hint="default"/>
      </w:rPr>
    </w:lvl>
    <w:lvl w:ilvl="4">
      <w:start w:val="1"/>
      <w:numFmt w:val="lowerRoman"/>
      <w:pStyle w:val="Heading5"/>
      <w:suff w:val="space"/>
      <w:lvlText w:val="(%5)"/>
      <w:lvlJc w:val="left"/>
      <w:pPr>
        <w:ind w:left="288" w:hanging="2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26"/>
  </w:num>
  <w:num w:numId="3">
    <w:abstractNumId w:val="4"/>
  </w:num>
  <w:num w:numId="4">
    <w:abstractNumId w:val="19"/>
  </w:num>
  <w:num w:numId="5">
    <w:abstractNumId w:val="2"/>
  </w:num>
  <w:num w:numId="6">
    <w:abstractNumId w:val="13"/>
  </w:num>
  <w:num w:numId="7">
    <w:abstractNumId w:val="8"/>
  </w:num>
  <w:num w:numId="8">
    <w:abstractNumId w:val="23"/>
  </w:num>
  <w:num w:numId="9">
    <w:abstractNumId w:val="14"/>
  </w:num>
  <w:num w:numId="10">
    <w:abstractNumId w:val="11"/>
  </w:num>
  <w:num w:numId="11">
    <w:abstractNumId w:val="3"/>
  </w:num>
  <w:num w:numId="12">
    <w:abstractNumId w:val="9"/>
  </w:num>
  <w:num w:numId="13">
    <w:abstractNumId w:val="21"/>
  </w:num>
  <w:num w:numId="14">
    <w:abstractNumId w:val="0"/>
  </w:num>
  <w:num w:numId="15">
    <w:abstractNumId w:val="25"/>
  </w:num>
  <w:num w:numId="16">
    <w:abstractNumId w:val="7"/>
  </w:num>
  <w:num w:numId="17">
    <w:abstractNumId w:val="18"/>
  </w:num>
  <w:num w:numId="18">
    <w:abstractNumId w:val="12"/>
  </w:num>
  <w:num w:numId="19">
    <w:abstractNumId w:val="1"/>
  </w:num>
  <w:num w:numId="20">
    <w:abstractNumId w:val="6"/>
  </w:num>
  <w:num w:numId="21">
    <w:abstractNumId w:val="6"/>
    <w:lvlOverride w:ilvl="0">
      <w:startOverride w:val="1"/>
    </w:lvlOverride>
  </w:num>
  <w:num w:numId="22">
    <w:abstractNumId w:val="16"/>
  </w:num>
  <w:num w:numId="23">
    <w:abstractNumId w:val="20"/>
  </w:num>
  <w:num w:numId="24">
    <w:abstractNumId w:val="22"/>
  </w:num>
  <w:num w:numId="25">
    <w:abstractNumId w:val="10"/>
  </w:num>
  <w:num w:numId="26">
    <w:abstractNumId w:val="15"/>
  </w:num>
  <w:num w:numId="27">
    <w:abstractNumId w:val="5"/>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40"/>
    <w:rsid w:val="00000A7E"/>
    <w:rsid w:val="00000C53"/>
    <w:rsid w:val="00001239"/>
    <w:rsid w:val="0000243C"/>
    <w:rsid w:val="00002B2C"/>
    <w:rsid w:val="000036F6"/>
    <w:rsid w:val="000052EE"/>
    <w:rsid w:val="000069DA"/>
    <w:rsid w:val="00006C0E"/>
    <w:rsid w:val="000106ED"/>
    <w:rsid w:val="00011D37"/>
    <w:rsid w:val="0001223D"/>
    <w:rsid w:val="000125E5"/>
    <w:rsid w:val="00013031"/>
    <w:rsid w:val="0001351A"/>
    <w:rsid w:val="00013B05"/>
    <w:rsid w:val="00014A4F"/>
    <w:rsid w:val="00015165"/>
    <w:rsid w:val="00015188"/>
    <w:rsid w:val="00017368"/>
    <w:rsid w:val="000175A6"/>
    <w:rsid w:val="00017D45"/>
    <w:rsid w:val="00020946"/>
    <w:rsid w:val="00021C23"/>
    <w:rsid w:val="000226F4"/>
    <w:rsid w:val="000229EF"/>
    <w:rsid w:val="00023069"/>
    <w:rsid w:val="0002356F"/>
    <w:rsid w:val="00023624"/>
    <w:rsid w:val="00023D79"/>
    <w:rsid w:val="00023DD2"/>
    <w:rsid w:val="00023DE2"/>
    <w:rsid w:val="00024580"/>
    <w:rsid w:val="00024C30"/>
    <w:rsid w:val="00025280"/>
    <w:rsid w:val="00025415"/>
    <w:rsid w:val="000262D7"/>
    <w:rsid w:val="0002670D"/>
    <w:rsid w:val="00026755"/>
    <w:rsid w:val="00027A31"/>
    <w:rsid w:val="000304BA"/>
    <w:rsid w:val="00030DCB"/>
    <w:rsid w:val="00030E46"/>
    <w:rsid w:val="00031533"/>
    <w:rsid w:val="00031EE5"/>
    <w:rsid w:val="00032CAD"/>
    <w:rsid w:val="0003337D"/>
    <w:rsid w:val="000344A5"/>
    <w:rsid w:val="000362E7"/>
    <w:rsid w:val="0003695F"/>
    <w:rsid w:val="000369F3"/>
    <w:rsid w:val="00037EC1"/>
    <w:rsid w:val="00040231"/>
    <w:rsid w:val="00040A96"/>
    <w:rsid w:val="000412BB"/>
    <w:rsid w:val="00041341"/>
    <w:rsid w:val="00041F67"/>
    <w:rsid w:val="000423CB"/>
    <w:rsid w:val="00044340"/>
    <w:rsid w:val="00045098"/>
    <w:rsid w:val="00045240"/>
    <w:rsid w:val="000455AF"/>
    <w:rsid w:val="000459D5"/>
    <w:rsid w:val="00045A54"/>
    <w:rsid w:val="00045E84"/>
    <w:rsid w:val="00046674"/>
    <w:rsid w:val="000466AF"/>
    <w:rsid w:val="000468E7"/>
    <w:rsid w:val="00046C4D"/>
    <w:rsid w:val="00046FF8"/>
    <w:rsid w:val="000471A9"/>
    <w:rsid w:val="0004750D"/>
    <w:rsid w:val="00050026"/>
    <w:rsid w:val="000502B2"/>
    <w:rsid w:val="00050941"/>
    <w:rsid w:val="00050C88"/>
    <w:rsid w:val="00051F6E"/>
    <w:rsid w:val="0005533A"/>
    <w:rsid w:val="000555EE"/>
    <w:rsid w:val="0005560A"/>
    <w:rsid w:val="00055635"/>
    <w:rsid w:val="00055717"/>
    <w:rsid w:val="00055DC7"/>
    <w:rsid w:val="00056501"/>
    <w:rsid w:val="000565FE"/>
    <w:rsid w:val="00056C96"/>
    <w:rsid w:val="00056DB9"/>
    <w:rsid w:val="00056EA4"/>
    <w:rsid w:val="00056F03"/>
    <w:rsid w:val="00057BAE"/>
    <w:rsid w:val="00060758"/>
    <w:rsid w:val="00061589"/>
    <w:rsid w:val="0006227E"/>
    <w:rsid w:val="00063B51"/>
    <w:rsid w:val="00063F55"/>
    <w:rsid w:val="00065444"/>
    <w:rsid w:val="00065C96"/>
    <w:rsid w:val="000660C6"/>
    <w:rsid w:val="000662F5"/>
    <w:rsid w:val="00066336"/>
    <w:rsid w:val="000667D3"/>
    <w:rsid w:val="000668EB"/>
    <w:rsid w:val="00066CBC"/>
    <w:rsid w:val="00067A75"/>
    <w:rsid w:val="00067ABE"/>
    <w:rsid w:val="00067BD9"/>
    <w:rsid w:val="000707AB"/>
    <w:rsid w:val="00070C6D"/>
    <w:rsid w:val="00070F49"/>
    <w:rsid w:val="000716CB"/>
    <w:rsid w:val="000716F6"/>
    <w:rsid w:val="00071814"/>
    <w:rsid w:val="00072077"/>
    <w:rsid w:val="00072882"/>
    <w:rsid w:val="00073080"/>
    <w:rsid w:val="00073372"/>
    <w:rsid w:val="0007365C"/>
    <w:rsid w:val="00073D8E"/>
    <w:rsid w:val="000742E8"/>
    <w:rsid w:val="00074563"/>
    <w:rsid w:val="00074F84"/>
    <w:rsid w:val="000750F3"/>
    <w:rsid w:val="00075179"/>
    <w:rsid w:val="00075F29"/>
    <w:rsid w:val="00076231"/>
    <w:rsid w:val="00076E64"/>
    <w:rsid w:val="00077517"/>
    <w:rsid w:val="00080CFE"/>
    <w:rsid w:val="00081658"/>
    <w:rsid w:val="000818D2"/>
    <w:rsid w:val="00081AC9"/>
    <w:rsid w:val="000834C5"/>
    <w:rsid w:val="0008384C"/>
    <w:rsid w:val="0008406C"/>
    <w:rsid w:val="000843AE"/>
    <w:rsid w:val="00085168"/>
    <w:rsid w:val="00085677"/>
    <w:rsid w:val="00086BA3"/>
    <w:rsid w:val="0008735E"/>
    <w:rsid w:val="00087550"/>
    <w:rsid w:val="00087FC9"/>
    <w:rsid w:val="00090AD9"/>
    <w:rsid w:val="00090B5A"/>
    <w:rsid w:val="00091090"/>
    <w:rsid w:val="0009247B"/>
    <w:rsid w:val="0009264B"/>
    <w:rsid w:val="00092AAF"/>
    <w:rsid w:val="00093753"/>
    <w:rsid w:val="00093999"/>
    <w:rsid w:val="00094015"/>
    <w:rsid w:val="00094060"/>
    <w:rsid w:val="000964E5"/>
    <w:rsid w:val="00096AEB"/>
    <w:rsid w:val="00096CF8"/>
    <w:rsid w:val="00097BBD"/>
    <w:rsid w:val="00097D71"/>
    <w:rsid w:val="00097DA0"/>
    <w:rsid w:val="000A1157"/>
    <w:rsid w:val="000A22A0"/>
    <w:rsid w:val="000A310B"/>
    <w:rsid w:val="000A393B"/>
    <w:rsid w:val="000A3FC8"/>
    <w:rsid w:val="000A4574"/>
    <w:rsid w:val="000A4E1B"/>
    <w:rsid w:val="000A52F8"/>
    <w:rsid w:val="000A60F0"/>
    <w:rsid w:val="000A65BF"/>
    <w:rsid w:val="000A67EA"/>
    <w:rsid w:val="000A71E5"/>
    <w:rsid w:val="000A73EE"/>
    <w:rsid w:val="000B026A"/>
    <w:rsid w:val="000B03E1"/>
    <w:rsid w:val="000B04DD"/>
    <w:rsid w:val="000B134F"/>
    <w:rsid w:val="000B1B9F"/>
    <w:rsid w:val="000B1D87"/>
    <w:rsid w:val="000B1E56"/>
    <w:rsid w:val="000B35D7"/>
    <w:rsid w:val="000B3ACE"/>
    <w:rsid w:val="000B4B15"/>
    <w:rsid w:val="000B5512"/>
    <w:rsid w:val="000B60B5"/>
    <w:rsid w:val="000B78E0"/>
    <w:rsid w:val="000B7907"/>
    <w:rsid w:val="000C1C0B"/>
    <w:rsid w:val="000C2492"/>
    <w:rsid w:val="000C29FA"/>
    <w:rsid w:val="000C2D0E"/>
    <w:rsid w:val="000C2DCE"/>
    <w:rsid w:val="000C4177"/>
    <w:rsid w:val="000C615F"/>
    <w:rsid w:val="000C6FAD"/>
    <w:rsid w:val="000C7116"/>
    <w:rsid w:val="000C712E"/>
    <w:rsid w:val="000C7F20"/>
    <w:rsid w:val="000D00C6"/>
    <w:rsid w:val="000D2FD7"/>
    <w:rsid w:val="000D43AC"/>
    <w:rsid w:val="000D43B6"/>
    <w:rsid w:val="000D450E"/>
    <w:rsid w:val="000D45E3"/>
    <w:rsid w:val="000D6F1B"/>
    <w:rsid w:val="000D70A8"/>
    <w:rsid w:val="000D7919"/>
    <w:rsid w:val="000D7952"/>
    <w:rsid w:val="000E00CD"/>
    <w:rsid w:val="000E19A9"/>
    <w:rsid w:val="000E1D56"/>
    <w:rsid w:val="000E2917"/>
    <w:rsid w:val="000E2DD6"/>
    <w:rsid w:val="000E3722"/>
    <w:rsid w:val="000E400E"/>
    <w:rsid w:val="000E4259"/>
    <w:rsid w:val="000E4678"/>
    <w:rsid w:val="000E5AC6"/>
    <w:rsid w:val="000E754D"/>
    <w:rsid w:val="000E7DB0"/>
    <w:rsid w:val="000F1781"/>
    <w:rsid w:val="000F1BE4"/>
    <w:rsid w:val="000F1CCF"/>
    <w:rsid w:val="000F208C"/>
    <w:rsid w:val="000F22AA"/>
    <w:rsid w:val="000F3755"/>
    <w:rsid w:val="000F3A1E"/>
    <w:rsid w:val="000F3B99"/>
    <w:rsid w:val="000F4FCB"/>
    <w:rsid w:val="000F517F"/>
    <w:rsid w:val="000F549D"/>
    <w:rsid w:val="000F5DE8"/>
    <w:rsid w:val="000F5E07"/>
    <w:rsid w:val="000F70C6"/>
    <w:rsid w:val="000F71ED"/>
    <w:rsid w:val="00101838"/>
    <w:rsid w:val="00101BF4"/>
    <w:rsid w:val="00101E8F"/>
    <w:rsid w:val="00102606"/>
    <w:rsid w:val="001028A6"/>
    <w:rsid w:val="00102FAD"/>
    <w:rsid w:val="00103B61"/>
    <w:rsid w:val="00103FB1"/>
    <w:rsid w:val="0010402E"/>
    <w:rsid w:val="00104EAD"/>
    <w:rsid w:val="00104F63"/>
    <w:rsid w:val="0010547E"/>
    <w:rsid w:val="00105748"/>
    <w:rsid w:val="001058C6"/>
    <w:rsid w:val="0010665E"/>
    <w:rsid w:val="0010735F"/>
    <w:rsid w:val="0010759C"/>
    <w:rsid w:val="00107D94"/>
    <w:rsid w:val="001106C4"/>
    <w:rsid w:val="00111408"/>
    <w:rsid w:val="001119CA"/>
    <w:rsid w:val="0011342F"/>
    <w:rsid w:val="00114635"/>
    <w:rsid w:val="001156F0"/>
    <w:rsid w:val="00116C3F"/>
    <w:rsid w:val="00116F68"/>
    <w:rsid w:val="00117B0B"/>
    <w:rsid w:val="0012062A"/>
    <w:rsid w:val="00121342"/>
    <w:rsid w:val="0012154E"/>
    <w:rsid w:val="00121AF9"/>
    <w:rsid w:val="001222C0"/>
    <w:rsid w:val="0012230F"/>
    <w:rsid w:val="00122B66"/>
    <w:rsid w:val="00124BC7"/>
    <w:rsid w:val="001250E7"/>
    <w:rsid w:val="001255C4"/>
    <w:rsid w:val="001256FC"/>
    <w:rsid w:val="00125C69"/>
    <w:rsid w:val="00125C81"/>
    <w:rsid w:val="0012605E"/>
    <w:rsid w:val="001260EF"/>
    <w:rsid w:val="001265D5"/>
    <w:rsid w:val="0012660A"/>
    <w:rsid w:val="00126ABA"/>
    <w:rsid w:val="00127461"/>
    <w:rsid w:val="00127892"/>
    <w:rsid w:val="001301AB"/>
    <w:rsid w:val="00130B07"/>
    <w:rsid w:val="00131BD0"/>
    <w:rsid w:val="00131C92"/>
    <w:rsid w:val="0013201C"/>
    <w:rsid w:val="001323CA"/>
    <w:rsid w:val="00132833"/>
    <w:rsid w:val="00132A8A"/>
    <w:rsid w:val="00132BC9"/>
    <w:rsid w:val="00133AE3"/>
    <w:rsid w:val="00133D81"/>
    <w:rsid w:val="00134E5C"/>
    <w:rsid w:val="00135183"/>
    <w:rsid w:val="001353E6"/>
    <w:rsid w:val="001359B3"/>
    <w:rsid w:val="00136A94"/>
    <w:rsid w:val="00136CD6"/>
    <w:rsid w:val="00136F85"/>
    <w:rsid w:val="001371CB"/>
    <w:rsid w:val="00137CA5"/>
    <w:rsid w:val="00137D0A"/>
    <w:rsid w:val="001404E1"/>
    <w:rsid w:val="00141A0B"/>
    <w:rsid w:val="00141EA6"/>
    <w:rsid w:val="001426B0"/>
    <w:rsid w:val="001447D4"/>
    <w:rsid w:val="00144D9D"/>
    <w:rsid w:val="00145596"/>
    <w:rsid w:val="001455DC"/>
    <w:rsid w:val="001456E5"/>
    <w:rsid w:val="0014578A"/>
    <w:rsid w:val="00145BFC"/>
    <w:rsid w:val="001462D6"/>
    <w:rsid w:val="0014680F"/>
    <w:rsid w:val="001470B3"/>
    <w:rsid w:val="001508B3"/>
    <w:rsid w:val="001510DB"/>
    <w:rsid w:val="00151E85"/>
    <w:rsid w:val="00152539"/>
    <w:rsid w:val="00152AEF"/>
    <w:rsid w:val="0015372A"/>
    <w:rsid w:val="00153A8C"/>
    <w:rsid w:val="00153AA4"/>
    <w:rsid w:val="00153D51"/>
    <w:rsid w:val="00153F04"/>
    <w:rsid w:val="001545EB"/>
    <w:rsid w:val="0015485B"/>
    <w:rsid w:val="00154B6A"/>
    <w:rsid w:val="00154B7D"/>
    <w:rsid w:val="00154BE3"/>
    <w:rsid w:val="0015501B"/>
    <w:rsid w:val="00155AA5"/>
    <w:rsid w:val="00155BC2"/>
    <w:rsid w:val="00155C5C"/>
    <w:rsid w:val="001562F2"/>
    <w:rsid w:val="0015678B"/>
    <w:rsid w:val="00160D00"/>
    <w:rsid w:val="00161223"/>
    <w:rsid w:val="001614F4"/>
    <w:rsid w:val="0016157C"/>
    <w:rsid w:val="00161665"/>
    <w:rsid w:val="00161B92"/>
    <w:rsid w:val="0016209F"/>
    <w:rsid w:val="0016369C"/>
    <w:rsid w:val="00164606"/>
    <w:rsid w:val="00164645"/>
    <w:rsid w:val="00164E88"/>
    <w:rsid w:val="00165457"/>
    <w:rsid w:val="00165E41"/>
    <w:rsid w:val="00166376"/>
    <w:rsid w:val="0016715D"/>
    <w:rsid w:val="001678D7"/>
    <w:rsid w:val="00170801"/>
    <w:rsid w:val="00170B0C"/>
    <w:rsid w:val="00170BD5"/>
    <w:rsid w:val="00170E2B"/>
    <w:rsid w:val="0017248E"/>
    <w:rsid w:val="0017283B"/>
    <w:rsid w:val="00172AA4"/>
    <w:rsid w:val="00174070"/>
    <w:rsid w:val="001744AD"/>
    <w:rsid w:val="00174A1E"/>
    <w:rsid w:val="00174D3E"/>
    <w:rsid w:val="0017512F"/>
    <w:rsid w:val="001756DC"/>
    <w:rsid w:val="00175875"/>
    <w:rsid w:val="00175AF7"/>
    <w:rsid w:val="00176018"/>
    <w:rsid w:val="001766E0"/>
    <w:rsid w:val="00181D0C"/>
    <w:rsid w:val="00181DAF"/>
    <w:rsid w:val="001828AA"/>
    <w:rsid w:val="00183115"/>
    <w:rsid w:val="0018355A"/>
    <w:rsid w:val="0018454A"/>
    <w:rsid w:val="00184E9B"/>
    <w:rsid w:val="001850E4"/>
    <w:rsid w:val="001851EB"/>
    <w:rsid w:val="00185590"/>
    <w:rsid w:val="00185B47"/>
    <w:rsid w:val="00185B8F"/>
    <w:rsid w:val="00185BD0"/>
    <w:rsid w:val="00186E0D"/>
    <w:rsid w:val="00186F0A"/>
    <w:rsid w:val="001874E0"/>
    <w:rsid w:val="00190CDB"/>
    <w:rsid w:val="001910C1"/>
    <w:rsid w:val="00191654"/>
    <w:rsid w:val="00191B62"/>
    <w:rsid w:val="00191CC1"/>
    <w:rsid w:val="00191FD0"/>
    <w:rsid w:val="001921EC"/>
    <w:rsid w:val="00192F64"/>
    <w:rsid w:val="00193AEE"/>
    <w:rsid w:val="00194672"/>
    <w:rsid w:val="00195688"/>
    <w:rsid w:val="00195CB9"/>
    <w:rsid w:val="00196300"/>
    <w:rsid w:val="001965F5"/>
    <w:rsid w:val="001968D4"/>
    <w:rsid w:val="00197147"/>
    <w:rsid w:val="00197724"/>
    <w:rsid w:val="00197A63"/>
    <w:rsid w:val="001A0067"/>
    <w:rsid w:val="001A0A68"/>
    <w:rsid w:val="001A111E"/>
    <w:rsid w:val="001A1CC1"/>
    <w:rsid w:val="001A2BB4"/>
    <w:rsid w:val="001A2D8C"/>
    <w:rsid w:val="001A339B"/>
    <w:rsid w:val="001A3750"/>
    <w:rsid w:val="001A475D"/>
    <w:rsid w:val="001A578A"/>
    <w:rsid w:val="001A5811"/>
    <w:rsid w:val="001A5A49"/>
    <w:rsid w:val="001A64EE"/>
    <w:rsid w:val="001A6FBA"/>
    <w:rsid w:val="001A6FE6"/>
    <w:rsid w:val="001A7D5F"/>
    <w:rsid w:val="001B05A8"/>
    <w:rsid w:val="001B05C9"/>
    <w:rsid w:val="001B0C8B"/>
    <w:rsid w:val="001B1205"/>
    <w:rsid w:val="001B1B98"/>
    <w:rsid w:val="001B41AA"/>
    <w:rsid w:val="001B41E4"/>
    <w:rsid w:val="001B4CE9"/>
    <w:rsid w:val="001B5091"/>
    <w:rsid w:val="001B512E"/>
    <w:rsid w:val="001B5405"/>
    <w:rsid w:val="001B55E0"/>
    <w:rsid w:val="001B572F"/>
    <w:rsid w:val="001B7E2E"/>
    <w:rsid w:val="001C004E"/>
    <w:rsid w:val="001C1C11"/>
    <w:rsid w:val="001C2EE0"/>
    <w:rsid w:val="001C3115"/>
    <w:rsid w:val="001C3C82"/>
    <w:rsid w:val="001C42F2"/>
    <w:rsid w:val="001C546B"/>
    <w:rsid w:val="001C58AE"/>
    <w:rsid w:val="001C5C9E"/>
    <w:rsid w:val="001C766F"/>
    <w:rsid w:val="001C7BF8"/>
    <w:rsid w:val="001D1E4C"/>
    <w:rsid w:val="001D21E9"/>
    <w:rsid w:val="001D31F4"/>
    <w:rsid w:val="001D320D"/>
    <w:rsid w:val="001D3520"/>
    <w:rsid w:val="001D3D6C"/>
    <w:rsid w:val="001D3E2E"/>
    <w:rsid w:val="001D45D4"/>
    <w:rsid w:val="001D4600"/>
    <w:rsid w:val="001D5255"/>
    <w:rsid w:val="001D5FBD"/>
    <w:rsid w:val="001D6CFB"/>
    <w:rsid w:val="001D7562"/>
    <w:rsid w:val="001D797E"/>
    <w:rsid w:val="001D7F23"/>
    <w:rsid w:val="001E099D"/>
    <w:rsid w:val="001E10DF"/>
    <w:rsid w:val="001E24B2"/>
    <w:rsid w:val="001E2BD5"/>
    <w:rsid w:val="001E2FD7"/>
    <w:rsid w:val="001E36AA"/>
    <w:rsid w:val="001E3B80"/>
    <w:rsid w:val="001E3C31"/>
    <w:rsid w:val="001E5550"/>
    <w:rsid w:val="001E5AA8"/>
    <w:rsid w:val="001E61CD"/>
    <w:rsid w:val="001E6C17"/>
    <w:rsid w:val="001E6C2C"/>
    <w:rsid w:val="001E6EC0"/>
    <w:rsid w:val="001E7886"/>
    <w:rsid w:val="001F1191"/>
    <w:rsid w:val="001F1CBC"/>
    <w:rsid w:val="001F1FE4"/>
    <w:rsid w:val="001F3D8F"/>
    <w:rsid w:val="001F410A"/>
    <w:rsid w:val="001F5A0B"/>
    <w:rsid w:val="001F61BD"/>
    <w:rsid w:val="001F629D"/>
    <w:rsid w:val="001F67AD"/>
    <w:rsid w:val="001F717C"/>
    <w:rsid w:val="001F7982"/>
    <w:rsid w:val="001F79DE"/>
    <w:rsid w:val="001F7BD4"/>
    <w:rsid w:val="00200039"/>
    <w:rsid w:val="00200512"/>
    <w:rsid w:val="00200F7C"/>
    <w:rsid w:val="00201710"/>
    <w:rsid w:val="002019E2"/>
    <w:rsid w:val="002023E3"/>
    <w:rsid w:val="002026BE"/>
    <w:rsid w:val="002036F0"/>
    <w:rsid w:val="00203ACE"/>
    <w:rsid w:val="0020416A"/>
    <w:rsid w:val="002044FA"/>
    <w:rsid w:val="00204714"/>
    <w:rsid w:val="00204B9C"/>
    <w:rsid w:val="00204D32"/>
    <w:rsid w:val="002050E0"/>
    <w:rsid w:val="002051B7"/>
    <w:rsid w:val="002060DD"/>
    <w:rsid w:val="00206BC4"/>
    <w:rsid w:val="002070CB"/>
    <w:rsid w:val="0020763D"/>
    <w:rsid w:val="00210035"/>
    <w:rsid w:val="0021080C"/>
    <w:rsid w:val="00211462"/>
    <w:rsid w:val="002124AB"/>
    <w:rsid w:val="00212535"/>
    <w:rsid w:val="00213012"/>
    <w:rsid w:val="00213241"/>
    <w:rsid w:val="002136DB"/>
    <w:rsid w:val="00216705"/>
    <w:rsid w:val="002171E2"/>
    <w:rsid w:val="00217B13"/>
    <w:rsid w:val="00217B7C"/>
    <w:rsid w:val="00220EE1"/>
    <w:rsid w:val="0022130D"/>
    <w:rsid w:val="002214B4"/>
    <w:rsid w:val="00221592"/>
    <w:rsid w:val="00221643"/>
    <w:rsid w:val="00222232"/>
    <w:rsid w:val="00222810"/>
    <w:rsid w:val="00223168"/>
    <w:rsid w:val="00224103"/>
    <w:rsid w:val="00224198"/>
    <w:rsid w:val="00224B25"/>
    <w:rsid w:val="00225BD9"/>
    <w:rsid w:val="00225E03"/>
    <w:rsid w:val="00226015"/>
    <w:rsid w:val="00227A88"/>
    <w:rsid w:val="00230028"/>
    <w:rsid w:val="00230653"/>
    <w:rsid w:val="00230EC1"/>
    <w:rsid w:val="0023193E"/>
    <w:rsid w:val="0023234A"/>
    <w:rsid w:val="00232884"/>
    <w:rsid w:val="00232C76"/>
    <w:rsid w:val="00233478"/>
    <w:rsid w:val="00233F01"/>
    <w:rsid w:val="002354DB"/>
    <w:rsid w:val="002361B9"/>
    <w:rsid w:val="00237756"/>
    <w:rsid w:val="00237CFE"/>
    <w:rsid w:val="002403BD"/>
    <w:rsid w:val="002406DF"/>
    <w:rsid w:val="002408CE"/>
    <w:rsid w:val="00240940"/>
    <w:rsid w:val="00240D76"/>
    <w:rsid w:val="00240EF3"/>
    <w:rsid w:val="00241459"/>
    <w:rsid w:val="002424D5"/>
    <w:rsid w:val="002425CA"/>
    <w:rsid w:val="002426DE"/>
    <w:rsid w:val="002440FE"/>
    <w:rsid w:val="002442EC"/>
    <w:rsid w:val="00244C5A"/>
    <w:rsid w:val="002454D1"/>
    <w:rsid w:val="002454D9"/>
    <w:rsid w:val="00245524"/>
    <w:rsid w:val="0024586B"/>
    <w:rsid w:val="00245936"/>
    <w:rsid w:val="00246A87"/>
    <w:rsid w:val="0024722D"/>
    <w:rsid w:val="0024761A"/>
    <w:rsid w:val="00250294"/>
    <w:rsid w:val="00251587"/>
    <w:rsid w:val="0025196B"/>
    <w:rsid w:val="00252CB5"/>
    <w:rsid w:val="00253457"/>
    <w:rsid w:val="002537A5"/>
    <w:rsid w:val="00253AA9"/>
    <w:rsid w:val="00254190"/>
    <w:rsid w:val="00254C12"/>
    <w:rsid w:val="0025572E"/>
    <w:rsid w:val="00255C3F"/>
    <w:rsid w:val="00256DD6"/>
    <w:rsid w:val="00257853"/>
    <w:rsid w:val="0025786F"/>
    <w:rsid w:val="00257FFC"/>
    <w:rsid w:val="00260C1F"/>
    <w:rsid w:val="00261322"/>
    <w:rsid w:val="00261838"/>
    <w:rsid w:val="002627AD"/>
    <w:rsid w:val="00262A88"/>
    <w:rsid w:val="00262FDB"/>
    <w:rsid w:val="0026404E"/>
    <w:rsid w:val="00264BE3"/>
    <w:rsid w:val="00264E05"/>
    <w:rsid w:val="00265A68"/>
    <w:rsid w:val="00266414"/>
    <w:rsid w:val="00266470"/>
    <w:rsid w:val="002668D6"/>
    <w:rsid w:val="002701D7"/>
    <w:rsid w:val="00270662"/>
    <w:rsid w:val="002712B1"/>
    <w:rsid w:val="002715CC"/>
    <w:rsid w:val="002718CD"/>
    <w:rsid w:val="00271D09"/>
    <w:rsid w:val="0027285D"/>
    <w:rsid w:val="00273AAB"/>
    <w:rsid w:val="00273D80"/>
    <w:rsid w:val="0027476E"/>
    <w:rsid w:val="00274809"/>
    <w:rsid w:val="00275989"/>
    <w:rsid w:val="00275E5D"/>
    <w:rsid w:val="002760B8"/>
    <w:rsid w:val="002764D9"/>
    <w:rsid w:val="00276D22"/>
    <w:rsid w:val="00277603"/>
    <w:rsid w:val="00277D37"/>
    <w:rsid w:val="00277E92"/>
    <w:rsid w:val="00280A54"/>
    <w:rsid w:val="00282315"/>
    <w:rsid w:val="00283B31"/>
    <w:rsid w:val="00283E74"/>
    <w:rsid w:val="002854AD"/>
    <w:rsid w:val="00285965"/>
    <w:rsid w:val="002864FE"/>
    <w:rsid w:val="002865FF"/>
    <w:rsid w:val="0028680A"/>
    <w:rsid w:val="00286F6A"/>
    <w:rsid w:val="00287395"/>
    <w:rsid w:val="0029127C"/>
    <w:rsid w:val="00291412"/>
    <w:rsid w:val="0029154C"/>
    <w:rsid w:val="002921E7"/>
    <w:rsid w:val="00292A76"/>
    <w:rsid w:val="00293B5C"/>
    <w:rsid w:val="00294650"/>
    <w:rsid w:val="00294A44"/>
    <w:rsid w:val="00294A95"/>
    <w:rsid w:val="00294CEB"/>
    <w:rsid w:val="00295073"/>
    <w:rsid w:val="00295099"/>
    <w:rsid w:val="00295C01"/>
    <w:rsid w:val="002960D5"/>
    <w:rsid w:val="002961FB"/>
    <w:rsid w:val="00296DF4"/>
    <w:rsid w:val="002970ED"/>
    <w:rsid w:val="002970F0"/>
    <w:rsid w:val="00297981"/>
    <w:rsid w:val="002A0106"/>
    <w:rsid w:val="002A0657"/>
    <w:rsid w:val="002A0AD7"/>
    <w:rsid w:val="002A1024"/>
    <w:rsid w:val="002A103A"/>
    <w:rsid w:val="002A117C"/>
    <w:rsid w:val="002A1A8D"/>
    <w:rsid w:val="002A1B2F"/>
    <w:rsid w:val="002A220E"/>
    <w:rsid w:val="002A2CA5"/>
    <w:rsid w:val="002A36A5"/>
    <w:rsid w:val="002A401F"/>
    <w:rsid w:val="002A434B"/>
    <w:rsid w:val="002A4D86"/>
    <w:rsid w:val="002A4D8A"/>
    <w:rsid w:val="002A519C"/>
    <w:rsid w:val="002A55EA"/>
    <w:rsid w:val="002A56EE"/>
    <w:rsid w:val="002A7462"/>
    <w:rsid w:val="002A7E0B"/>
    <w:rsid w:val="002B022C"/>
    <w:rsid w:val="002B0F4A"/>
    <w:rsid w:val="002B0F5E"/>
    <w:rsid w:val="002B1301"/>
    <w:rsid w:val="002B1C06"/>
    <w:rsid w:val="002B2621"/>
    <w:rsid w:val="002B2A08"/>
    <w:rsid w:val="002B2E74"/>
    <w:rsid w:val="002B547B"/>
    <w:rsid w:val="002B6084"/>
    <w:rsid w:val="002B620B"/>
    <w:rsid w:val="002B646D"/>
    <w:rsid w:val="002C16DD"/>
    <w:rsid w:val="002C2686"/>
    <w:rsid w:val="002C31A9"/>
    <w:rsid w:val="002C33AD"/>
    <w:rsid w:val="002C3CF8"/>
    <w:rsid w:val="002C412A"/>
    <w:rsid w:val="002C4533"/>
    <w:rsid w:val="002C4D02"/>
    <w:rsid w:val="002C4D53"/>
    <w:rsid w:val="002C67AD"/>
    <w:rsid w:val="002C6828"/>
    <w:rsid w:val="002C6CC0"/>
    <w:rsid w:val="002C7674"/>
    <w:rsid w:val="002D097F"/>
    <w:rsid w:val="002D099B"/>
    <w:rsid w:val="002D0E52"/>
    <w:rsid w:val="002D159F"/>
    <w:rsid w:val="002D1961"/>
    <w:rsid w:val="002D2F4D"/>
    <w:rsid w:val="002D3877"/>
    <w:rsid w:val="002D3E90"/>
    <w:rsid w:val="002D44D6"/>
    <w:rsid w:val="002D4BB4"/>
    <w:rsid w:val="002D5924"/>
    <w:rsid w:val="002D5AF9"/>
    <w:rsid w:val="002D60BF"/>
    <w:rsid w:val="002D67D6"/>
    <w:rsid w:val="002D69D3"/>
    <w:rsid w:val="002D69EE"/>
    <w:rsid w:val="002D78BB"/>
    <w:rsid w:val="002E03D7"/>
    <w:rsid w:val="002E05B0"/>
    <w:rsid w:val="002E0920"/>
    <w:rsid w:val="002E0D4E"/>
    <w:rsid w:val="002E1196"/>
    <w:rsid w:val="002E14F0"/>
    <w:rsid w:val="002E167B"/>
    <w:rsid w:val="002E305D"/>
    <w:rsid w:val="002E334F"/>
    <w:rsid w:val="002E3413"/>
    <w:rsid w:val="002E3A2C"/>
    <w:rsid w:val="002E3F6B"/>
    <w:rsid w:val="002E44D4"/>
    <w:rsid w:val="002E510B"/>
    <w:rsid w:val="002E5BD9"/>
    <w:rsid w:val="002E6468"/>
    <w:rsid w:val="002E7237"/>
    <w:rsid w:val="002E769B"/>
    <w:rsid w:val="002E7762"/>
    <w:rsid w:val="002E783D"/>
    <w:rsid w:val="002E7F62"/>
    <w:rsid w:val="002F028A"/>
    <w:rsid w:val="002F0969"/>
    <w:rsid w:val="002F0C59"/>
    <w:rsid w:val="002F15E6"/>
    <w:rsid w:val="002F1A12"/>
    <w:rsid w:val="002F1D53"/>
    <w:rsid w:val="002F1DB4"/>
    <w:rsid w:val="002F222D"/>
    <w:rsid w:val="002F36DB"/>
    <w:rsid w:val="002F3D77"/>
    <w:rsid w:val="002F3F95"/>
    <w:rsid w:val="002F4223"/>
    <w:rsid w:val="002F43F7"/>
    <w:rsid w:val="002F44AA"/>
    <w:rsid w:val="002F45B1"/>
    <w:rsid w:val="002F5B11"/>
    <w:rsid w:val="002F6FDE"/>
    <w:rsid w:val="00300195"/>
    <w:rsid w:val="0030084C"/>
    <w:rsid w:val="00300B67"/>
    <w:rsid w:val="00300D86"/>
    <w:rsid w:val="00301628"/>
    <w:rsid w:val="00302386"/>
    <w:rsid w:val="00302B34"/>
    <w:rsid w:val="003036E9"/>
    <w:rsid w:val="003036F2"/>
    <w:rsid w:val="00303763"/>
    <w:rsid w:val="0030404E"/>
    <w:rsid w:val="00304819"/>
    <w:rsid w:val="00304DFF"/>
    <w:rsid w:val="00305941"/>
    <w:rsid w:val="00305E56"/>
    <w:rsid w:val="00307227"/>
    <w:rsid w:val="0031041A"/>
    <w:rsid w:val="00311AEC"/>
    <w:rsid w:val="0031234E"/>
    <w:rsid w:val="00314692"/>
    <w:rsid w:val="00314B41"/>
    <w:rsid w:val="00315350"/>
    <w:rsid w:val="00315480"/>
    <w:rsid w:val="00317AED"/>
    <w:rsid w:val="00320868"/>
    <w:rsid w:val="00321761"/>
    <w:rsid w:val="0032261C"/>
    <w:rsid w:val="003227AD"/>
    <w:rsid w:val="0032286A"/>
    <w:rsid w:val="00322FAB"/>
    <w:rsid w:val="0032359F"/>
    <w:rsid w:val="003235E6"/>
    <w:rsid w:val="00323B1B"/>
    <w:rsid w:val="00323CBD"/>
    <w:rsid w:val="00324831"/>
    <w:rsid w:val="0032511C"/>
    <w:rsid w:val="00325E86"/>
    <w:rsid w:val="00326903"/>
    <w:rsid w:val="0032694B"/>
    <w:rsid w:val="003303A1"/>
    <w:rsid w:val="00331153"/>
    <w:rsid w:val="003311B8"/>
    <w:rsid w:val="00331A80"/>
    <w:rsid w:val="00331EA7"/>
    <w:rsid w:val="003322B9"/>
    <w:rsid w:val="003322E0"/>
    <w:rsid w:val="003331C4"/>
    <w:rsid w:val="00334CA4"/>
    <w:rsid w:val="00334F7E"/>
    <w:rsid w:val="00335EE3"/>
    <w:rsid w:val="00335F2D"/>
    <w:rsid w:val="003363A1"/>
    <w:rsid w:val="003367A7"/>
    <w:rsid w:val="00336DF0"/>
    <w:rsid w:val="003370EE"/>
    <w:rsid w:val="0033731A"/>
    <w:rsid w:val="00341637"/>
    <w:rsid w:val="003420C0"/>
    <w:rsid w:val="003421B5"/>
    <w:rsid w:val="00342812"/>
    <w:rsid w:val="0034349C"/>
    <w:rsid w:val="00343992"/>
    <w:rsid w:val="0034466B"/>
    <w:rsid w:val="00344766"/>
    <w:rsid w:val="00346F46"/>
    <w:rsid w:val="00347BF6"/>
    <w:rsid w:val="00350F78"/>
    <w:rsid w:val="0035117A"/>
    <w:rsid w:val="00351533"/>
    <w:rsid w:val="00351D86"/>
    <w:rsid w:val="003522A6"/>
    <w:rsid w:val="0035302F"/>
    <w:rsid w:val="00353357"/>
    <w:rsid w:val="00353600"/>
    <w:rsid w:val="0035366D"/>
    <w:rsid w:val="00353DD7"/>
    <w:rsid w:val="00354172"/>
    <w:rsid w:val="003548E0"/>
    <w:rsid w:val="00354C21"/>
    <w:rsid w:val="0035513A"/>
    <w:rsid w:val="003555CE"/>
    <w:rsid w:val="00355F44"/>
    <w:rsid w:val="00356101"/>
    <w:rsid w:val="00356BCA"/>
    <w:rsid w:val="00357487"/>
    <w:rsid w:val="00357EE0"/>
    <w:rsid w:val="0036127B"/>
    <w:rsid w:val="00362019"/>
    <w:rsid w:val="0036241A"/>
    <w:rsid w:val="003627C1"/>
    <w:rsid w:val="003629B4"/>
    <w:rsid w:val="00362E79"/>
    <w:rsid w:val="00363395"/>
    <w:rsid w:val="00364193"/>
    <w:rsid w:val="00364F03"/>
    <w:rsid w:val="003650AE"/>
    <w:rsid w:val="0036514E"/>
    <w:rsid w:val="00366552"/>
    <w:rsid w:val="00366674"/>
    <w:rsid w:val="003667FA"/>
    <w:rsid w:val="003671CD"/>
    <w:rsid w:val="00367819"/>
    <w:rsid w:val="00370367"/>
    <w:rsid w:val="003710C5"/>
    <w:rsid w:val="00371184"/>
    <w:rsid w:val="003713B8"/>
    <w:rsid w:val="0037164E"/>
    <w:rsid w:val="00372338"/>
    <w:rsid w:val="00372654"/>
    <w:rsid w:val="00372DC3"/>
    <w:rsid w:val="003738F9"/>
    <w:rsid w:val="00373C1B"/>
    <w:rsid w:val="00373C70"/>
    <w:rsid w:val="0037410A"/>
    <w:rsid w:val="00375062"/>
    <w:rsid w:val="00375739"/>
    <w:rsid w:val="00375983"/>
    <w:rsid w:val="00375992"/>
    <w:rsid w:val="00375C07"/>
    <w:rsid w:val="003770CF"/>
    <w:rsid w:val="00377C4F"/>
    <w:rsid w:val="00377FDE"/>
    <w:rsid w:val="00380652"/>
    <w:rsid w:val="003815B8"/>
    <w:rsid w:val="003818C1"/>
    <w:rsid w:val="00381960"/>
    <w:rsid w:val="00382A9F"/>
    <w:rsid w:val="00383B11"/>
    <w:rsid w:val="00383B2A"/>
    <w:rsid w:val="00383CE4"/>
    <w:rsid w:val="00383F59"/>
    <w:rsid w:val="00383F7C"/>
    <w:rsid w:val="00385391"/>
    <w:rsid w:val="003853E9"/>
    <w:rsid w:val="00385925"/>
    <w:rsid w:val="00385991"/>
    <w:rsid w:val="00385DFD"/>
    <w:rsid w:val="0038675C"/>
    <w:rsid w:val="00386F45"/>
    <w:rsid w:val="00387CFE"/>
    <w:rsid w:val="00391D21"/>
    <w:rsid w:val="003927A6"/>
    <w:rsid w:val="003930BB"/>
    <w:rsid w:val="00393BCD"/>
    <w:rsid w:val="00394314"/>
    <w:rsid w:val="0039485D"/>
    <w:rsid w:val="003951C9"/>
    <w:rsid w:val="00395D83"/>
    <w:rsid w:val="00396525"/>
    <w:rsid w:val="003973E1"/>
    <w:rsid w:val="00397597"/>
    <w:rsid w:val="00397832"/>
    <w:rsid w:val="00397FF3"/>
    <w:rsid w:val="003A0D75"/>
    <w:rsid w:val="003A15BD"/>
    <w:rsid w:val="003A23BE"/>
    <w:rsid w:val="003A25B5"/>
    <w:rsid w:val="003A269D"/>
    <w:rsid w:val="003A26BE"/>
    <w:rsid w:val="003A39FC"/>
    <w:rsid w:val="003A3D3A"/>
    <w:rsid w:val="003A41AD"/>
    <w:rsid w:val="003A4B9D"/>
    <w:rsid w:val="003A4BC5"/>
    <w:rsid w:val="003A5544"/>
    <w:rsid w:val="003A5913"/>
    <w:rsid w:val="003A5F4E"/>
    <w:rsid w:val="003A63AB"/>
    <w:rsid w:val="003A63F6"/>
    <w:rsid w:val="003A658D"/>
    <w:rsid w:val="003A6EA4"/>
    <w:rsid w:val="003A7161"/>
    <w:rsid w:val="003A7674"/>
    <w:rsid w:val="003A79CF"/>
    <w:rsid w:val="003B0347"/>
    <w:rsid w:val="003B14CE"/>
    <w:rsid w:val="003B2884"/>
    <w:rsid w:val="003B4615"/>
    <w:rsid w:val="003B48FC"/>
    <w:rsid w:val="003B4BC3"/>
    <w:rsid w:val="003B57F0"/>
    <w:rsid w:val="003B64FF"/>
    <w:rsid w:val="003B6CB4"/>
    <w:rsid w:val="003B7D50"/>
    <w:rsid w:val="003B7E3D"/>
    <w:rsid w:val="003B7F92"/>
    <w:rsid w:val="003C0596"/>
    <w:rsid w:val="003C0785"/>
    <w:rsid w:val="003C1582"/>
    <w:rsid w:val="003C2665"/>
    <w:rsid w:val="003C2A0B"/>
    <w:rsid w:val="003C2A94"/>
    <w:rsid w:val="003C33AB"/>
    <w:rsid w:val="003C41F9"/>
    <w:rsid w:val="003C4973"/>
    <w:rsid w:val="003C52EF"/>
    <w:rsid w:val="003C58B1"/>
    <w:rsid w:val="003C5FB3"/>
    <w:rsid w:val="003C79BF"/>
    <w:rsid w:val="003D0E58"/>
    <w:rsid w:val="003D0FFA"/>
    <w:rsid w:val="003D1283"/>
    <w:rsid w:val="003D12C4"/>
    <w:rsid w:val="003D17A9"/>
    <w:rsid w:val="003D1E1D"/>
    <w:rsid w:val="003D1E52"/>
    <w:rsid w:val="003D2615"/>
    <w:rsid w:val="003D2A41"/>
    <w:rsid w:val="003D2FB3"/>
    <w:rsid w:val="003D2FB4"/>
    <w:rsid w:val="003D3897"/>
    <w:rsid w:val="003D3AA3"/>
    <w:rsid w:val="003D3E8F"/>
    <w:rsid w:val="003D3EE5"/>
    <w:rsid w:val="003D4010"/>
    <w:rsid w:val="003D40A7"/>
    <w:rsid w:val="003D481B"/>
    <w:rsid w:val="003D51B4"/>
    <w:rsid w:val="003D5416"/>
    <w:rsid w:val="003D59ED"/>
    <w:rsid w:val="003D63E5"/>
    <w:rsid w:val="003D64A4"/>
    <w:rsid w:val="003D6533"/>
    <w:rsid w:val="003D6B1E"/>
    <w:rsid w:val="003D6C59"/>
    <w:rsid w:val="003D71AA"/>
    <w:rsid w:val="003E0275"/>
    <w:rsid w:val="003E0A6E"/>
    <w:rsid w:val="003E0BFC"/>
    <w:rsid w:val="003E0D70"/>
    <w:rsid w:val="003E16D9"/>
    <w:rsid w:val="003E1EAA"/>
    <w:rsid w:val="003E1ECA"/>
    <w:rsid w:val="003E22E7"/>
    <w:rsid w:val="003E2A83"/>
    <w:rsid w:val="003E2AA2"/>
    <w:rsid w:val="003E2FFF"/>
    <w:rsid w:val="003E361E"/>
    <w:rsid w:val="003E3929"/>
    <w:rsid w:val="003E48A3"/>
    <w:rsid w:val="003E520A"/>
    <w:rsid w:val="003E5880"/>
    <w:rsid w:val="003E5AB9"/>
    <w:rsid w:val="003E61ED"/>
    <w:rsid w:val="003E6361"/>
    <w:rsid w:val="003E6AA3"/>
    <w:rsid w:val="003E6EBB"/>
    <w:rsid w:val="003E70F2"/>
    <w:rsid w:val="003E76C9"/>
    <w:rsid w:val="003E7D25"/>
    <w:rsid w:val="003E7E96"/>
    <w:rsid w:val="003F0038"/>
    <w:rsid w:val="003F026D"/>
    <w:rsid w:val="003F0E68"/>
    <w:rsid w:val="003F0EAD"/>
    <w:rsid w:val="003F1A96"/>
    <w:rsid w:val="003F1C15"/>
    <w:rsid w:val="003F2959"/>
    <w:rsid w:val="003F2F37"/>
    <w:rsid w:val="003F37A9"/>
    <w:rsid w:val="003F38DB"/>
    <w:rsid w:val="003F44FB"/>
    <w:rsid w:val="003F496D"/>
    <w:rsid w:val="003F4A92"/>
    <w:rsid w:val="003F535B"/>
    <w:rsid w:val="003F5BF5"/>
    <w:rsid w:val="003F6074"/>
    <w:rsid w:val="003F6444"/>
    <w:rsid w:val="003F64E4"/>
    <w:rsid w:val="003F773F"/>
    <w:rsid w:val="003F7DF5"/>
    <w:rsid w:val="0040056C"/>
    <w:rsid w:val="004008B3"/>
    <w:rsid w:val="00400C28"/>
    <w:rsid w:val="00400EDD"/>
    <w:rsid w:val="00402063"/>
    <w:rsid w:val="004020B4"/>
    <w:rsid w:val="004024D5"/>
    <w:rsid w:val="00402A29"/>
    <w:rsid w:val="004031F0"/>
    <w:rsid w:val="00404206"/>
    <w:rsid w:val="004046FA"/>
    <w:rsid w:val="00404CBC"/>
    <w:rsid w:val="00405B45"/>
    <w:rsid w:val="00405DF3"/>
    <w:rsid w:val="0040651B"/>
    <w:rsid w:val="00406FF3"/>
    <w:rsid w:val="00407228"/>
    <w:rsid w:val="0040799C"/>
    <w:rsid w:val="00407E3E"/>
    <w:rsid w:val="00407F13"/>
    <w:rsid w:val="00412484"/>
    <w:rsid w:val="0041256E"/>
    <w:rsid w:val="00412742"/>
    <w:rsid w:val="00412A1C"/>
    <w:rsid w:val="00412BA7"/>
    <w:rsid w:val="00413084"/>
    <w:rsid w:val="004134A5"/>
    <w:rsid w:val="00413CEF"/>
    <w:rsid w:val="00413E17"/>
    <w:rsid w:val="00413EDB"/>
    <w:rsid w:val="00414496"/>
    <w:rsid w:val="004148C7"/>
    <w:rsid w:val="00414A75"/>
    <w:rsid w:val="00414BCF"/>
    <w:rsid w:val="004155D9"/>
    <w:rsid w:val="00415B92"/>
    <w:rsid w:val="00415BF4"/>
    <w:rsid w:val="00416760"/>
    <w:rsid w:val="00416D4A"/>
    <w:rsid w:val="004172FF"/>
    <w:rsid w:val="004173B1"/>
    <w:rsid w:val="00417579"/>
    <w:rsid w:val="004177A3"/>
    <w:rsid w:val="00420025"/>
    <w:rsid w:val="00420550"/>
    <w:rsid w:val="0042123C"/>
    <w:rsid w:val="004216D7"/>
    <w:rsid w:val="00421FD0"/>
    <w:rsid w:val="00422E43"/>
    <w:rsid w:val="0042417A"/>
    <w:rsid w:val="004244DA"/>
    <w:rsid w:val="004247E2"/>
    <w:rsid w:val="00424902"/>
    <w:rsid w:val="00425303"/>
    <w:rsid w:val="00425345"/>
    <w:rsid w:val="00425538"/>
    <w:rsid w:val="00425A49"/>
    <w:rsid w:val="004261CB"/>
    <w:rsid w:val="00426AE9"/>
    <w:rsid w:val="00427311"/>
    <w:rsid w:val="004276AD"/>
    <w:rsid w:val="00427F7C"/>
    <w:rsid w:val="00430770"/>
    <w:rsid w:val="00430D6C"/>
    <w:rsid w:val="00432A92"/>
    <w:rsid w:val="00435EAE"/>
    <w:rsid w:val="00435FCB"/>
    <w:rsid w:val="004375A4"/>
    <w:rsid w:val="00437856"/>
    <w:rsid w:val="004407CE"/>
    <w:rsid w:val="00441541"/>
    <w:rsid w:val="004418D4"/>
    <w:rsid w:val="00441DD9"/>
    <w:rsid w:val="004421A9"/>
    <w:rsid w:val="00443CC0"/>
    <w:rsid w:val="00444C9A"/>
    <w:rsid w:val="004459FA"/>
    <w:rsid w:val="00447CD8"/>
    <w:rsid w:val="00447D12"/>
    <w:rsid w:val="00447FAA"/>
    <w:rsid w:val="004503A1"/>
    <w:rsid w:val="0045086E"/>
    <w:rsid w:val="004518A8"/>
    <w:rsid w:val="00451A4E"/>
    <w:rsid w:val="004526AD"/>
    <w:rsid w:val="00452B99"/>
    <w:rsid w:val="00453556"/>
    <w:rsid w:val="004537B0"/>
    <w:rsid w:val="004538E2"/>
    <w:rsid w:val="004540CB"/>
    <w:rsid w:val="00454940"/>
    <w:rsid w:val="00454CD1"/>
    <w:rsid w:val="00455E1B"/>
    <w:rsid w:val="00456061"/>
    <w:rsid w:val="00456C37"/>
    <w:rsid w:val="00457A86"/>
    <w:rsid w:val="00460B78"/>
    <w:rsid w:val="00461B88"/>
    <w:rsid w:val="00462F8C"/>
    <w:rsid w:val="0046390C"/>
    <w:rsid w:val="004640A7"/>
    <w:rsid w:val="004660E1"/>
    <w:rsid w:val="00467E5F"/>
    <w:rsid w:val="00470997"/>
    <w:rsid w:val="004713C3"/>
    <w:rsid w:val="00471BF5"/>
    <w:rsid w:val="00471F54"/>
    <w:rsid w:val="00472748"/>
    <w:rsid w:val="004727D5"/>
    <w:rsid w:val="004727EA"/>
    <w:rsid w:val="00472CC5"/>
    <w:rsid w:val="00472F91"/>
    <w:rsid w:val="00473434"/>
    <w:rsid w:val="004735A0"/>
    <w:rsid w:val="004754FE"/>
    <w:rsid w:val="00475744"/>
    <w:rsid w:val="00475E0B"/>
    <w:rsid w:val="004764DC"/>
    <w:rsid w:val="00476853"/>
    <w:rsid w:val="00476BA8"/>
    <w:rsid w:val="004771C8"/>
    <w:rsid w:val="00477B12"/>
    <w:rsid w:val="00477B17"/>
    <w:rsid w:val="00480AF8"/>
    <w:rsid w:val="00481667"/>
    <w:rsid w:val="00481774"/>
    <w:rsid w:val="0048194C"/>
    <w:rsid w:val="00481DF9"/>
    <w:rsid w:val="00482A4B"/>
    <w:rsid w:val="00482CD1"/>
    <w:rsid w:val="00483C61"/>
    <w:rsid w:val="00483D40"/>
    <w:rsid w:val="00484256"/>
    <w:rsid w:val="00484CEB"/>
    <w:rsid w:val="004855EA"/>
    <w:rsid w:val="00485929"/>
    <w:rsid w:val="00485E33"/>
    <w:rsid w:val="00485FB8"/>
    <w:rsid w:val="00486825"/>
    <w:rsid w:val="00487446"/>
    <w:rsid w:val="0048783D"/>
    <w:rsid w:val="004879AE"/>
    <w:rsid w:val="00490A45"/>
    <w:rsid w:val="004935E5"/>
    <w:rsid w:val="004935E8"/>
    <w:rsid w:val="004941CB"/>
    <w:rsid w:val="00494886"/>
    <w:rsid w:val="0049560F"/>
    <w:rsid w:val="0049565F"/>
    <w:rsid w:val="004962B6"/>
    <w:rsid w:val="00496766"/>
    <w:rsid w:val="00497166"/>
    <w:rsid w:val="004A059B"/>
    <w:rsid w:val="004A0A24"/>
    <w:rsid w:val="004A0FF1"/>
    <w:rsid w:val="004A20FA"/>
    <w:rsid w:val="004A226B"/>
    <w:rsid w:val="004A2356"/>
    <w:rsid w:val="004A270A"/>
    <w:rsid w:val="004A2B0F"/>
    <w:rsid w:val="004A2B2F"/>
    <w:rsid w:val="004A2CE9"/>
    <w:rsid w:val="004A3075"/>
    <w:rsid w:val="004A36EE"/>
    <w:rsid w:val="004A3975"/>
    <w:rsid w:val="004A3C0E"/>
    <w:rsid w:val="004A41DA"/>
    <w:rsid w:val="004A6A8D"/>
    <w:rsid w:val="004A79D0"/>
    <w:rsid w:val="004A7C37"/>
    <w:rsid w:val="004B035E"/>
    <w:rsid w:val="004B0465"/>
    <w:rsid w:val="004B0575"/>
    <w:rsid w:val="004B0C81"/>
    <w:rsid w:val="004B14A0"/>
    <w:rsid w:val="004B23C8"/>
    <w:rsid w:val="004B3FD0"/>
    <w:rsid w:val="004B44BD"/>
    <w:rsid w:val="004B5259"/>
    <w:rsid w:val="004B59C0"/>
    <w:rsid w:val="004B635F"/>
    <w:rsid w:val="004B6E73"/>
    <w:rsid w:val="004B76E5"/>
    <w:rsid w:val="004B7970"/>
    <w:rsid w:val="004C0570"/>
    <w:rsid w:val="004C0937"/>
    <w:rsid w:val="004C0B3B"/>
    <w:rsid w:val="004C15AF"/>
    <w:rsid w:val="004C2C56"/>
    <w:rsid w:val="004C37DA"/>
    <w:rsid w:val="004C45FA"/>
    <w:rsid w:val="004C4DCC"/>
    <w:rsid w:val="004C52C7"/>
    <w:rsid w:val="004C65E3"/>
    <w:rsid w:val="004C76BA"/>
    <w:rsid w:val="004C7C39"/>
    <w:rsid w:val="004D04CB"/>
    <w:rsid w:val="004D0DAE"/>
    <w:rsid w:val="004D1484"/>
    <w:rsid w:val="004D14A8"/>
    <w:rsid w:val="004D1565"/>
    <w:rsid w:val="004D2922"/>
    <w:rsid w:val="004D2B12"/>
    <w:rsid w:val="004D2C94"/>
    <w:rsid w:val="004D34A9"/>
    <w:rsid w:val="004D36CE"/>
    <w:rsid w:val="004D4059"/>
    <w:rsid w:val="004D5733"/>
    <w:rsid w:val="004D5BFD"/>
    <w:rsid w:val="004D5C4D"/>
    <w:rsid w:val="004D65B9"/>
    <w:rsid w:val="004D6615"/>
    <w:rsid w:val="004D69C6"/>
    <w:rsid w:val="004D6C0E"/>
    <w:rsid w:val="004D765B"/>
    <w:rsid w:val="004D7B8A"/>
    <w:rsid w:val="004D7F5E"/>
    <w:rsid w:val="004E0315"/>
    <w:rsid w:val="004E0394"/>
    <w:rsid w:val="004E0763"/>
    <w:rsid w:val="004E09EB"/>
    <w:rsid w:val="004E0DEA"/>
    <w:rsid w:val="004E2CD6"/>
    <w:rsid w:val="004E2EA4"/>
    <w:rsid w:val="004E335B"/>
    <w:rsid w:val="004E3934"/>
    <w:rsid w:val="004E4A53"/>
    <w:rsid w:val="004E70ED"/>
    <w:rsid w:val="004E7302"/>
    <w:rsid w:val="004E768D"/>
    <w:rsid w:val="004E7C70"/>
    <w:rsid w:val="004F069E"/>
    <w:rsid w:val="004F0C62"/>
    <w:rsid w:val="004F16BC"/>
    <w:rsid w:val="004F1FFE"/>
    <w:rsid w:val="004F244D"/>
    <w:rsid w:val="004F330C"/>
    <w:rsid w:val="004F4385"/>
    <w:rsid w:val="004F5DEE"/>
    <w:rsid w:val="005003D2"/>
    <w:rsid w:val="00500C18"/>
    <w:rsid w:val="00501D58"/>
    <w:rsid w:val="005024CA"/>
    <w:rsid w:val="0050264B"/>
    <w:rsid w:val="0050325F"/>
    <w:rsid w:val="0050434A"/>
    <w:rsid w:val="00504596"/>
    <w:rsid w:val="00504C7D"/>
    <w:rsid w:val="00505920"/>
    <w:rsid w:val="00505FD9"/>
    <w:rsid w:val="005064E8"/>
    <w:rsid w:val="00506B74"/>
    <w:rsid w:val="00506C6C"/>
    <w:rsid w:val="00506F6E"/>
    <w:rsid w:val="005117ED"/>
    <w:rsid w:val="005119B8"/>
    <w:rsid w:val="00511AF5"/>
    <w:rsid w:val="00512E39"/>
    <w:rsid w:val="0051401B"/>
    <w:rsid w:val="0051439C"/>
    <w:rsid w:val="00514A9A"/>
    <w:rsid w:val="005157F1"/>
    <w:rsid w:val="00516227"/>
    <w:rsid w:val="00516804"/>
    <w:rsid w:val="00516820"/>
    <w:rsid w:val="0051741A"/>
    <w:rsid w:val="0051770D"/>
    <w:rsid w:val="00517D11"/>
    <w:rsid w:val="005219B1"/>
    <w:rsid w:val="00521FD4"/>
    <w:rsid w:val="00522A77"/>
    <w:rsid w:val="00522BF7"/>
    <w:rsid w:val="00523037"/>
    <w:rsid w:val="005232B1"/>
    <w:rsid w:val="00523368"/>
    <w:rsid w:val="00523B49"/>
    <w:rsid w:val="00523E26"/>
    <w:rsid w:val="00524585"/>
    <w:rsid w:val="00525E10"/>
    <w:rsid w:val="005272F1"/>
    <w:rsid w:val="005276B0"/>
    <w:rsid w:val="005279C0"/>
    <w:rsid w:val="00527A4F"/>
    <w:rsid w:val="00527BF0"/>
    <w:rsid w:val="00527CA6"/>
    <w:rsid w:val="00527FCF"/>
    <w:rsid w:val="00531A79"/>
    <w:rsid w:val="005327F5"/>
    <w:rsid w:val="00532EDA"/>
    <w:rsid w:val="005332BC"/>
    <w:rsid w:val="00533FB3"/>
    <w:rsid w:val="0053404A"/>
    <w:rsid w:val="00534B4B"/>
    <w:rsid w:val="00534CA5"/>
    <w:rsid w:val="005350F0"/>
    <w:rsid w:val="005352E0"/>
    <w:rsid w:val="00535995"/>
    <w:rsid w:val="00535F4B"/>
    <w:rsid w:val="00536134"/>
    <w:rsid w:val="00536AC9"/>
    <w:rsid w:val="00536DCD"/>
    <w:rsid w:val="005371B6"/>
    <w:rsid w:val="005378AD"/>
    <w:rsid w:val="00540078"/>
    <w:rsid w:val="00540742"/>
    <w:rsid w:val="00540CCB"/>
    <w:rsid w:val="005417F7"/>
    <w:rsid w:val="005421EE"/>
    <w:rsid w:val="0054239F"/>
    <w:rsid w:val="0054287B"/>
    <w:rsid w:val="005433AB"/>
    <w:rsid w:val="0054349A"/>
    <w:rsid w:val="00543F77"/>
    <w:rsid w:val="00543F81"/>
    <w:rsid w:val="00544501"/>
    <w:rsid w:val="00544D00"/>
    <w:rsid w:val="00545947"/>
    <w:rsid w:val="00546A4E"/>
    <w:rsid w:val="005474C1"/>
    <w:rsid w:val="005507F2"/>
    <w:rsid w:val="00550FC4"/>
    <w:rsid w:val="00551685"/>
    <w:rsid w:val="00553080"/>
    <w:rsid w:val="0055318B"/>
    <w:rsid w:val="00553591"/>
    <w:rsid w:val="00553784"/>
    <w:rsid w:val="00553AED"/>
    <w:rsid w:val="00553E94"/>
    <w:rsid w:val="00555FB2"/>
    <w:rsid w:val="00556AFB"/>
    <w:rsid w:val="0055782B"/>
    <w:rsid w:val="00560B0A"/>
    <w:rsid w:val="005613B4"/>
    <w:rsid w:val="00561BC7"/>
    <w:rsid w:val="005632D6"/>
    <w:rsid w:val="00563A34"/>
    <w:rsid w:val="00563B67"/>
    <w:rsid w:val="0056413B"/>
    <w:rsid w:val="005678E8"/>
    <w:rsid w:val="00570BC2"/>
    <w:rsid w:val="005715DB"/>
    <w:rsid w:val="00571755"/>
    <w:rsid w:val="00572945"/>
    <w:rsid w:val="005739B4"/>
    <w:rsid w:val="0057590D"/>
    <w:rsid w:val="005762D3"/>
    <w:rsid w:val="005768A3"/>
    <w:rsid w:val="00576BF0"/>
    <w:rsid w:val="00576C23"/>
    <w:rsid w:val="005771D4"/>
    <w:rsid w:val="005776BC"/>
    <w:rsid w:val="00577969"/>
    <w:rsid w:val="005817F3"/>
    <w:rsid w:val="00582425"/>
    <w:rsid w:val="005825BF"/>
    <w:rsid w:val="00582A0A"/>
    <w:rsid w:val="005831B5"/>
    <w:rsid w:val="0058332E"/>
    <w:rsid w:val="00583BE7"/>
    <w:rsid w:val="00585A66"/>
    <w:rsid w:val="00586067"/>
    <w:rsid w:val="00587873"/>
    <w:rsid w:val="005906E7"/>
    <w:rsid w:val="005908DA"/>
    <w:rsid w:val="00590DA5"/>
    <w:rsid w:val="00590FA6"/>
    <w:rsid w:val="0059120A"/>
    <w:rsid w:val="00592D85"/>
    <w:rsid w:val="00593F42"/>
    <w:rsid w:val="005943EE"/>
    <w:rsid w:val="00594AA8"/>
    <w:rsid w:val="00595A34"/>
    <w:rsid w:val="00596701"/>
    <w:rsid w:val="00596B85"/>
    <w:rsid w:val="00597E47"/>
    <w:rsid w:val="005A0739"/>
    <w:rsid w:val="005A0C56"/>
    <w:rsid w:val="005A0EDC"/>
    <w:rsid w:val="005A13B1"/>
    <w:rsid w:val="005A149D"/>
    <w:rsid w:val="005A1C40"/>
    <w:rsid w:val="005A2034"/>
    <w:rsid w:val="005A2161"/>
    <w:rsid w:val="005A21C0"/>
    <w:rsid w:val="005A2255"/>
    <w:rsid w:val="005A2D77"/>
    <w:rsid w:val="005A3648"/>
    <w:rsid w:val="005A3876"/>
    <w:rsid w:val="005A44E9"/>
    <w:rsid w:val="005A4C15"/>
    <w:rsid w:val="005A603C"/>
    <w:rsid w:val="005A6712"/>
    <w:rsid w:val="005A725B"/>
    <w:rsid w:val="005A73A7"/>
    <w:rsid w:val="005A7FD6"/>
    <w:rsid w:val="005B02A6"/>
    <w:rsid w:val="005B068C"/>
    <w:rsid w:val="005B06E0"/>
    <w:rsid w:val="005B1F37"/>
    <w:rsid w:val="005B213F"/>
    <w:rsid w:val="005B43E9"/>
    <w:rsid w:val="005B43F6"/>
    <w:rsid w:val="005B667E"/>
    <w:rsid w:val="005B6E27"/>
    <w:rsid w:val="005B6FF2"/>
    <w:rsid w:val="005B71ED"/>
    <w:rsid w:val="005B7397"/>
    <w:rsid w:val="005B74A9"/>
    <w:rsid w:val="005B75FF"/>
    <w:rsid w:val="005B7D94"/>
    <w:rsid w:val="005B7EC3"/>
    <w:rsid w:val="005C009F"/>
    <w:rsid w:val="005C1A98"/>
    <w:rsid w:val="005C2EF9"/>
    <w:rsid w:val="005C346F"/>
    <w:rsid w:val="005C3472"/>
    <w:rsid w:val="005C4417"/>
    <w:rsid w:val="005C5531"/>
    <w:rsid w:val="005C55B8"/>
    <w:rsid w:val="005C5CDC"/>
    <w:rsid w:val="005C6326"/>
    <w:rsid w:val="005C6989"/>
    <w:rsid w:val="005C7038"/>
    <w:rsid w:val="005C7304"/>
    <w:rsid w:val="005C7329"/>
    <w:rsid w:val="005C7415"/>
    <w:rsid w:val="005C7C9C"/>
    <w:rsid w:val="005D0258"/>
    <w:rsid w:val="005D044B"/>
    <w:rsid w:val="005D1B57"/>
    <w:rsid w:val="005D1E2F"/>
    <w:rsid w:val="005D2C51"/>
    <w:rsid w:val="005D3025"/>
    <w:rsid w:val="005D334E"/>
    <w:rsid w:val="005D36BC"/>
    <w:rsid w:val="005D3FCB"/>
    <w:rsid w:val="005D49D3"/>
    <w:rsid w:val="005D4BDD"/>
    <w:rsid w:val="005D6C00"/>
    <w:rsid w:val="005D71CF"/>
    <w:rsid w:val="005D773A"/>
    <w:rsid w:val="005E066D"/>
    <w:rsid w:val="005E08AF"/>
    <w:rsid w:val="005E13B8"/>
    <w:rsid w:val="005E1B78"/>
    <w:rsid w:val="005E2D99"/>
    <w:rsid w:val="005E2F1C"/>
    <w:rsid w:val="005E54AC"/>
    <w:rsid w:val="005E5577"/>
    <w:rsid w:val="005E5722"/>
    <w:rsid w:val="005E5ECD"/>
    <w:rsid w:val="005E6519"/>
    <w:rsid w:val="005E66F5"/>
    <w:rsid w:val="005E6A04"/>
    <w:rsid w:val="005E708D"/>
    <w:rsid w:val="005E7A87"/>
    <w:rsid w:val="005F1EE2"/>
    <w:rsid w:val="005F2538"/>
    <w:rsid w:val="005F29CB"/>
    <w:rsid w:val="005F332F"/>
    <w:rsid w:val="005F4954"/>
    <w:rsid w:val="005F4D83"/>
    <w:rsid w:val="005F579F"/>
    <w:rsid w:val="005F57E1"/>
    <w:rsid w:val="005F5CB4"/>
    <w:rsid w:val="005F5F7F"/>
    <w:rsid w:val="005F6D8C"/>
    <w:rsid w:val="005F6F13"/>
    <w:rsid w:val="00600634"/>
    <w:rsid w:val="006006B7"/>
    <w:rsid w:val="006012BB"/>
    <w:rsid w:val="006017DE"/>
    <w:rsid w:val="0060184A"/>
    <w:rsid w:val="00601B8F"/>
    <w:rsid w:val="006021E0"/>
    <w:rsid w:val="00603F7C"/>
    <w:rsid w:val="00604111"/>
    <w:rsid w:val="006042FC"/>
    <w:rsid w:val="00604D96"/>
    <w:rsid w:val="00604FDB"/>
    <w:rsid w:val="006059DA"/>
    <w:rsid w:val="006059EA"/>
    <w:rsid w:val="00606264"/>
    <w:rsid w:val="006072FB"/>
    <w:rsid w:val="006075CC"/>
    <w:rsid w:val="00610119"/>
    <w:rsid w:val="00610368"/>
    <w:rsid w:val="00610602"/>
    <w:rsid w:val="00610D9E"/>
    <w:rsid w:val="00611E63"/>
    <w:rsid w:val="0061307B"/>
    <w:rsid w:val="006139EB"/>
    <w:rsid w:val="00613A10"/>
    <w:rsid w:val="00614179"/>
    <w:rsid w:val="00615A0E"/>
    <w:rsid w:val="00615EAD"/>
    <w:rsid w:val="00616142"/>
    <w:rsid w:val="006170A4"/>
    <w:rsid w:val="00617257"/>
    <w:rsid w:val="00620104"/>
    <w:rsid w:val="00620B4A"/>
    <w:rsid w:val="00620EA0"/>
    <w:rsid w:val="00620F04"/>
    <w:rsid w:val="006213D4"/>
    <w:rsid w:val="006218C5"/>
    <w:rsid w:val="00621A18"/>
    <w:rsid w:val="00622B4A"/>
    <w:rsid w:val="00622BEA"/>
    <w:rsid w:val="00623E72"/>
    <w:rsid w:val="0062477F"/>
    <w:rsid w:val="0062482C"/>
    <w:rsid w:val="00624FEE"/>
    <w:rsid w:val="0062610E"/>
    <w:rsid w:val="00626299"/>
    <w:rsid w:val="006269AA"/>
    <w:rsid w:val="00626A59"/>
    <w:rsid w:val="00626DF1"/>
    <w:rsid w:val="00627727"/>
    <w:rsid w:val="00627CEE"/>
    <w:rsid w:val="00627D8D"/>
    <w:rsid w:val="0063020E"/>
    <w:rsid w:val="00630266"/>
    <w:rsid w:val="00630DEE"/>
    <w:rsid w:val="006328E5"/>
    <w:rsid w:val="00632E0C"/>
    <w:rsid w:val="0063384A"/>
    <w:rsid w:val="00633C54"/>
    <w:rsid w:val="00633F3B"/>
    <w:rsid w:val="00634BB9"/>
    <w:rsid w:val="00634F26"/>
    <w:rsid w:val="006351D2"/>
    <w:rsid w:val="00635C66"/>
    <w:rsid w:val="00635D8E"/>
    <w:rsid w:val="00635ED5"/>
    <w:rsid w:val="0063652C"/>
    <w:rsid w:val="006368BE"/>
    <w:rsid w:val="00637799"/>
    <w:rsid w:val="006408C2"/>
    <w:rsid w:val="00640B49"/>
    <w:rsid w:val="00640C46"/>
    <w:rsid w:val="00641DA6"/>
    <w:rsid w:val="0064221D"/>
    <w:rsid w:val="00642590"/>
    <w:rsid w:val="00642688"/>
    <w:rsid w:val="00642D97"/>
    <w:rsid w:val="00642E25"/>
    <w:rsid w:val="00643582"/>
    <w:rsid w:val="00644521"/>
    <w:rsid w:val="00644C09"/>
    <w:rsid w:val="00644F59"/>
    <w:rsid w:val="00644F75"/>
    <w:rsid w:val="006453F8"/>
    <w:rsid w:val="006454D9"/>
    <w:rsid w:val="00645AFD"/>
    <w:rsid w:val="00645B57"/>
    <w:rsid w:val="00645C57"/>
    <w:rsid w:val="006465B6"/>
    <w:rsid w:val="00646FC3"/>
    <w:rsid w:val="0064717A"/>
    <w:rsid w:val="00650155"/>
    <w:rsid w:val="0065100F"/>
    <w:rsid w:val="006519DB"/>
    <w:rsid w:val="00651ED1"/>
    <w:rsid w:val="0065236E"/>
    <w:rsid w:val="00652BD0"/>
    <w:rsid w:val="00652C2E"/>
    <w:rsid w:val="00652C53"/>
    <w:rsid w:val="00652DCA"/>
    <w:rsid w:val="00652DFC"/>
    <w:rsid w:val="006530F9"/>
    <w:rsid w:val="00653332"/>
    <w:rsid w:val="00653364"/>
    <w:rsid w:val="006533D0"/>
    <w:rsid w:val="00653B93"/>
    <w:rsid w:val="00653DCE"/>
    <w:rsid w:val="0065455A"/>
    <w:rsid w:val="00655B83"/>
    <w:rsid w:val="00655F86"/>
    <w:rsid w:val="006561ED"/>
    <w:rsid w:val="0065628C"/>
    <w:rsid w:val="006562DD"/>
    <w:rsid w:val="006563F4"/>
    <w:rsid w:val="00656856"/>
    <w:rsid w:val="00656D16"/>
    <w:rsid w:val="0065792C"/>
    <w:rsid w:val="00660FA0"/>
    <w:rsid w:val="00661893"/>
    <w:rsid w:val="00661BA9"/>
    <w:rsid w:val="00662001"/>
    <w:rsid w:val="006628F2"/>
    <w:rsid w:val="0066298F"/>
    <w:rsid w:val="00663B0F"/>
    <w:rsid w:val="00663B11"/>
    <w:rsid w:val="0066506D"/>
    <w:rsid w:val="00665406"/>
    <w:rsid w:val="00665543"/>
    <w:rsid w:val="00665639"/>
    <w:rsid w:val="00665B87"/>
    <w:rsid w:val="00666051"/>
    <w:rsid w:val="006666B1"/>
    <w:rsid w:val="006667BD"/>
    <w:rsid w:val="00670A83"/>
    <w:rsid w:val="00670C34"/>
    <w:rsid w:val="0067249B"/>
    <w:rsid w:val="006730F5"/>
    <w:rsid w:val="00673F4B"/>
    <w:rsid w:val="006743AC"/>
    <w:rsid w:val="0067462D"/>
    <w:rsid w:val="00675030"/>
    <w:rsid w:val="00675D66"/>
    <w:rsid w:val="00675F1D"/>
    <w:rsid w:val="0067631F"/>
    <w:rsid w:val="00676BB1"/>
    <w:rsid w:val="00677A77"/>
    <w:rsid w:val="006802D6"/>
    <w:rsid w:val="00680F79"/>
    <w:rsid w:val="00680FB8"/>
    <w:rsid w:val="006811E4"/>
    <w:rsid w:val="006812F2"/>
    <w:rsid w:val="0068131C"/>
    <w:rsid w:val="00683813"/>
    <w:rsid w:val="00683B99"/>
    <w:rsid w:val="00684A62"/>
    <w:rsid w:val="00685A39"/>
    <w:rsid w:val="006860E3"/>
    <w:rsid w:val="006860F3"/>
    <w:rsid w:val="00686C66"/>
    <w:rsid w:val="00687B69"/>
    <w:rsid w:val="00687D99"/>
    <w:rsid w:val="00690A95"/>
    <w:rsid w:val="00690ADC"/>
    <w:rsid w:val="00690ADD"/>
    <w:rsid w:val="00690C8F"/>
    <w:rsid w:val="00691B0B"/>
    <w:rsid w:val="00692141"/>
    <w:rsid w:val="006924A1"/>
    <w:rsid w:val="00693181"/>
    <w:rsid w:val="00694A26"/>
    <w:rsid w:val="00694A5A"/>
    <w:rsid w:val="0069531D"/>
    <w:rsid w:val="00695714"/>
    <w:rsid w:val="0069588F"/>
    <w:rsid w:val="0069589D"/>
    <w:rsid w:val="00695D4C"/>
    <w:rsid w:val="0069650F"/>
    <w:rsid w:val="006965E9"/>
    <w:rsid w:val="006977DD"/>
    <w:rsid w:val="006A001B"/>
    <w:rsid w:val="006A00F5"/>
    <w:rsid w:val="006A03D1"/>
    <w:rsid w:val="006A059D"/>
    <w:rsid w:val="006A0654"/>
    <w:rsid w:val="006A0AA5"/>
    <w:rsid w:val="006A1744"/>
    <w:rsid w:val="006A2E65"/>
    <w:rsid w:val="006A35D2"/>
    <w:rsid w:val="006A363E"/>
    <w:rsid w:val="006A3A17"/>
    <w:rsid w:val="006A5704"/>
    <w:rsid w:val="006A61E9"/>
    <w:rsid w:val="006A61FC"/>
    <w:rsid w:val="006A63F6"/>
    <w:rsid w:val="006A787A"/>
    <w:rsid w:val="006A7C8B"/>
    <w:rsid w:val="006B0479"/>
    <w:rsid w:val="006B106C"/>
    <w:rsid w:val="006B13E4"/>
    <w:rsid w:val="006B145B"/>
    <w:rsid w:val="006B2AD0"/>
    <w:rsid w:val="006B48D0"/>
    <w:rsid w:val="006B48EA"/>
    <w:rsid w:val="006B5708"/>
    <w:rsid w:val="006B5C1B"/>
    <w:rsid w:val="006B5CCF"/>
    <w:rsid w:val="006B64AE"/>
    <w:rsid w:val="006B7595"/>
    <w:rsid w:val="006B787F"/>
    <w:rsid w:val="006B79A4"/>
    <w:rsid w:val="006C0998"/>
    <w:rsid w:val="006C110F"/>
    <w:rsid w:val="006C1D57"/>
    <w:rsid w:val="006C21AF"/>
    <w:rsid w:val="006C2C2B"/>
    <w:rsid w:val="006C30AA"/>
    <w:rsid w:val="006C3475"/>
    <w:rsid w:val="006C3934"/>
    <w:rsid w:val="006C4277"/>
    <w:rsid w:val="006C557C"/>
    <w:rsid w:val="006C58E2"/>
    <w:rsid w:val="006C6239"/>
    <w:rsid w:val="006C6627"/>
    <w:rsid w:val="006C6CD6"/>
    <w:rsid w:val="006C6E9E"/>
    <w:rsid w:val="006C7044"/>
    <w:rsid w:val="006C7707"/>
    <w:rsid w:val="006C78F0"/>
    <w:rsid w:val="006D086E"/>
    <w:rsid w:val="006D0999"/>
    <w:rsid w:val="006D0F78"/>
    <w:rsid w:val="006D24F9"/>
    <w:rsid w:val="006D2B95"/>
    <w:rsid w:val="006D2FFF"/>
    <w:rsid w:val="006D37E5"/>
    <w:rsid w:val="006D39F4"/>
    <w:rsid w:val="006D3D23"/>
    <w:rsid w:val="006D435F"/>
    <w:rsid w:val="006D45AD"/>
    <w:rsid w:val="006D4619"/>
    <w:rsid w:val="006D49E3"/>
    <w:rsid w:val="006D52E4"/>
    <w:rsid w:val="006D56C5"/>
    <w:rsid w:val="006D58CD"/>
    <w:rsid w:val="006D5994"/>
    <w:rsid w:val="006D641C"/>
    <w:rsid w:val="006D65E0"/>
    <w:rsid w:val="006D6EDF"/>
    <w:rsid w:val="006D6FAC"/>
    <w:rsid w:val="006D7410"/>
    <w:rsid w:val="006D7B81"/>
    <w:rsid w:val="006D7E00"/>
    <w:rsid w:val="006E0545"/>
    <w:rsid w:val="006E070E"/>
    <w:rsid w:val="006E1161"/>
    <w:rsid w:val="006E1B9B"/>
    <w:rsid w:val="006E2CF9"/>
    <w:rsid w:val="006E3D02"/>
    <w:rsid w:val="006E3EF7"/>
    <w:rsid w:val="006E42F2"/>
    <w:rsid w:val="006E438D"/>
    <w:rsid w:val="006E51BA"/>
    <w:rsid w:val="006E5304"/>
    <w:rsid w:val="006E6443"/>
    <w:rsid w:val="006E6628"/>
    <w:rsid w:val="006E6A4C"/>
    <w:rsid w:val="006E6BED"/>
    <w:rsid w:val="006E6BF1"/>
    <w:rsid w:val="006E6D5B"/>
    <w:rsid w:val="006E7089"/>
    <w:rsid w:val="006E7535"/>
    <w:rsid w:val="006E76C2"/>
    <w:rsid w:val="006E7AEA"/>
    <w:rsid w:val="006E7DCB"/>
    <w:rsid w:val="006F0285"/>
    <w:rsid w:val="006F0714"/>
    <w:rsid w:val="006F0968"/>
    <w:rsid w:val="006F1304"/>
    <w:rsid w:val="006F2FD6"/>
    <w:rsid w:val="006F387B"/>
    <w:rsid w:val="006F560C"/>
    <w:rsid w:val="006F6203"/>
    <w:rsid w:val="006F64A8"/>
    <w:rsid w:val="006F6F1C"/>
    <w:rsid w:val="006F7751"/>
    <w:rsid w:val="00700120"/>
    <w:rsid w:val="00700ED5"/>
    <w:rsid w:val="00701671"/>
    <w:rsid w:val="00701FC2"/>
    <w:rsid w:val="007024A8"/>
    <w:rsid w:val="0070326F"/>
    <w:rsid w:val="00704207"/>
    <w:rsid w:val="007049E0"/>
    <w:rsid w:val="00705323"/>
    <w:rsid w:val="0070623A"/>
    <w:rsid w:val="00707AF7"/>
    <w:rsid w:val="00707CC9"/>
    <w:rsid w:val="007115B8"/>
    <w:rsid w:val="0071196A"/>
    <w:rsid w:val="00711E7A"/>
    <w:rsid w:val="00712694"/>
    <w:rsid w:val="00712CA0"/>
    <w:rsid w:val="00712F4D"/>
    <w:rsid w:val="0071321F"/>
    <w:rsid w:val="0071339D"/>
    <w:rsid w:val="007136B9"/>
    <w:rsid w:val="0071432C"/>
    <w:rsid w:val="007171EF"/>
    <w:rsid w:val="007208D5"/>
    <w:rsid w:val="00721CAF"/>
    <w:rsid w:val="00721F7C"/>
    <w:rsid w:val="00723208"/>
    <w:rsid w:val="00725CA6"/>
    <w:rsid w:val="00726FE9"/>
    <w:rsid w:val="0072716D"/>
    <w:rsid w:val="00727B7C"/>
    <w:rsid w:val="00730904"/>
    <w:rsid w:val="00731688"/>
    <w:rsid w:val="00731E18"/>
    <w:rsid w:val="007325B5"/>
    <w:rsid w:val="007329F1"/>
    <w:rsid w:val="00733821"/>
    <w:rsid w:val="00733C91"/>
    <w:rsid w:val="007348F1"/>
    <w:rsid w:val="00734AA6"/>
    <w:rsid w:val="00734DDE"/>
    <w:rsid w:val="00736505"/>
    <w:rsid w:val="00737F31"/>
    <w:rsid w:val="007403CC"/>
    <w:rsid w:val="007410AB"/>
    <w:rsid w:val="00741290"/>
    <w:rsid w:val="007432BB"/>
    <w:rsid w:val="00743410"/>
    <w:rsid w:val="0074431C"/>
    <w:rsid w:val="00745E26"/>
    <w:rsid w:val="0074656C"/>
    <w:rsid w:val="00747E7F"/>
    <w:rsid w:val="007523BF"/>
    <w:rsid w:val="00752E8A"/>
    <w:rsid w:val="007534A4"/>
    <w:rsid w:val="0075377E"/>
    <w:rsid w:val="0075382E"/>
    <w:rsid w:val="00754073"/>
    <w:rsid w:val="007541E7"/>
    <w:rsid w:val="007548C3"/>
    <w:rsid w:val="00754AFB"/>
    <w:rsid w:val="00760169"/>
    <w:rsid w:val="007605CB"/>
    <w:rsid w:val="0076148A"/>
    <w:rsid w:val="0076191A"/>
    <w:rsid w:val="00761A5F"/>
    <w:rsid w:val="00762611"/>
    <w:rsid w:val="0076275A"/>
    <w:rsid w:val="00762A18"/>
    <w:rsid w:val="00762D14"/>
    <w:rsid w:val="00763501"/>
    <w:rsid w:val="00763FD4"/>
    <w:rsid w:val="0076447D"/>
    <w:rsid w:val="007644D1"/>
    <w:rsid w:val="00764A46"/>
    <w:rsid w:val="007651B1"/>
    <w:rsid w:val="00765411"/>
    <w:rsid w:val="0076580D"/>
    <w:rsid w:val="0076652B"/>
    <w:rsid w:val="00766968"/>
    <w:rsid w:val="00766D65"/>
    <w:rsid w:val="007671E9"/>
    <w:rsid w:val="0077010F"/>
    <w:rsid w:val="00771190"/>
    <w:rsid w:val="0077188F"/>
    <w:rsid w:val="0077258E"/>
    <w:rsid w:val="00772975"/>
    <w:rsid w:val="007731E4"/>
    <w:rsid w:val="00773677"/>
    <w:rsid w:val="00775114"/>
    <w:rsid w:val="00775494"/>
    <w:rsid w:val="00775B7A"/>
    <w:rsid w:val="00776083"/>
    <w:rsid w:val="00776A97"/>
    <w:rsid w:val="007772DA"/>
    <w:rsid w:val="00777929"/>
    <w:rsid w:val="0078010B"/>
    <w:rsid w:val="0078038B"/>
    <w:rsid w:val="00780B43"/>
    <w:rsid w:val="00780F25"/>
    <w:rsid w:val="00781473"/>
    <w:rsid w:val="00781C52"/>
    <w:rsid w:val="00782435"/>
    <w:rsid w:val="007828F7"/>
    <w:rsid w:val="00783CA6"/>
    <w:rsid w:val="007847D7"/>
    <w:rsid w:val="00784A21"/>
    <w:rsid w:val="00786A45"/>
    <w:rsid w:val="007872AB"/>
    <w:rsid w:val="00790D9C"/>
    <w:rsid w:val="00790F7A"/>
    <w:rsid w:val="007923E7"/>
    <w:rsid w:val="007929DE"/>
    <w:rsid w:val="0079344A"/>
    <w:rsid w:val="00794235"/>
    <w:rsid w:val="0079446D"/>
    <w:rsid w:val="0079456D"/>
    <w:rsid w:val="00794757"/>
    <w:rsid w:val="00794BBD"/>
    <w:rsid w:val="007964E1"/>
    <w:rsid w:val="00796508"/>
    <w:rsid w:val="007975E9"/>
    <w:rsid w:val="007A0C67"/>
    <w:rsid w:val="007A2567"/>
    <w:rsid w:val="007A2FD9"/>
    <w:rsid w:val="007A3096"/>
    <w:rsid w:val="007A37DB"/>
    <w:rsid w:val="007A3905"/>
    <w:rsid w:val="007A3FAC"/>
    <w:rsid w:val="007A5E85"/>
    <w:rsid w:val="007A66C7"/>
    <w:rsid w:val="007A6826"/>
    <w:rsid w:val="007A6E31"/>
    <w:rsid w:val="007B0B0E"/>
    <w:rsid w:val="007B1369"/>
    <w:rsid w:val="007B13B2"/>
    <w:rsid w:val="007B1B27"/>
    <w:rsid w:val="007B1C88"/>
    <w:rsid w:val="007B1DEC"/>
    <w:rsid w:val="007B2442"/>
    <w:rsid w:val="007B338C"/>
    <w:rsid w:val="007B3424"/>
    <w:rsid w:val="007B35D2"/>
    <w:rsid w:val="007B60AB"/>
    <w:rsid w:val="007B60F9"/>
    <w:rsid w:val="007B6A1B"/>
    <w:rsid w:val="007B73F5"/>
    <w:rsid w:val="007B750D"/>
    <w:rsid w:val="007B777D"/>
    <w:rsid w:val="007B7798"/>
    <w:rsid w:val="007C00AE"/>
    <w:rsid w:val="007C018B"/>
    <w:rsid w:val="007C1A65"/>
    <w:rsid w:val="007C1B57"/>
    <w:rsid w:val="007C264E"/>
    <w:rsid w:val="007C29C2"/>
    <w:rsid w:val="007C2D9C"/>
    <w:rsid w:val="007C3C16"/>
    <w:rsid w:val="007C3CC8"/>
    <w:rsid w:val="007C463D"/>
    <w:rsid w:val="007C4A90"/>
    <w:rsid w:val="007C54AA"/>
    <w:rsid w:val="007C6876"/>
    <w:rsid w:val="007C716B"/>
    <w:rsid w:val="007C7C96"/>
    <w:rsid w:val="007D00AD"/>
    <w:rsid w:val="007D0C7E"/>
    <w:rsid w:val="007D0D04"/>
    <w:rsid w:val="007D1EEF"/>
    <w:rsid w:val="007D2112"/>
    <w:rsid w:val="007D21EF"/>
    <w:rsid w:val="007D2A2A"/>
    <w:rsid w:val="007D2F61"/>
    <w:rsid w:val="007D3123"/>
    <w:rsid w:val="007D3C27"/>
    <w:rsid w:val="007D5FA9"/>
    <w:rsid w:val="007D6213"/>
    <w:rsid w:val="007D667E"/>
    <w:rsid w:val="007D6A19"/>
    <w:rsid w:val="007D6A50"/>
    <w:rsid w:val="007D71B0"/>
    <w:rsid w:val="007E0115"/>
    <w:rsid w:val="007E0B05"/>
    <w:rsid w:val="007E0E52"/>
    <w:rsid w:val="007E1145"/>
    <w:rsid w:val="007E173A"/>
    <w:rsid w:val="007E17A9"/>
    <w:rsid w:val="007E2259"/>
    <w:rsid w:val="007E26B1"/>
    <w:rsid w:val="007E2B59"/>
    <w:rsid w:val="007E2DD5"/>
    <w:rsid w:val="007E30C9"/>
    <w:rsid w:val="007E3DE9"/>
    <w:rsid w:val="007E3F31"/>
    <w:rsid w:val="007E49EB"/>
    <w:rsid w:val="007E517E"/>
    <w:rsid w:val="007E54C5"/>
    <w:rsid w:val="007E5547"/>
    <w:rsid w:val="007E5DFE"/>
    <w:rsid w:val="007E6586"/>
    <w:rsid w:val="007E71E3"/>
    <w:rsid w:val="007E721D"/>
    <w:rsid w:val="007E78E7"/>
    <w:rsid w:val="007E7A2D"/>
    <w:rsid w:val="007F083E"/>
    <w:rsid w:val="007F0A85"/>
    <w:rsid w:val="007F2A40"/>
    <w:rsid w:val="007F49BD"/>
    <w:rsid w:val="007F4F7B"/>
    <w:rsid w:val="007F6317"/>
    <w:rsid w:val="007F633E"/>
    <w:rsid w:val="007F70E3"/>
    <w:rsid w:val="007F7E88"/>
    <w:rsid w:val="00801779"/>
    <w:rsid w:val="00801850"/>
    <w:rsid w:val="00801B70"/>
    <w:rsid w:val="00801D62"/>
    <w:rsid w:val="00801E4F"/>
    <w:rsid w:val="00802890"/>
    <w:rsid w:val="00802AAE"/>
    <w:rsid w:val="00802CDD"/>
    <w:rsid w:val="00802F8A"/>
    <w:rsid w:val="00803887"/>
    <w:rsid w:val="00803AA7"/>
    <w:rsid w:val="00804271"/>
    <w:rsid w:val="00804315"/>
    <w:rsid w:val="0080439D"/>
    <w:rsid w:val="0080502D"/>
    <w:rsid w:val="008058BB"/>
    <w:rsid w:val="00806970"/>
    <w:rsid w:val="00806EE9"/>
    <w:rsid w:val="008077D2"/>
    <w:rsid w:val="00807A63"/>
    <w:rsid w:val="0081016D"/>
    <w:rsid w:val="00810C27"/>
    <w:rsid w:val="00811EE7"/>
    <w:rsid w:val="00812B2F"/>
    <w:rsid w:val="00813B47"/>
    <w:rsid w:val="008143A1"/>
    <w:rsid w:val="00814C5D"/>
    <w:rsid w:val="008150FA"/>
    <w:rsid w:val="0081557F"/>
    <w:rsid w:val="00815DFE"/>
    <w:rsid w:val="008161C4"/>
    <w:rsid w:val="008164E8"/>
    <w:rsid w:val="00816869"/>
    <w:rsid w:val="008171C6"/>
    <w:rsid w:val="00817461"/>
    <w:rsid w:val="008174D0"/>
    <w:rsid w:val="008178FD"/>
    <w:rsid w:val="00817ACD"/>
    <w:rsid w:val="0082092C"/>
    <w:rsid w:val="00820D40"/>
    <w:rsid w:val="00820D57"/>
    <w:rsid w:val="00821629"/>
    <w:rsid w:val="008218A2"/>
    <w:rsid w:val="008238D6"/>
    <w:rsid w:val="008239B1"/>
    <w:rsid w:val="00824C98"/>
    <w:rsid w:val="00825196"/>
    <w:rsid w:val="008258D2"/>
    <w:rsid w:val="008260FC"/>
    <w:rsid w:val="0082634D"/>
    <w:rsid w:val="00827457"/>
    <w:rsid w:val="00827505"/>
    <w:rsid w:val="008275E8"/>
    <w:rsid w:val="00827932"/>
    <w:rsid w:val="00827DF8"/>
    <w:rsid w:val="0083071C"/>
    <w:rsid w:val="00831A12"/>
    <w:rsid w:val="00832CA2"/>
    <w:rsid w:val="00833567"/>
    <w:rsid w:val="00833DF3"/>
    <w:rsid w:val="00834361"/>
    <w:rsid w:val="0083451B"/>
    <w:rsid w:val="00834EF2"/>
    <w:rsid w:val="00834F45"/>
    <w:rsid w:val="008373F6"/>
    <w:rsid w:val="00837617"/>
    <w:rsid w:val="0083777F"/>
    <w:rsid w:val="00837D51"/>
    <w:rsid w:val="008400B8"/>
    <w:rsid w:val="00840173"/>
    <w:rsid w:val="008404D8"/>
    <w:rsid w:val="0084065B"/>
    <w:rsid w:val="0084089C"/>
    <w:rsid w:val="0084095E"/>
    <w:rsid w:val="00840ADB"/>
    <w:rsid w:val="00840BA2"/>
    <w:rsid w:val="008410CE"/>
    <w:rsid w:val="0084260F"/>
    <w:rsid w:val="008427DF"/>
    <w:rsid w:val="00842CF9"/>
    <w:rsid w:val="00843214"/>
    <w:rsid w:val="00843661"/>
    <w:rsid w:val="00843EF5"/>
    <w:rsid w:val="0084411B"/>
    <w:rsid w:val="00844317"/>
    <w:rsid w:val="00844EE2"/>
    <w:rsid w:val="008450D7"/>
    <w:rsid w:val="00846098"/>
    <w:rsid w:val="00847D4F"/>
    <w:rsid w:val="00850124"/>
    <w:rsid w:val="00851366"/>
    <w:rsid w:val="00851B2E"/>
    <w:rsid w:val="00851BAA"/>
    <w:rsid w:val="00851C7D"/>
    <w:rsid w:val="00851D8C"/>
    <w:rsid w:val="00851FED"/>
    <w:rsid w:val="008534D0"/>
    <w:rsid w:val="008537FB"/>
    <w:rsid w:val="00853BDE"/>
    <w:rsid w:val="00853D67"/>
    <w:rsid w:val="00854551"/>
    <w:rsid w:val="008546BD"/>
    <w:rsid w:val="00855126"/>
    <w:rsid w:val="00855588"/>
    <w:rsid w:val="008569F2"/>
    <w:rsid w:val="00856E07"/>
    <w:rsid w:val="00856E84"/>
    <w:rsid w:val="00856F69"/>
    <w:rsid w:val="00857490"/>
    <w:rsid w:val="00860576"/>
    <w:rsid w:val="00860DEE"/>
    <w:rsid w:val="0086154E"/>
    <w:rsid w:val="00862FE1"/>
    <w:rsid w:val="008634A5"/>
    <w:rsid w:val="0086456A"/>
    <w:rsid w:val="00864D25"/>
    <w:rsid w:val="00865689"/>
    <w:rsid w:val="00865DBD"/>
    <w:rsid w:val="008667B4"/>
    <w:rsid w:val="00866A66"/>
    <w:rsid w:val="0086714E"/>
    <w:rsid w:val="0086771C"/>
    <w:rsid w:val="00867A96"/>
    <w:rsid w:val="008713C1"/>
    <w:rsid w:val="00871E03"/>
    <w:rsid w:val="008730AC"/>
    <w:rsid w:val="00873446"/>
    <w:rsid w:val="008735D2"/>
    <w:rsid w:val="008740C0"/>
    <w:rsid w:val="008745EB"/>
    <w:rsid w:val="00875D5A"/>
    <w:rsid w:val="00876363"/>
    <w:rsid w:val="00876967"/>
    <w:rsid w:val="00876A96"/>
    <w:rsid w:val="00876D72"/>
    <w:rsid w:val="00876E16"/>
    <w:rsid w:val="00877C77"/>
    <w:rsid w:val="00880181"/>
    <w:rsid w:val="008801E0"/>
    <w:rsid w:val="00882399"/>
    <w:rsid w:val="00882852"/>
    <w:rsid w:val="00882D18"/>
    <w:rsid w:val="00883A32"/>
    <w:rsid w:val="00883AB2"/>
    <w:rsid w:val="00884E65"/>
    <w:rsid w:val="00885D1E"/>
    <w:rsid w:val="00886608"/>
    <w:rsid w:val="008870BC"/>
    <w:rsid w:val="0088797C"/>
    <w:rsid w:val="00890722"/>
    <w:rsid w:val="00890AB3"/>
    <w:rsid w:val="00890CA0"/>
    <w:rsid w:val="008916DB"/>
    <w:rsid w:val="0089499D"/>
    <w:rsid w:val="00896312"/>
    <w:rsid w:val="00896746"/>
    <w:rsid w:val="008A0260"/>
    <w:rsid w:val="008A04DF"/>
    <w:rsid w:val="008A1E02"/>
    <w:rsid w:val="008A1F3A"/>
    <w:rsid w:val="008A22E0"/>
    <w:rsid w:val="008A25DE"/>
    <w:rsid w:val="008A2881"/>
    <w:rsid w:val="008A303D"/>
    <w:rsid w:val="008A3763"/>
    <w:rsid w:val="008A4905"/>
    <w:rsid w:val="008A4AD4"/>
    <w:rsid w:val="008A4B70"/>
    <w:rsid w:val="008A56DF"/>
    <w:rsid w:val="008A5CDE"/>
    <w:rsid w:val="008A6613"/>
    <w:rsid w:val="008A7221"/>
    <w:rsid w:val="008A757D"/>
    <w:rsid w:val="008A7D01"/>
    <w:rsid w:val="008B04D7"/>
    <w:rsid w:val="008B0845"/>
    <w:rsid w:val="008B119D"/>
    <w:rsid w:val="008B17B4"/>
    <w:rsid w:val="008B1AC9"/>
    <w:rsid w:val="008B1B06"/>
    <w:rsid w:val="008B2EE3"/>
    <w:rsid w:val="008B3E12"/>
    <w:rsid w:val="008B4623"/>
    <w:rsid w:val="008B4728"/>
    <w:rsid w:val="008B4DC8"/>
    <w:rsid w:val="008B4E24"/>
    <w:rsid w:val="008B66A3"/>
    <w:rsid w:val="008B6C51"/>
    <w:rsid w:val="008B71A6"/>
    <w:rsid w:val="008B7C65"/>
    <w:rsid w:val="008B7F3B"/>
    <w:rsid w:val="008C17D5"/>
    <w:rsid w:val="008C1CC9"/>
    <w:rsid w:val="008C2DA4"/>
    <w:rsid w:val="008C3BA2"/>
    <w:rsid w:val="008C476C"/>
    <w:rsid w:val="008C4877"/>
    <w:rsid w:val="008C53B8"/>
    <w:rsid w:val="008C582A"/>
    <w:rsid w:val="008C5F9B"/>
    <w:rsid w:val="008C723B"/>
    <w:rsid w:val="008D0929"/>
    <w:rsid w:val="008D0A05"/>
    <w:rsid w:val="008D19F8"/>
    <w:rsid w:val="008D1BCD"/>
    <w:rsid w:val="008D2CD4"/>
    <w:rsid w:val="008D3079"/>
    <w:rsid w:val="008D320A"/>
    <w:rsid w:val="008D6D5E"/>
    <w:rsid w:val="008D6D87"/>
    <w:rsid w:val="008D7D64"/>
    <w:rsid w:val="008E0075"/>
    <w:rsid w:val="008E04EE"/>
    <w:rsid w:val="008E07CA"/>
    <w:rsid w:val="008E1479"/>
    <w:rsid w:val="008E2564"/>
    <w:rsid w:val="008E27C1"/>
    <w:rsid w:val="008E2B54"/>
    <w:rsid w:val="008E2EB2"/>
    <w:rsid w:val="008E3200"/>
    <w:rsid w:val="008E3475"/>
    <w:rsid w:val="008E40CC"/>
    <w:rsid w:val="008E47A4"/>
    <w:rsid w:val="008E4E44"/>
    <w:rsid w:val="008E5D72"/>
    <w:rsid w:val="008E6634"/>
    <w:rsid w:val="008E675A"/>
    <w:rsid w:val="008E6C53"/>
    <w:rsid w:val="008E7055"/>
    <w:rsid w:val="008E71C8"/>
    <w:rsid w:val="008E755E"/>
    <w:rsid w:val="008E7A24"/>
    <w:rsid w:val="008F1149"/>
    <w:rsid w:val="008F11BB"/>
    <w:rsid w:val="008F16D8"/>
    <w:rsid w:val="008F1A7E"/>
    <w:rsid w:val="008F1C0B"/>
    <w:rsid w:val="008F20D5"/>
    <w:rsid w:val="008F2501"/>
    <w:rsid w:val="008F3027"/>
    <w:rsid w:val="008F3A32"/>
    <w:rsid w:val="008F3C30"/>
    <w:rsid w:val="008F605E"/>
    <w:rsid w:val="008F6356"/>
    <w:rsid w:val="00900709"/>
    <w:rsid w:val="00901388"/>
    <w:rsid w:val="009014D7"/>
    <w:rsid w:val="00901576"/>
    <w:rsid w:val="0090173C"/>
    <w:rsid w:val="00901D2C"/>
    <w:rsid w:val="00902752"/>
    <w:rsid w:val="00902D09"/>
    <w:rsid w:val="00902D87"/>
    <w:rsid w:val="0090451C"/>
    <w:rsid w:val="0090613F"/>
    <w:rsid w:val="00906892"/>
    <w:rsid w:val="0090691D"/>
    <w:rsid w:val="00906BB7"/>
    <w:rsid w:val="009078E4"/>
    <w:rsid w:val="00907ACB"/>
    <w:rsid w:val="00907AF4"/>
    <w:rsid w:val="00910367"/>
    <w:rsid w:val="0091071A"/>
    <w:rsid w:val="00910A22"/>
    <w:rsid w:val="00910C5E"/>
    <w:rsid w:val="00911575"/>
    <w:rsid w:val="009115D0"/>
    <w:rsid w:val="00911992"/>
    <w:rsid w:val="00913215"/>
    <w:rsid w:val="009137E0"/>
    <w:rsid w:val="009146AA"/>
    <w:rsid w:val="00914C13"/>
    <w:rsid w:val="009152EF"/>
    <w:rsid w:val="009161AD"/>
    <w:rsid w:val="00916345"/>
    <w:rsid w:val="009168C1"/>
    <w:rsid w:val="00917662"/>
    <w:rsid w:val="009176E7"/>
    <w:rsid w:val="00917754"/>
    <w:rsid w:val="00917DB4"/>
    <w:rsid w:val="00917EBF"/>
    <w:rsid w:val="009203FC"/>
    <w:rsid w:val="00921AC5"/>
    <w:rsid w:val="009229A6"/>
    <w:rsid w:val="009229CD"/>
    <w:rsid w:val="00922E99"/>
    <w:rsid w:val="0092331A"/>
    <w:rsid w:val="00924490"/>
    <w:rsid w:val="00924778"/>
    <w:rsid w:val="00924FCA"/>
    <w:rsid w:val="0092501B"/>
    <w:rsid w:val="009251FA"/>
    <w:rsid w:val="00925601"/>
    <w:rsid w:val="0092681F"/>
    <w:rsid w:val="00927585"/>
    <w:rsid w:val="00930515"/>
    <w:rsid w:val="00931FA5"/>
    <w:rsid w:val="00932299"/>
    <w:rsid w:val="00932B9A"/>
    <w:rsid w:val="00933127"/>
    <w:rsid w:val="009334AD"/>
    <w:rsid w:val="009341DD"/>
    <w:rsid w:val="009341EC"/>
    <w:rsid w:val="0093619C"/>
    <w:rsid w:val="009368D8"/>
    <w:rsid w:val="00937618"/>
    <w:rsid w:val="009407EF"/>
    <w:rsid w:val="00941A5D"/>
    <w:rsid w:val="00941FB2"/>
    <w:rsid w:val="00942052"/>
    <w:rsid w:val="0094272A"/>
    <w:rsid w:val="00942ACD"/>
    <w:rsid w:val="00943335"/>
    <w:rsid w:val="009433F7"/>
    <w:rsid w:val="00943A58"/>
    <w:rsid w:val="009449C3"/>
    <w:rsid w:val="00944F9E"/>
    <w:rsid w:val="00945DDB"/>
    <w:rsid w:val="0094606C"/>
    <w:rsid w:val="009464F5"/>
    <w:rsid w:val="009472BA"/>
    <w:rsid w:val="009506D2"/>
    <w:rsid w:val="00950894"/>
    <w:rsid w:val="00950E38"/>
    <w:rsid w:val="0095175A"/>
    <w:rsid w:val="009518C2"/>
    <w:rsid w:val="009519D5"/>
    <w:rsid w:val="00951C58"/>
    <w:rsid w:val="00952DC7"/>
    <w:rsid w:val="0095303D"/>
    <w:rsid w:val="00953317"/>
    <w:rsid w:val="00953594"/>
    <w:rsid w:val="009536B0"/>
    <w:rsid w:val="00953D72"/>
    <w:rsid w:val="009555AE"/>
    <w:rsid w:val="00955988"/>
    <w:rsid w:val="0095690B"/>
    <w:rsid w:val="00956987"/>
    <w:rsid w:val="00956B63"/>
    <w:rsid w:val="009570E6"/>
    <w:rsid w:val="00957189"/>
    <w:rsid w:val="0095754D"/>
    <w:rsid w:val="0096084A"/>
    <w:rsid w:val="00960A32"/>
    <w:rsid w:val="00961918"/>
    <w:rsid w:val="009631DA"/>
    <w:rsid w:val="0096461A"/>
    <w:rsid w:val="009647E5"/>
    <w:rsid w:val="00964E4B"/>
    <w:rsid w:val="009650D7"/>
    <w:rsid w:val="009651D2"/>
    <w:rsid w:val="00965454"/>
    <w:rsid w:val="009662AF"/>
    <w:rsid w:val="00966C52"/>
    <w:rsid w:val="00967518"/>
    <w:rsid w:val="009678FB"/>
    <w:rsid w:val="00967981"/>
    <w:rsid w:val="00967BA1"/>
    <w:rsid w:val="00970426"/>
    <w:rsid w:val="00970661"/>
    <w:rsid w:val="00970DA6"/>
    <w:rsid w:val="0097101D"/>
    <w:rsid w:val="0097154A"/>
    <w:rsid w:val="00971667"/>
    <w:rsid w:val="00971AE5"/>
    <w:rsid w:val="00971F8C"/>
    <w:rsid w:val="00972323"/>
    <w:rsid w:val="00972F7C"/>
    <w:rsid w:val="009736C2"/>
    <w:rsid w:val="00973E52"/>
    <w:rsid w:val="0097420D"/>
    <w:rsid w:val="00975ACD"/>
    <w:rsid w:val="00975FB8"/>
    <w:rsid w:val="00976CB8"/>
    <w:rsid w:val="0097717C"/>
    <w:rsid w:val="009774C3"/>
    <w:rsid w:val="00980027"/>
    <w:rsid w:val="009801F7"/>
    <w:rsid w:val="0098023C"/>
    <w:rsid w:val="00980463"/>
    <w:rsid w:val="0098094F"/>
    <w:rsid w:val="00981A1F"/>
    <w:rsid w:val="0098228E"/>
    <w:rsid w:val="00982579"/>
    <w:rsid w:val="00982962"/>
    <w:rsid w:val="00983167"/>
    <w:rsid w:val="0098340B"/>
    <w:rsid w:val="00983510"/>
    <w:rsid w:val="0098357F"/>
    <w:rsid w:val="0098445C"/>
    <w:rsid w:val="00985366"/>
    <w:rsid w:val="00985A05"/>
    <w:rsid w:val="00985E06"/>
    <w:rsid w:val="00986A3C"/>
    <w:rsid w:val="00986D2B"/>
    <w:rsid w:val="00987F55"/>
    <w:rsid w:val="00991878"/>
    <w:rsid w:val="00991B06"/>
    <w:rsid w:val="009921ED"/>
    <w:rsid w:val="009933AC"/>
    <w:rsid w:val="00993C68"/>
    <w:rsid w:val="00994134"/>
    <w:rsid w:val="00994398"/>
    <w:rsid w:val="0099440F"/>
    <w:rsid w:val="00996363"/>
    <w:rsid w:val="00997766"/>
    <w:rsid w:val="0099776E"/>
    <w:rsid w:val="0099786E"/>
    <w:rsid w:val="00997F4D"/>
    <w:rsid w:val="009A1505"/>
    <w:rsid w:val="009A1630"/>
    <w:rsid w:val="009A1866"/>
    <w:rsid w:val="009A1E74"/>
    <w:rsid w:val="009A381D"/>
    <w:rsid w:val="009A3C74"/>
    <w:rsid w:val="009A49B4"/>
    <w:rsid w:val="009A4AE0"/>
    <w:rsid w:val="009A4C2C"/>
    <w:rsid w:val="009A4E8C"/>
    <w:rsid w:val="009A56E4"/>
    <w:rsid w:val="009A5833"/>
    <w:rsid w:val="009A5CC8"/>
    <w:rsid w:val="009A6A6F"/>
    <w:rsid w:val="009A706C"/>
    <w:rsid w:val="009A785A"/>
    <w:rsid w:val="009B0166"/>
    <w:rsid w:val="009B05AA"/>
    <w:rsid w:val="009B0920"/>
    <w:rsid w:val="009B0A05"/>
    <w:rsid w:val="009B108A"/>
    <w:rsid w:val="009B1FCE"/>
    <w:rsid w:val="009B2494"/>
    <w:rsid w:val="009B356B"/>
    <w:rsid w:val="009B3911"/>
    <w:rsid w:val="009B3CAA"/>
    <w:rsid w:val="009B4421"/>
    <w:rsid w:val="009B47A1"/>
    <w:rsid w:val="009B4D8B"/>
    <w:rsid w:val="009B58B1"/>
    <w:rsid w:val="009B5E72"/>
    <w:rsid w:val="009B69FB"/>
    <w:rsid w:val="009B6AB8"/>
    <w:rsid w:val="009B6BAE"/>
    <w:rsid w:val="009B7439"/>
    <w:rsid w:val="009B7AFF"/>
    <w:rsid w:val="009B7C90"/>
    <w:rsid w:val="009C0150"/>
    <w:rsid w:val="009C0185"/>
    <w:rsid w:val="009C07D1"/>
    <w:rsid w:val="009C175F"/>
    <w:rsid w:val="009C1CFD"/>
    <w:rsid w:val="009C35BA"/>
    <w:rsid w:val="009C40B7"/>
    <w:rsid w:val="009C4DF0"/>
    <w:rsid w:val="009C5450"/>
    <w:rsid w:val="009C6944"/>
    <w:rsid w:val="009C697A"/>
    <w:rsid w:val="009C6ADB"/>
    <w:rsid w:val="009C6D05"/>
    <w:rsid w:val="009C7460"/>
    <w:rsid w:val="009C7496"/>
    <w:rsid w:val="009D0EB5"/>
    <w:rsid w:val="009D2D9A"/>
    <w:rsid w:val="009D3316"/>
    <w:rsid w:val="009D3AFD"/>
    <w:rsid w:val="009D4A03"/>
    <w:rsid w:val="009D588C"/>
    <w:rsid w:val="009D62D7"/>
    <w:rsid w:val="009D6548"/>
    <w:rsid w:val="009D6DF8"/>
    <w:rsid w:val="009D7472"/>
    <w:rsid w:val="009D7BDC"/>
    <w:rsid w:val="009D7D5B"/>
    <w:rsid w:val="009E0154"/>
    <w:rsid w:val="009E15BD"/>
    <w:rsid w:val="009E2489"/>
    <w:rsid w:val="009E385E"/>
    <w:rsid w:val="009E424F"/>
    <w:rsid w:val="009E4C0B"/>
    <w:rsid w:val="009E50FA"/>
    <w:rsid w:val="009E568C"/>
    <w:rsid w:val="009E5E10"/>
    <w:rsid w:val="009E64E5"/>
    <w:rsid w:val="009E6795"/>
    <w:rsid w:val="009E69B2"/>
    <w:rsid w:val="009E7285"/>
    <w:rsid w:val="009E7B6B"/>
    <w:rsid w:val="009E7E1B"/>
    <w:rsid w:val="009F0016"/>
    <w:rsid w:val="009F0272"/>
    <w:rsid w:val="009F04B3"/>
    <w:rsid w:val="009F14E3"/>
    <w:rsid w:val="009F152A"/>
    <w:rsid w:val="009F1710"/>
    <w:rsid w:val="009F1797"/>
    <w:rsid w:val="009F19B9"/>
    <w:rsid w:val="009F2CC5"/>
    <w:rsid w:val="009F34CE"/>
    <w:rsid w:val="009F4660"/>
    <w:rsid w:val="009F4806"/>
    <w:rsid w:val="009F4C7F"/>
    <w:rsid w:val="009F52C9"/>
    <w:rsid w:val="009F55C5"/>
    <w:rsid w:val="009F5C6A"/>
    <w:rsid w:val="009F61CF"/>
    <w:rsid w:val="009F66D8"/>
    <w:rsid w:val="009F6D88"/>
    <w:rsid w:val="009F769C"/>
    <w:rsid w:val="009F7C01"/>
    <w:rsid w:val="00A00A21"/>
    <w:rsid w:val="00A015B2"/>
    <w:rsid w:val="00A01962"/>
    <w:rsid w:val="00A02569"/>
    <w:rsid w:val="00A02E91"/>
    <w:rsid w:val="00A0317A"/>
    <w:rsid w:val="00A03D24"/>
    <w:rsid w:val="00A03FEC"/>
    <w:rsid w:val="00A044E4"/>
    <w:rsid w:val="00A048E3"/>
    <w:rsid w:val="00A05F8E"/>
    <w:rsid w:val="00A07333"/>
    <w:rsid w:val="00A07463"/>
    <w:rsid w:val="00A074BE"/>
    <w:rsid w:val="00A07A13"/>
    <w:rsid w:val="00A1002F"/>
    <w:rsid w:val="00A11224"/>
    <w:rsid w:val="00A11528"/>
    <w:rsid w:val="00A11767"/>
    <w:rsid w:val="00A11C73"/>
    <w:rsid w:val="00A120CE"/>
    <w:rsid w:val="00A13D88"/>
    <w:rsid w:val="00A13E6E"/>
    <w:rsid w:val="00A142D4"/>
    <w:rsid w:val="00A146B6"/>
    <w:rsid w:val="00A148FB"/>
    <w:rsid w:val="00A1589B"/>
    <w:rsid w:val="00A15BF0"/>
    <w:rsid w:val="00A15D43"/>
    <w:rsid w:val="00A15E02"/>
    <w:rsid w:val="00A15F7B"/>
    <w:rsid w:val="00A160EB"/>
    <w:rsid w:val="00A17ECC"/>
    <w:rsid w:val="00A20293"/>
    <w:rsid w:val="00A20C31"/>
    <w:rsid w:val="00A20F10"/>
    <w:rsid w:val="00A2260C"/>
    <w:rsid w:val="00A24010"/>
    <w:rsid w:val="00A241D5"/>
    <w:rsid w:val="00A24722"/>
    <w:rsid w:val="00A24884"/>
    <w:rsid w:val="00A24D4A"/>
    <w:rsid w:val="00A2542D"/>
    <w:rsid w:val="00A254DD"/>
    <w:rsid w:val="00A255FC"/>
    <w:rsid w:val="00A2578D"/>
    <w:rsid w:val="00A26796"/>
    <w:rsid w:val="00A26C8A"/>
    <w:rsid w:val="00A27476"/>
    <w:rsid w:val="00A3081A"/>
    <w:rsid w:val="00A308C3"/>
    <w:rsid w:val="00A31653"/>
    <w:rsid w:val="00A31DA3"/>
    <w:rsid w:val="00A320C0"/>
    <w:rsid w:val="00A32535"/>
    <w:rsid w:val="00A32D45"/>
    <w:rsid w:val="00A32E48"/>
    <w:rsid w:val="00A3376D"/>
    <w:rsid w:val="00A33DB1"/>
    <w:rsid w:val="00A35CB9"/>
    <w:rsid w:val="00A362E8"/>
    <w:rsid w:val="00A363E2"/>
    <w:rsid w:val="00A36934"/>
    <w:rsid w:val="00A372DC"/>
    <w:rsid w:val="00A37708"/>
    <w:rsid w:val="00A37899"/>
    <w:rsid w:val="00A379E6"/>
    <w:rsid w:val="00A37A75"/>
    <w:rsid w:val="00A37E59"/>
    <w:rsid w:val="00A401D0"/>
    <w:rsid w:val="00A40FA0"/>
    <w:rsid w:val="00A41040"/>
    <w:rsid w:val="00A41451"/>
    <w:rsid w:val="00A41EDE"/>
    <w:rsid w:val="00A43984"/>
    <w:rsid w:val="00A43B5A"/>
    <w:rsid w:val="00A448A6"/>
    <w:rsid w:val="00A4628D"/>
    <w:rsid w:val="00A469D1"/>
    <w:rsid w:val="00A46AB9"/>
    <w:rsid w:val="00A46CF5"/>
    <w:rsid w:val="00A47FA9"/>
    <w:rsid w:val="00A50443"/>
    <w:rsid w:val="00A5158F"/>
    <w:rsid w:val="00A51E9E"/>
    <w:rsid w:val="00A528D3"/>
    <w:rsid w:val="00A52A26"/>
    <w:rsid w:val="00A52BA4"/>
    <w:rsid w:val="00A52C5C"/>
    <w:rsid w:val="00A52F51"/>
    <w:rsid w:val="00A53DD0"/>
    <w:rsid w:val="00A5498A"/>
    <w:rsid w:val="00A552B3"/>
    <w:rsid w:val="00A55ABD"/>
    <w:rsid w:val="00A57200"/>
    <w:rsid w:val="00A57CFB"/>
    <w:rsid w:val="00A57DDE"/>
    <w:rsid w:val="00A6141B"/>
    <w:rsid w:val="00A61EA2"/>
    <w:rsid w:val="00A63245"/>
    <w:rsid w:val="00A63701"/>
    <w:rsid w:val="00A64710"/>
    <w:rsid w:val="00A64DB6"/>
    <w:rsid w:val="00A64E27"/>
    <w:rsid w:val="00A661FE"/>
    <w:rsid w:val="00A66E39"/>
    <w:rsid w:val="00A66E48"/>
    <w:rsid w:val="00A675CB"/>
    <w:rsid w:val="00A70E5B"/>
    <w:rsid w:val="00A72340"/>
    <w:rsid w:val="00A72A03"/>
    <w:rsid w:val="00A741D0"/>
    <w:rsid w:val="00A74337"/>
    <w:rsid w:val="00A7530B"/>
    <w:rsid w:val="00A7584F"/>
    <w:rsid w:val="00A75EC8"/>
    <w:rsid w:val="00A76BB9"/>
    <w:rsid w:val="00A76EEF"/>
    <w:rsid w:val="00A77B37"/>
    <w:rsid w:val="00A77B78"/>
    <w:rsid w:val="00A8079D"/>
    <w:rsid w:val="00A81801"/>
    <w:rsid w:val="00A819B8"/>
    <w:rsid w:val="00A81A0C"/>
    <w:rsid w:val="00A81C53"/>
    <w:rsid w:val="00A81F8B"/>
    <w:rsid w:val="00A82724"/>
    <w:rsid w:val="00A835C8"/>
    <w:rsid w:val="00A83D9C"/>
    <w:rsid w:val="00A84578"/>
    <w:rsid w:val="00A86FF6"/>
    <w:rsid w:val="00A900D8"/>
    <w:rsid w:val="00A90986"/>
    <w:rsid w:val="00A90E7C"/>
    <w:rsid w:val="00A90EAB"/>
    <w:rsid w:val="00A91131"/>
    <w:rsid w:val="00A91B07"/>
    <w:rsid w:val="00A91F14"/>
    <w:rsid w:val="00A927B3"/>
    <w:rsid w:val="00A9365C"/>
    <w:rsid w:val="00A947B3"/>
    <w:rsid w:val="00A94A03"/>
    <w:rsid w:val="00A94C70"/>
    <w:rsid w:val="00AA0114"/>
    <w:rsid w:val="00AA01C8"/>
    <w:rsid w:val="00AA13C4"/>
    <w:rsid w:val="00AA1814"/>
    <w:rsid w:val="00AA2AB3"/>
    <w:rsid w:val="00AA2B1E"/>
    <w:rsid w:val="00AA2EB0"/>
    <w:rsid w:val="00AA49EC"/>
    <w:rsid w:val="00AA4E5E"/>
    <w:rsid w:val="00AA4E9E"/>
    <w:rsid w:val="00AA4F2E"/>
    <w:rsid w:val="00AA61A8"/>
    <w:rsid w:val="00AA72BA"/>
    <w:rsid w:val="00AA78D7"/>
    <w:rsid w:val="00AB09AA"/>
    <w:rsid w:val="00AB0B17"/>
    <w:rsid w:val="00AB18FA"/>
    <w:rsid w:val="00AB210A"/>
    <w:rsid w:val="00AB357A"/>
    <w:rsid w:val="00AB49A1"/>
    <w:rsid w:val="00AB4C99"/>
    <w:rsid w:val="00AB53E6"/>
    <w:rsid w:val="00AB58B1"/>
    <w:rsid w:val="00AB5C59"/>
    <w:rsid w:val="00AB603C"/>
    <w:rsid w:val="00AB67C1"/>
    <w:rsid w:val="00AB7F8C"/>
    <w:rsid w:val="00AC0734"/>
    <w:rsid w:val="00AC0977"/>
    <w:rsid w:val="00AC0E80"/>
    <w:rsid w:val="00AC0EC7"/>
    <w:rsid w:val="00AC1193"/>
    <w:rsid w:val="00AC18F2"/>
    <w:rsid w:val="00AC1C0D"/>
    <w:rsid w:val="00AC294B"/>
    <w:rsid w:val="00AC31D6"/>
    <w:rsid w:val="00AC48D7"/>
    <w:rsid w:val="00AC4D16"/>
    <w:rsid w:val="00AC68F2"/>
    <w:rsid w:val="00AC7055"/>
    <w:rsid w:val="00AC7108"/>
    <w:rsid w:val="00AC748E"/>
    <w:rsid w:val="00AC7B31"/>
    <w:rsid w:val="00AD0BD1"/>
    <w:rsid w:val="00AD0DA9"/>
    <w:rsid w:val="00AD0DB7"/>
    <w:rsid w:val="00AD2BD4"/>
    <w:rsid w:val="00AD420A"/>
    <w:rsid w:val="00AD46C5"/>
    <w:rsid w:val="00AD4BED"/>
    <w:rsid w:val="00AD4CF9"/>
    <w:rsid w:val="00AD4F1C"/>
    <w:rsid w:val="00AD601C"/>
    <w:rsid w:val="00AD7452"/>
    <w:rsid w:val="00AD789A"/>
    <w:rsid w:val="00AD7CAB"/>
    <w:rsid w:val="00AD7ED7"/>
    <w:rsid w:val="00AE083C"/>
    <w:rsid w:val="00AE0A1E"/>
    <w:rsid w:val="00AE0D43"/>
    <w:rsid w:val="00AE123B"/>
    <w:rsid w:val="00AE12AF"/>
    <w:rsid w:val="00AE16A7"/>
    <w:rsid w:val="00AE1C1A"/>
    <w:rsid w:val="00AE5786"/>
    <w:rsid w:val="00AE6A07"/>
    <w:rsid w:val="00AF0D03"/>
    <w:rsid w:val="00AF1740"/>
    <w:rsid w:val="00AF2108"/>
    <w:rsid w:val="00AF36D2"/>
    <w:rsid w:val="00AF535D"/>
    <w:rsid w:val="00AF5B6E"/>
    <w:rsid w:val="00AF7174"/>
    <w:rsid w:val="00B00135"/>
    <w:rsid w:val="00B00137"/>
    <w:rsid w:val="00B00493"/>
    <w:rsid w:val="00B00659"/>
    <w:rsid w:val="00B009D6"/>
    <w:rsid w:val="00B0111F"/>
    <w:rsid w:val="00B01B6F"/>
    <w:rsid w:val="00B01D46"/>
    <w:rsid w:val="00B023BB"/>
    <w:rsid w:val="00B025A4"/>
    <w:rsid w:val="00B02AB1"/>
    <w:rsid w:val="00B02E3E"/>
    <w:rsid w:val="00B02ECF"/>
    <w:rsid w:val="00B02F47"/>
    <w:rsid w:val="00B03E6F"/>
    <w:rsid w:val="00B0410B"/>
    <w:rsid w:val="00B058A3"/>
    <w:rsid w:val="00B05BC5"/>
    <w:rsid w:val="00B060EE"/>
    <w:rsid w:val="00B06C9D"/>
    <w:rsid w:val="00B06CB1"/>
    <w:rsid w:val="00B07043"/>
    <w:rsid w:val="00B07B6A"/>
    <w:rsid w:val="00B07B76"/>
    <w:rsid w:val="00B11420"/>
    <w:rsid w:val="00B1158A"/>
    <w:rsid w:val="00B11AED"/>
    <w:rsid w:val="00B12E77"/>
    <w:rsid w:val="00B1380D"/>
    <w:rsid w:val="00B14B8F"/>
    <w:rsid w:val="00B15207"/>
    <w:rsid w:val="00B156E8"/>
    <w:rsid w:val="00B15F9B"/>
    <w:rsid w:val="00B17CE4"/>
    <w:rsid w:val="00B20118"/>
    <w:rsid w:val="00B20297"/>
    <w:rsid w:val="00B210DF"/>
    <w:rsid w:val="00B21D05"/>
    <w:rsid w:val="00B22367"/>
    <w:rsid w:val="00B224F5"/>
    <w:rsid w:val="00B22B37"/>
    <w:rsid w:val="00B22F91"/>
    <w:rsid w:val="00B23BB6"/>
    <w:rsid w:val="00B23D59"/>
    <w:rsid w:val="00B241B5"/>
    <w:rsid w:val="00B2425B"/>
    <w:rsid w:val="00B2487D"/>
    <w:rsid w:val="00B24DC6"/>
    <w:rsid w:val="00B255CC"/>
    <w:rsid w:val="00B25C50"/>
    <w:rsid w:val="00B265D8"/>
    <w:rsid w:val="00B26725"/>
    <w:rsid w:val="00B274E8"/>
    <w:rsid w:val="00B303B4"/>
    <w:rsid w:val="00B304BA"/>
    <w:rsid w:val="00B3106D"/>
    <w:rsid w:val="00B311B3"/>
    <w:rsid w:val="00B32110"/>
    <w:rsid w:val="00B32B55"/>
    <w:rsid w:val="00B32ED1"/>
    <w:rsid w:val="00B34505"/>
    <w:rsid w:val="00B34FFE"/>
    <w:rsid w:val="00B35597"/>
    <w:rsid w:val="00B364F0"/>
    <w:rsid w:val="00B36B43"/>
    <w:rsid w:val="00B370B9"/>
    <w:rsid w:val="00B372C0"/>
    <w:rsid w:val="00B37A4C"/>
    <w:rsid w:val="00B40431"/>
    <w:rsid w:val="00B4072B"/>
    <w:rsid w:val="00B40E64"/>
    <w:rsid w:val="00B40FEF"/>
    <w:rsid w:val="00B41903"/>
    <w:rsid w:val="00B42738"/>
    <w:rsid w:val="00B43052"/>
    <w:rsid w:val="00B4324C"/>
    <w:rsid w:val="00B43720"/>
    <w:rsid w:val="00B438A0"/>
    <w:rsid w:val="00B459CB"/>
    <w:rsid w:val="00B46F93"/>
    <w:rsid w:val="00B470E0"/>
    <w:rsid w:val="00B50061"/>
    <w:rsid w:val="00B5038B"/>
    <w:rsid w:val="00B5079F"/>
    <w:rsid w:val="00B50DF1"/>
    <w:rsid w:val="00B53349"/>
    <w:rsid w:val="00B535C8"/>
    <w:rsid w:val="00B53F38"/>
    <w:rsid w:val="00B54EB0"/>
    <w:rsid w:val="00B55495"/>
    <w:rsid w:val="00B55A2A"/>
    <w:rsid w:val="00B55A9D"/>
    <w:rsid w:val="00B56EB9"/>
    <w:rsid w:val="00B57E20"/>
    <w:rsid w:val="00B600AA"/>
    <w:rsid w:val="00B60129"/>
    <w:rsid w:val="00B605D5"/>
    <w:rsid w:val="00B626B9"/>
    <w:rsid w:val="00B62917"/>
    <w:rsid w:val="00B62FE0"/>
    <w:rsid w:val="00B6373A"/>
    <w:rsid w:val="00B638BB"/>
    <w:rsid w:val="00B63AAA"/>
    <w:rsid w:val="00B63D56"/>
    <w:rsid w:val="00B63F1C"/>
    <w:rsid w:val="00B6534F"/>
    <w:rsid w:val="00B65671"/>
    <w:rsid w:val="00B65BA3"/>
    <w:rsid w:val="00B65BE3"/>
    <w:rsid w:val="00B65EB9"/>
    <w:rsid w:val="00B663BD"/>
    <w:rsid w:val="00B67C6B"/>
    <w:rsid w:val="00B71B02"/>
    <w:rsid w:val="00B71CDA"/>
    <w:rsid w:val="00B7242E"/>
    <w:rsid w:val="00B72CD8"/>
    <w:rsid w:val="00B73DB9"/>
    <w:rsid w:val="00B74150"/>
    <w:rsid w:val="00B74591"/>
    <w:rsid w:val="00B75B38"/>
    <w:rsid w:val="00B771FB"/>
    <w:rsid w:val="00B778EA"/>
    <w:rsid w:val="00B77DF7"/>
    <w:rsid w:val="00B807BA"/>
    <w:rsid w:val="00B811BA"/>
    <w:rsid w:val="00B81A58"/>
    <w:rsid w:val="00B82A69"/>
    <w:rsid w:val="00B82DEA"/>
    <w:rsid w:val="00B83453"/>
    <w:rsid w:val="00B8354E"/>
    <w:rsid w:val="00B83911"/>
    <w:rsid w:val="00B840EE"/>
    <w:rsid w:val="00B84375"/>
    <w:rsid w:val="00B8472B"/>
    <w:rsid w:val="00B852F4"/>
    <w:rsid w:val="00B8530D"/>
    <w:rsid w:val="00B854E9"/>
    <w:rsid w:val="00B85888"/>
    <w:rsid w:val="00B86A9D"/>
    <w:rsid w:val="00B86B04"/>
    <w:rsid w:val="00B875DE"/>
    <w:rsid w:val="00B8771D"/>
    <w:rsid w:val="00B878DF"/>
    <w:rsid w:val="00B904DB"/>
    <w:rsid w:val="00B90C5C"/>
    <w:rsid w:val="00B91C3A"/>
    <w:rsid w:val="00B9213F"/>
    <w:rsid w:val="00B92473"/>
    <w:rsid w:val="00B92AEC"/>
    <w:rsid w:val="00B94A4A"/>
    <w:rsid w:val="00B94B59"/>
    <w:rsid w:val="00B95421"/>
    <w:rsid w:val="00B95495"/>
    <w:rsid w:val="00B959FD"/>
    <w:rsid w:val="00B95A78"/>
    <w:rsid w:val="00B9731F"/>
    <w:rsid w:val="00B977BE"/>
    <w:rsid w:val="00B97C2F"/>
    <w:rsid w:val="00BA0923"/>
    <w:rsid w:val="00BA18A9"/>
    <w:rsid w:val="00BA1E67"/>
    <w:rsid w:val="00BA25B6"/>
    <w:rsid w:val="00BA2A61"/>
    <w:rsid w:val="00BA3040"/>
    <w:rsid w:val="00BA4C58"/>
    <w:rsid w:val="00BA5033"/>
    <w:rsid w:val="00BA546B"/>
    <w:rsid w:val="00BA6FE0"/>
    <w:rsid w:val="00BA75BA"/>
    <w:rsid w:val="00BA7F25"/>
    <w:rsid w:val="00BB027A"/>
    <w:rsid w:val="00BB02B3"/>
    <w:rsid w:val="00BB03CC"/>
    <w:rsid w:val="00BB04F7"/>
    <w:rsid w:val="00BB0869"/>
    <w:rsid w:val="00BB0CDD"/>
    <w:rsid w:val="00BB1F71"/>
    <w:rsid w:val="00BB34B3"/>
    <w:rsid w:val="00BB3A69"/>
    <w:rsid w:val="00BB5591"/>
    <w:rsid w:val="00BB575D"/>
    <w:rsid w:val="00BB6A97"/>
    <w:rsid w:val="00BB788D"/>
    <w:rsid w:val="00BC0484"/>
    <w:rsid w:val="00BC100C"/>
    <w:rsid w:val="00BC156A"/>
    <w:rsid w:val="00BC164D"/>
    <w:rsid w:val="00BC2DF0"/>
    <w:rsid w:val="00BC2EE2"/>
    <w:rsid w:val="00BC3024"/>
    <w:rsid w:val="00BC406A"/>
    <w:rsid w:val="00BC42CC"/>
    <w:rsid w:val="00BC466E"/>
    <w:rsid w:val="00BC48C1"/>
    <w:rsid w:val="00BC633A"/>
    <w:rsid w:val="00BC66A2"/>
    <w:rsid w:val="00BC66F3"/>
    <w:rsid w:val="00BC6B73"/>
    <w:rsid w:val="00BC719D"/>
    <w:rsid w:val="00BC75A0"/>
    <w:rsid w:val="00BC7638"/>
    <w:rsid w:val="00BD051F"/>
    <w:rsid w:val="00BD054B"/>
    <w:rsid w:val="00BD0552"/>
    <w:rsid w:val="00BD0673"/>
    <w:rsid w:val="00BD0713"/>
    <w:rsid w:val="00BD2536"/>
    <w:rsid w:val="00BD2775"/>
    <w:rsid w:val="00BD2B70"/>
    <w:rsid w:val="00BD31A8"/>
    <w:rsid w:val="00BD3326"/>
    <w:rsid w:val="00BD3436"/>
    <w:rsid w:val="00BD3E64"/>
    <w:rsid w:val="00BD41C3"/>
    <w:rsid w:val="00BD4F19"/>
    <w:rsid w:val="00BD6890"/>
    <w:rsid w:val="00BD68F6"/>
    <w:rsid w:val="00BD69F4"/>
    <w:rsid w:val="00BD75A1"/>
    <w:rsid w:val="00BD7C37"/>
    <w:rsid w:val="00BD7EDA"/>
    <w:rsid w:val="00BE01B7"/>
    <w:rsid w:val="00BE0AAA"/>
    <w:rsid w:val="00BE1B4B"/>
    <w:rsid w:val="00BE20A2"/>
    <w:rsid w:val="00BE2E92"/>
    <w:rsid w:val="00BE36A4"/>
    <w:rsid w:val="00BE41E5"/>
    <w:rsid w:val="00BE4280"/>
    <w:rsid w:val="00BE4289"/>
    <w:rsid w:val="00BE5179"/>
    <w:rsid w:val="00BE5A96"/>
    <w:rsid w:val="00BE5AB2"/>
    <w:rsid w:val="00BE63A0"/>
    <w:rsid w:val="00BE6A03"/>
    <w:rsid w:val="00BE7710"/>
    <w:rsid w:val="00BE7D50"/>
    <w:rsid w:val="00BF1CA2"/>
    <w:rsid w:val="00BF2065"/>
    <w:rsid w:val="00BF3C9D"/>
    <w:rsid w:val="00BF3E4F"/>
    <w:rsid w:val="00BF4815"/>
    <w:rsid w:val="00BF64E8"/>
    <w:rsid w:val="00BF773A"/>
    <w:rsid w:val="00BF7BC3"/>
    <w:rsid w:val="00C00B04"/>
    <w:rsid w:val="00C01280"/>
    <w:rsid w:val="00C014B0"/>
    <w:rsid w:val="00C01CDE"/>
    <w:rsid w:val="00C0259F"/>
    <w:rsid w:val="00C02835"/>
    <w:rsid w:val="00C030A3"/>
    <w:rsid w:val="00C03778"/>
    <w:rsid w:val="00C03928"/>
    <w:rsid w:val="00C05331"/>
    <w:rsid w:val="00C05815"/>
    <w:rsid w:val="00C05B85"/>
    <w:rsid w:val="00C10185"/>
    <w:rsid w:val="00C10C3F"/>
    <w:rsid w:val="00C1139F"/>
    <w:rsid w:val="00C12662"/>
    <w:rsid w:val="00C13365"/>
    <w:rsid w:val="00C13A65"/>
    <w:rsid w:val="00C142D7"/>
    <w:rsid w:val="00C1456C"/>
    <w:rsid w:val="00C16420"/>
    <w:rsid w:val="00C16B3A"/>
    <w:rsid w:val="00C17ED6"/>
    <w:rsid w:val="00C208A1"/>
    <w:rsid w:val="00C22AB7"/>
    <w:rsid w:val="00C22BD9"/>
    <w:rsid w:val="00C22DFC"/>
    <w:rsid w:val="00C232AE"/>
    <w:rsid w:val="00C23546"/>
    <w:rsid w:val="00C235B5"/>
    <w:rsid w:val="00C23722"/>
    <w:rsid w:val="00C23E89"/>
    <w:rsid w:val="00C24845"/>
    <w:rsid w:val="00C25485"/>
    <w:rsid w:val="00C25F42"/>
    <w:rsid w:val="00C26BEA"/>
    <w:rsid w:val="00C2707B"/>
    <w:rsid w:val="00C27609"/>
    <w:rsid w:val="00C27ED9"/>
    <w:rsid w:val="00C30006"/>
    <w:rsid w:val="00C30911"/>
    <w:rsid w:val="00C31051"/>
    <w:rsid w:val="00C31306"/>
    <w:rsid w:val="00C3149C"/>
    <w:rsid w:val="00C315A8"/>
    <w:rsid w:val="00C3227E"/>
    <w:rsid w:val="00C32915"/>
    <w:rsid w:val="00C32990"/>
    <w:rsid w:val="00C32A2D"/>
    <w:rsid w:val="00C331E6"/>
    <w:rsid w:val="00C33E83"/>
    <w:rsid w:val="00C33F27"/>
    <w:rsid w:val="00C35024"/>
    <w:rsid w:val="00C35538"/>
    <w:rsid w:val="00C362E9"/>
    <w:rsid w:val="00C365E7"/>
    <w:rsid w:val="00C36A3C"/>
    <w:rsid w:val="00C36CF8"/>
    <w:rsid w:val="00C409B1"/>
    <w:rsid w:val="00C40AD1"/>
    <w:rsid w:val="00C41561"/>
    <w:rsid w:val="00C41846"/>
    <w:rsid w:val="00C42C43"/>
    <w:rsid w:val="00C4300E"/>
    <w:rsid w:val="00C43887"/>
    <w:rsid w:val="00C44F8E"/>
    <w:rsid w:val="00C458C9"/>
    <w:rsid w:val="00C45906"/>
    <w:rsid w:val="00C47A37"/>
    <w:rsid w:val="00C47E25"/>
    <w:rsid w:val="00C50E54"/>
    <w:rsid w:val="00C51B84"/>
    <w:rsid w:val="00C51FEB"/>
    <w:rsid w:val="00C52D7E"/>
    <w:rsid w:val="00C52EF3"/>
    <w:rsid w:val="00C548DC"/>
    <w:rsid w:val="00C54BFC"/>
    <w:rsid w:val="00C55D97"/>
    <w:rsid w:val="00C55DBE"/>
    <w:rsid w:val="00C56BD0"/>
    <w:rsid w:val="00C6197C"/>
    <w:rsid w:val="00C61B05"/>
    <w:rsid w:val="00C61C68"/>
    <w:rsid w:val="00C623B6"/>
    <w:rsid w:val="00C630E9"/>
    <w:rsid w:val="00C6380D"/>
    <w:rsid w:val="00C6399F"/>
    <w:rsid w:val="00C64C44"/>
    <w:rsid w:val="00C64C99"/>
    <w:rsid w:val="00C6521F"/>
    <w:rsid w:val="00C653A6"/>
    <w:rsid w:val="00C663C8"/>
    <w:rsid w:val="00C6698E"/>
    <w:rsid w:val="00C6783B"/>
    <w:rsid w:val="00C709B2"/>
    <w:rsid w:val="00C70BDA"/>
    <w:rsid w:val="00C7193C"/>
    <w:rsid w:val="00C725AB"/>
    <w:rsid w:val="00C737A8"/>
    <w:rsid w:val="00C739EF"/>
    <w:rsid w:val="00C73A7A"/>
    <w:rsid w:val="00C73F83"/>
    <w:rsid w:val="00C74724"/>
    <w:rsid w:val="00C7474E"/>
    <w:rsid w:val="00C749A1"/>
    <w:rsid w:val="00C758A5"/>
    <w:rsid w:val="00C75FDB"/>
    <w:rsid w:val="00C762B2"/>
    <w:rsid w:val="00C767DE"/>
    <w:rsid w:val="00C77453"/>
    <w:rsid w:val="00C80623"/>
    <w:rsid w:val="00C80D46"/>
    <w:rsid w:val="00C814DD"/>
    <w:rsid w:val="00C82D94"/>
    <w:rsid w:val="00C82FBB"/>
    <w:rsid w:val="00C84E9C"/>
    <w:rsid w:val="00C85BAE"/>
    <w:rsid w:val="00C85D28"/>
    <w:rsid w:val="00C861CD"/>
    <w:rsid w:val="00C8620C"/>
    <w:rsid w:val="00C86A70"/>
    <w:rsid w:val="00C87928"/>
    <w:rsid w:val="00C87AA6"/>
    <w:rsid w:val="00C87EB5"/>
    <w:rsid w:val="00C90520"/>
    <w:rsid w:val="00C90C14"/>
    <w:rsid w:val="00C91FAA"/>
    <w:rsid w:val="00C923E0"/>
    <w:rsid w:val="00C92CA6"/>
    <w:rsid w:val="00C92FEA"/>
    <w:rsid w:val="00C93538"/>
    <w:rsid w:val="00C93A81"/>
    <w:rsid w:val="00C93D81"/>
    <w:rsid w:val="00C941BA"/>
    <w:rsid w:val="00C941EC"/>
    <w:rsid w:val="00C945A2"/>
    <w:rsid w:val="00C949E0"/>
    <w:rsid w:val="00C94BBA"/>
    <w:rsid w:val="00C9519E"/>
    <w:rsid w:val="00C9522A"/>
    <w:rsid w:val="00C95501"/>
    <w:rsid w:val="00C956CA"/>
    <w:rsid w:val="00C96A85"/>
    <w:rsid w:val="00C96B70"/>
    <w:rsid w:val="00C96E3F"/>
    <w:rsid w:val="00C9706F"/>
    <w:rsid w:val="00C97C72"/>
    <w:rsid w:val="00C97ECB"/>
    <w:rsid w:val="00CA050E"/>
    <w:rsid w:val="00CA0BB3"/>
    <w:rsid w:val="00CA1931"/>
    <w:rsid w:val="00CA1A7F"/>
    <w:rsid w:val="00CA1E3B"/>
    <w:rsid w:val="00CA221A"/>
    <w:rsid w:val="00CA2410"/>
    <w:rsid w:val="00CA266C"/>
    <w:rsid w:val="00CA35F2"/>
    <w:rsid w:val="00CA3BB6"/>
    <w:rsid w:val="00CA4A9C"/>
    <w:rsid w:val="00CA5E32"/>
    <w:rsid w:val="00CA7EB0"/>
    <w:rsid w:val="00CA7EC8"/>
    <w:rsid w:val="00CB006A"/>
    <w:rsid w:val="00CB0A50"/>
    <w:rsid w:val="00CB1CD5"/>
    <w:rsid w:val="00CB2133"/>
    <w:rsid w:val="00CB3AF2"/>
    <w:rsid w:val="00CB4501"/>
    <w:rsid w:val="00CB47EF"/>
    <w:rsid w:val="00CB4BA1"/>
    <w:rsid w:val="00CB51D3"/>
    <w:rsid w:val="00CB5280"/>
    <w:rsid w:val="00CB5688"/>
    <w:rsid w:val="00CB5A92"/>
    <w:rsid w:val="00CB5B81"/>
    <w:rsid w:val="00CB5DCD"/>
    <w:rsid w:val="00CB61B8"/>
    <w:rsid w:val="00CB7410"/>
    <w:rsid w:val="00CB798D"/>
    <w:rsid w:val="00CC05B4"/>
    <w:rsid w:val="00CC085A"/>
    <w:rsid w:val="00CC0F09"/>
    <w:rsid w:val="00CC1152"/>
    <w:rsid w:val="00CC1EC1"/>
    <w:rsid w:val="00CC21E9"/>
    <w:rsid w:val="00CC2C2F"/>
    <w:rsid w:val="00CC2F5F"/>
    <w:rsid w:val="00CC35F5"/>
    <w:rsid w:val="00CC3CA5"/>
    <w:rsid w:val="00CC3F76"/>
    <w:rsid w:val="00CC4193"/>
    <w:rsid w:val="00CC420F"/>
    <w:rsid w:val="00CC4A05"/>
    <w:rsid w:val="00CC4C9F"/>
    <w:rsid w:val="00CC5A5F"/>
    <w:rsid w:val="00CC5D98"/>
    <w:rsid w:val="00CC6C50"/>
    <w:rsid w:val="00CC6E3C"/>
    <w:rsid w:val="00CC758B"/>
    <w:rsid w:val="00CC7A09"/>
    <w:rsid w:val="00CD0258"/>
    <w:rsid w:val="00CD051B"/>
    <w:rsid w:val="00CD1BBB"/>
    <w:rsid w:val="00CD29FA"/>
    <w:rsid w:val="00CD3061"/>
    <w:rsid w:val="00CD322A"/>
    <w:rsid w:val="00CD3437"/>
    <w:rsid w:val="00CD4DA0"/>
    <w:rsid w:val="00CD5314"/>
    <w:rsid w:val="00CD61F9"/>
    <w:rsid w:val="00CD65F3"/>
    <w:rsid w:val="00CD7A19"/>
    <w:rsid w:val="00CD7D3C"/>
    <w:rsid w:val="00CE0D7D"/>
    <w:rsid w:val="00CE22D4"/>
    <w:rsid w:val="00CE24BA"/>
    <w:rsid w:val="00CE2977"/>
    <w:rsid w:val="00CE418C"/>
    <w:rsid w:val="00CE5366"/>
    <w:rsid w:val="00CE5F1D"/>
    <w:rsid w:val="00CE602A"/>
    <w:rsid w:val="00CE6075"/>
    <w:rsid w:val="00CE783F"/>
    <w:rsid w:val="00CF1009"/>
    <w:rsid w:val="00CF2870"/>
    <w:rsid w:val="00CF2B81"/>
    <w:rsid w:val="00CF2BC2"/>
    <w:rsid w:val="00CF2F53"/>
    <w:rsid w:val="00CF35D3"/>
    <w:rsid w:val="00CF35F2"/>
    <w:rsid w:val="00CF477A"/>
    <w:rsid w:val="00CF4882"/>
    <w:rsid w:val="00CF498F"/>
    <w:rsid w:val="00CF541E"/>
    <w:rsid w:val="00CF5BFF"/>
    <w:rsid w:val="00CF5D63"/>
    <w:rsid w:val="00CF5DA0"/>
    <w:rsid w:val="00D013DA"/>
    <w:rsid w:val="00D01858"/>
    <w:rsid w:val="00D02426"/>
    <w:rsid w:val="00D02581"/>
    <w:rsid w:val="00D02A4E"/>
    <w:rsid w:val="00D02A5D"/>
    <w:rsid w:val="00D03467"/>
    <w:rsid w:val="00D034C7"/>
    <w:rsid w:val="00D03538"/>
    <w:rsid w:val="00D03EEA"/>
    <w:rsid w:val="00D045F5"/>
    <w:rsid w:val="00D04B5E"/>
    <w:rsid w:val="00D0591F"/>
    <w:rsid w:val="00D06FDC"/>
    <w:rsid w:val="00D078A9"/>
    <w:rsid w:val="00D10CBE"/>
    <w:rsid w:val="00D1120A"/>
    <w:rsid w:val="00D11444"/>
    <w:rsid w:val="00D11462"/>
    <w:rsid w:val="00D1165E"/>
    <w:rsid w:val="00D11B5B"/>
    <w:rsid w:val="00D128A9"/>
    <w:rsid w:val="00D12B0E"/>
    <w:rsid w:val="00D12E47"/>
    <w:rsid w:val="00D12E5B"/>
    <w:rsid w:val="00D12F46"/>
    <w:rsid w:val="00D12F9A"/>
    <w:rsid w:val="00D13290"/>
    <w:rsid w:val="00D14B01"/>
    <w:rsid w:val="00D14F00"/>
    <w:rsid w:val="00D14F03"/>
    <w:rsid w:val="00D158BB"/>
    <w:rsid w:val="00D16610"/>
    <w:rsid w:val="00D1738F"/>
    <w:rsid w:val="00D17AAE"/>
    <w:rsid w:val="00D17D84"/>
    <w:rsid w:val="00D2060D"/>
    <w:rsid w:val="00D207A2"/>
    <w:rsid w:val="00D20CE2"/>
    <w:rsid w:val="00D2127C"/>
    <w:rsid w:val="00D22922"/>
    <w:rsid w:val="00D229CE"/>
    <w:rsid w:val="00D236B8"/>
    <w:rsid w:val="00D248F6"/>
    <w:rsid w:val="00D24CBA"/>
    <w:rsid w:val="00D24CDF"/>
    <w:rsid w:val="00D24D5B"/>
    <w:rsid w:val="00D26CBD"/>
    <w:rsid w:val="00D270B4"/>
    <w:rsid w:val="00D271D5"/>
    <w:rsid w:val="00D275B7"/>
    <w:rsid w:val="00D27DFC"/>
    <w:rsid w:val="00D30B6E"/>
    <w:rsid w:val="00D312D3"/>
    <w:rsid w:val="00D315B1"/>
    <w:rsid w:val="00D31865"/>
    <w:rsid w:val="00D323AF"/>
    <w:rsid w:val="00D32E99"/>
    <w:rsid w:val="00D32FB6"/>
    <w:rsid w:val="00D335BC"/>
    <w:rsid w:val="00D33BBA"/>
    <w:rsid w:val="00D34852"/>
    <w:rsid w:val="00D34D57"/>
    <w:rsid w:val="00D351EF"/>
    <w:rsid w:val="00D3689D"/>
    <w:rsid w:val="00D3785B"/>
    <w:rsid w:val="00D37968"/>
    <w:rsid w:val="00D37F0B"/>
    <w:rsid w:val="00D37FE6"/>
    <w:rsid w:val="00D4026B"/>
    <w:rsid w:val="00D40498"/>
    <w:rsid w:val="00D40534"/>
    <w:rsid w:val="00D41499"/>
    <w:rsid w:val="00D415F2"/>
    <w:rsid w:val="00D41F56"/>
    <w:rsid w:val="00D42CE2"/>
    <w:rsid w:val="00D42F80"/>
    <w:rsid w:val="00D439EB"/>
    <w:rsid w:val="00D44AE9"/>
    <w:rsid w:val="00D451F4"/>
    <w:rsid w:val="00D46B30"/>
    <w:rsid w:val="00D47222"/>
    <w:rsid w:val="00D47FF7"/>
    <w:rsid w:val="00D500F8"/>
    <w:rsid w:val="00D50625"/>
    <w:rsid w:val="00D5170E"/>
    <w:rsid w:val="00D51C96"/>
    <w:rsid w:val="00D51D48"/>
    <w:rsid w:val="00D52360"/>
    <w:rsid w:val="00D52B44"/>
    <w:rsid w:val="00D52D20"/>
    <w:rsid w:val="00D534F6"/>
    <w:rsid w:val="00D5399E"/>
    <w:rsid w:val="00D5430E"/>
    <w:rsid w:val="00D54800"/>
    <w:rsid w:val="00D54976"/>
    <w:rsid w:val="00D54BAF"/>
    <w:rsid w:val="00D5530F"/>
    <w:rsid w:val="00D554AB"/>
    <w:rsid w:val="00D55B15"/>
    <w:rsid w:val="00D55DE7"/>
    <w:rsid w:val="00D569A6"/>
    <w:rsid w:val="00D56D1D"/>
    <w:rsid w:val="00D57A7D"/>
    <w:rsid w:val="00D603CC"/>
    <w:rsid w:val="00D616B3"/>
    <w:rsid w:val="00D62202"/>
    <w:rsid w:val="00D62430"/>
    <w:rsid w:val="00D62FFC"/>
    <w:rsid w:val="00D63825"/>
    <w:rsid w:val="00D63E10"/>
    <w:rsid w:val="00D64304"/>
    <w:rsid w:val="00D66051"/>
    <w:rsid w:val="00D6633A"/>
    <w:rsid w:val="00D66775"/>
    <w:rsid w:val="00D671D1"/>
    <w:rsid w:val="00D6730D"/>
    <w:rsid w:val="00D67A9A"/>
    <w:rsid w:val="00D711AB"/>
    <w:rsid w:val="00D71322"/>
    <w:rsid w:val="00D714AE"/>
    <w:rsid w:val="00D72137"/>
    <w:rsid w:val="00D724B2"/>
    <w:rsid w:val="00D72C3C"/>
    <w:rsid w:val="00D735F0"/>
    <w:rsid w:val="00D74999"/>
    <w:rsid w:val="00D74B48"/>
    <w:rsid w:val="00D74B65"/>
    <w:rsid w:val="00D74F68"/>
    <w:rsid w:val="00D7502B"/>
    <w:rsid w:val="00D75A30"/>
    <w:rsid w:val="00D75DCF"/>
    <w:rsid w:val="00D76198"/>
    <w:rsid w:val="00D76505"/>
    <w:rsid w:val="00D77918"/>
    <w:rsid w:val="00D77961"/>
    <w:rsid w:val="00D779A7"/>
    <w:rsid w:val="00D77FB5"/>
    <w:rsid w:val="00D80496"/>
    <w:rsid w:val="00D80F15"/>
    <w:rsid w:val="00D817BD"/>
    <w:rsid w:val="00D81AE8"/>
    <w:rsid w:val="00D81EBC"/>
    <w:rsid w:val="00D82E9F"/>
    <w:rsid w:val="00D83760"/>
    <w:rsid w:val="00D8396E"/>
    <w:rsid w:val="00D85065"/>
    <w:rsid w:val="00D8544A"/>
    <w:rsid w:val="00D8588C"/>
    <w:rsid w:val="00D86602"/>
    <w:rsid w:val="00D8702D"/>
    <w:rsid w:val="00D8742B"/>
    <w:rsid w:val="00D87503"/>
    <w:rsid w:val="00D92DB9"/>
    <w:rsid w:val="00D9388A"/>
    <w:rsid w:val="00D93BC0"/>
    <w:rsid w:val="00D93C14"/>
    <w:rsid w:val="00D94178"/>
    <w:rsid w:val="00D945AB"/>
    <w:rsid w:val="00D94798"/>
    <w:rsid w:val="00D94C26"/>
    <w:rsid w:val="00D9606E"/>
    <w:rsid w:val="00D96694"/>
    <w:rsid w:val="00D96C76"/>
    <w:rsid w:val="00D96DD7"/>
    <w:rsid w:val="00D97FE1"/>
    <w:rsid w:val="00DA0077"/>
    <w:rsid w:val="00DA02B3"/>
    <w:rsid w:val="00DA0ECF"/>
    <w:rsid w:val="00DA126C"/>
    <w:rsid w:val="00DA22D0"/>
    <w:rsid w:val="00DA34D5"/>
    <w:rsid w:val="00DA3586"/>
    <w:rsid w:val="00DA3754"/>
    <w:rsid w:val="00DA3A4C"/>
    <w:rsid w:val="00DA3CC7"/>
    <w:rsid w:val="00DA4146"/>
    <w:rsid w:val="00DA43C5"/>
    <w:rsid w:val="00DA5041"/>
    <w:rsid w:val="00DA5133"/>
    <w:rsid w:val="00DA6A31"/>
    <w:rsid w:val="00DB006F"/>
    <w:rsid w:val="00DB00AC"/>
    <w:rsid w:val="00DB018A"/>
    <w:rsid w:val="00DB1337"/>
    <w:rsid w:val="00DB150C"/>
    <w:rsid w:val="00DB1CA7"/>
    <w:rsid w:val="00DB30EB"/>
    <w:rsid w:val="00DB3F02"/>
    <w:rsid w:val="00DB481C"/>
    <w:rsid w:val="00DB4959"/>
    <w:rsid w:val="00DB4E31"/>
    <w:rsid w:val="00DB5F9D"/>
    <w:rsid w:val="00DB68ED"/>
    <w:rsid w:val="00DB6ADB"/>
    <w:rsid w:val="00DB7D8D"/>
    <w:rsid w:val="00DB7F1E"/>
    <w:rsid w:val="00DC0078"/>
    <w:rsid w:val="00DC0931"/>
    <w:rsid w:val="00DC0DB0"/>
    <w:rsid w:val="00DC100B"/>
    <w:rsid w:val="00DC1095"/>
    <w:rsid w:val="00DC16A5"/>
    <w:rsid w:val="00DC21E5"/>
    <w:rsid w:val="00DC24D9"/>
    <w:rsid w:val="00DC2977"/>
    <w:rsid w:val="00DC3818"/>
    <w:rsid w:val="00DC42C5"/>
    <w:rsid w:val="00DC50DF"/>
    <w:rsid w:val="00DC5278"/>
    <w:rsid w:val="00DC55B2"/>
    <w:rsid w:val="00DC5640"/>
    <w:rsid w:val="00DC56D1"/>
    <w:rsid w:val="00DC7947"/>
    <w:rsid w:val="00DC7970"/>
    <w:rsid w:val="00DC7B50"/>
    <w:rsid w:val="00DD0741"/>
    <w:rsid w:val="00DD0961"/>
    <w:rsid w:val="00DD1122"/>
    <w:rsid w:val="00DD12EE"/>
    <w:rsid w:val="00DD1953"/>
    <w:rsid w:val="00DD2A3F"/>
    <w:rsid w:val="00DD315C"/>
    <w:rsid w:val="00DD3505"/>
    <w:rsid w:val="00DD3E1B"/>
    <w:rsid w:val="00DD4C0E"/>
    <w:rsid w:val="00DD4F87"/>
    <w:rsid w:val="00DD51AC"/>
    <w:rsid w:val="00DD5C71"/>
    <w:rsid w:val="00DD66CE"/>
    <w:rsid w:val="00DD6D36"/>
    <w:rsid w:val="00DD7E0A"/>
    <w:rsid w:val="00DE0445"/>
    <w:rsid w:val="00DE15F2"/>
    <w:rsid w:val="00DE1C05"/>
    <w:rsid w:val="00DE1F65"/>
    <w:rsid w:val="00DE22AD"/>
    <w:rsid w:val="00DE2358"/>
    <w:rsid w:val="00DE2700"/>
    <w:rsid w:val="00DE3208"/>
    <w:rsid w:val="00DE3E60"/>
    <w:rsid w:val="00DE4B5B"/>
    <w:rsid w:val="00DE4D5F"/>
    <w:rsid w:val="00DE5E93"/>
    <w:rsid w:val="00DE61F3"/>
    <w:rsid w:val="00DE6A6C"/>
    <w:rsid w:val="00DE6D0C"/>
    <w:rsid w:val="00DE7EAF"/>
    <w:rsid w:val="00DF0000"/>
    <w:rsid w:val="00DF126D"/>
    <w:rsid w:val="00DF171A"/>
    <w:rsid w:val="00DF2B4E"/>
    <w:rsid w:val="00DF479E"/>
    <w:rsid w:val="00DF514B"/>
    <w:rsid w:val="00DF5F46"/>
    <w:rsid w:val="00DF612B"/>
    <w:rsid w:val="00DF63FD"/>
    <w:rsid w:val="00DF6C41"/>
    <w:rsid w:val="00DF6DC5"/>
    <w:rsid w:val="00DF73F2"/>
    <w:rsid w:val="00E00736"/>
    <w:rsid w:val="00E01DD2"/>
    <w:rsid w:val="00E02849"/>
    <w:rsid w:val="00E029B6"/>
    <w:rsid w:val="00E02DAA"/>
    <w:rsid w:val="00E03071"/>
    <w:rsid w:val="00E034B2"/>
    <w:rsid w:val="00E04345"/>
    <w:rsid w:val="00E046F3"/>
    <w:rsid w:val="00E053AB"/>
    <w:rsid w:val="00E05770"/>
    <w:rsid w:val="00E0581D"/>
    <w:rsid w:val="00E064EB"/>
    <w:rsid w:val="00E070B0"/>
    <w:rsid w:val="00E075DC"/>
    <w:rsid w:val="00E10197"/>
    <w:rsid w:val="00E1163A"/>
    <w:rsid w:val="00E125C2"/>
    <w:rsid w:val="00E13434"/>
    <w:rsid w:val="00E13A56"/>
    <w:rsid w:val="00E144F3"/>
    <w:rsid w:val="00E15100"/>
    <w:rsid w:val="00E1531F"/>
    <w:rsid w:val="00E157CC"/>
    <w:rsid w:val="00E15866"/>
    <w:rsid w:val="00E17043"/>
    <w:rsid w:val="00E170FD"/>
    <w:rsid w:val="00E171B0"/>
    <w:rsid w:val="00E17281"/>
    <w:rsid w:val="00E177DD"/>
    <w:rsid w:val="00E2107F"/>
    <w:rsid w:val="00E21904"/>
    <w:rsid w:val="00E2282E"/>
    <w:rsid w:val="00E22832"/>
    <w:rsid w:val="00E22B3E"/>
    <w:rsid w:val="00E22F86"/>
    <w:rsid w:val="00E2445B"/>
    <w:rsid w:val="00E24554"/>
    <w:rsid w:val="00E256B8"/>
    <w:rsid w:val="00E26108"/>
    <w:rsid w:val="00E26939"/>
    <w:rsid w:val="00E27F45"/>
    <w:rsid w:val="00E27FE6"/>
    <w:rsid w:val="00E3003C"/>
    <w:rsid w:val="00E30166"/>
    <w:rsid w:val="00E31131"/>
    <w:rsid w:val="00E3183A"/>
    <w:rsid w:val="00E327C3"/>
    <w:rsid w:val="00E333F7"/>
    <w:rsid w:val="00E33510"/>
    <w:rsid w:val="00E338ED"/>
    <w:rsid w:val="00E33B46"/>
    <w:rsid w:val="00E33F0F"/>
    <w:rsid w:val="00E33F14"/>
    <w:rsid w:val="00E342AB"/>
    <w:rsid w:val="00E343A1"/>
    <w:rsid w:val="00E3446A"/>
    <w:rsid w:val="00E34D5E"/>
    <w:rsid w:val="00E3533B"/>
    <w:rsid w:val="00E35CA3"/>
    <w:rsid w:val="00E3611E"/>
    <w:rsid w:val="00E361B6"/>
    <w:rsid w:val="00E36E26"/>
    <w:rsid w:val="00E3761D"/>
    <w:rsid w:val="00E37978"/>
    <w:rsid w:val="00E379E0"/>
    <w:rsid w:val="00E402AE"/>
    <w:rsid w:val="00E40382"/>
    <w:rsid w:val="00E412DA"/>
    <w:rsid w:val="00E41660"/>
    <w:rsid w:val="00E41C12"/>
    <w:rsid w:val="00E42C1C"/>
    <w:rsid w:val="00E42F40"/>
    <w:rsid w:val="00E43363"/>
    <w:rsid w:val="00E43A6E"/>
    <w:rsid w:val="00E44327"/>
    <w:rsid w:val="00E45BA5"/>
    <w:rsid w:val="00E45BD8"/>
    <w:rsid w:val="00E45E8E"/>
    <w:rsid w:val="00E46036"/>
    <w:rsid w:val="00E466BE"/>
    <w:rsid w:val="00E47AE4"/>
    <w:rsid w:val="00E47D11"/>
    <w:rsid w:val="00E50964"/>
    <w:rsid w:val="00E50EF0"/>
    <w:rsid w:val="00E513C3"/>
    <w:rsid w:val="00E51F92"/>
    <w:rsid w:val="00E54891"/>
    <w:rsid w:val="00E54A68"/>
    <w:rsid w:val="00E550CF"/>
    <w:rsid w:val="00E570EC"/>
    <w:rsid w:val="00E57386"/>
    <w:rsid w:val="00E574DC"/>
    <w:rsid w:val="00E57CC4"/>
    <w:rsid w:val="00E6061A"/>
    <w:rsid w:val="00E60D75"/>
    <w:rsid w:val="00E61619"/>
    <w:rsid w:val="00E61992"/>
    <w:rsid w:val="00E6238D"/>
    <w:rsid w:val="00E6581A"/>
    <w:rsid w:val="00E66651"/>
    <w:rsid w:val="00E66E58"/>
    <w:rsid w:val="00E66EFD"/>
    <w:rsid w:val="00E678DC"/>
    <w:rsid w:val="00E71513"/>
    <w:rsid w:val="00E715A9"/>
    <w:rsid w:val="00E719A7"/>
    <w:rsid w:val="00E71A07"/>
    <w:rsid w:val="00E71D92"/>
    <w:rsid w:val="00E71DDF"/>
    <w:rsid w:val="00E71E60"/>
    <w:rsid w:val="00E72400"/>
    <w:rsid w:val="00E734EB"/>
    <w:rsid w:val="00E73A6C"/>
    <w:rsid w:val="00E73F8E"/>
    <w:rsid w:val="00E74217"/>
    <w:rsid w:val="00E742E3"/>
    <w:rsid w:val="00E751C0"/>
    <w:rsid w:val="00E753DE"/>
    <w:rsid w:val="00E757DB"/>
    <w:rsid w:val="00E75D58"/>
    <w:rsid w:val="00E775EC"/>
    <w:rsid w:val="00E777A8"/>
    <w:rsid w:val="00E777B6"/>
    <w:rsid w:val="00E7793B"/>
    <w:rsid w:val="00E77B2F"/>
    <w:rsid w:val="00E77F17"/>
    <w:rsid w:val="00E80437"/>
    <w:rsid w:val="00E823F6"/>
    <w:rsid w:val="00E826FC"/>
    <w:rsid w:val="00E82749"/>
    <w:rsid w:val="00E82A2A"/>
    <w:rsid w:val="00E82C80"/>
    <w:rsid w:val="00E82D84"/>
    <w:rsid w:val="00E83257"/>
    <w:rsid w:val="00E838DF"/>
    <w:rsid w:val="00E83DA6"/>
    <w:rsid w:val="00E8444B"/>
    <w:rsid w:val="00E846C5"/>
    <w:rsid w:val="00E86690"/>
    <w:rsid w:val="00E86A74"/>
    <w:rsid w:val="00E86DB1"/>
    <w:rsid w:val="00E8752D"/>
    <w:rsid w:val="00E876C2"/>
    <w:rsid w:val="00E87DD0"/>
    <w:rsid w:val="00E903E9"/>
    <w:rsid w:val="00E911B1"/>
    <w:rsid w:val="00E91588"/>
    <w:rsid w:val="00E91816"/>
    <w:rsid w:val="00E91AA4"/>
    <w:rsid w:val="00E91E05"/>
    <w:rsid w:val="00E929B9"/>
    <w:rsid w:val="00E92C64"/>
    <w:rsid w:val="00E954A1"/>
    <w:rsid w:val="00E95C96"/>
    <w:rsid w:val="00E96682"/>
    <w:rsid w:val="00E966EB"/>
    <w:rsid w:val="00E96EC8"/>
    <w:rsid w:val="00E96F47"/>
    <w:rsid w:val="00E977FE"/>
    <w:rsid w:val="00E97A41"/>
    <w:rsid w:val="00E97EF9"/>
    <w:rsid w:val="00E97FB9"/>
    <w:rsid w:val="00EA090F"/>
    <w:rsid w:val="00EA1371"/>
    <w:rsid w:val="00EA1B25"/>
    <w:rsid w:val="00EA26DA"/>
    <w:rsid w:val="00EA270E"/>
    <w:rsid w:val="00EA3608"/>
    <w:rsid w:val="00EA44A6"/>
    <w:rsid w:val="00EA5132"/>
    <w:rsid w:val="00EA5243"/>
    <w:rsid w:val="00EA5693"/>
    <w:rsid w:val="00EA65E1"/>
    <w:rsid w:val="00EA66D0"/>
    <w:rsid w:val="00EA693C"/>
    <w:rsid w:val="00EA6AEB"/>
    <w:rsid w:val="00EA72B2"/>
    <w:rsid w:val="00EA79E4"/>
    <w:rsid w:val="00EB0271"/>
    <w:rsid w:val="00EB06A7"/>
    <w:rsid w:val="00EB083E"/>
    <w:rsid w:val="00EB0EA3"/>
    <w:rsid w:val="00EB3700"/>
    <w:rsid w:val="00EB3775"/>
    <w:rsid w:val="00EB38F1"/>
    <w:rsid w:val="00EB5790"/>
    <w:rsid w:val="00EB59ED"/>
    <w:rsid w:val="00EB626D"/>
    <w:rsid w:val="00EB6288"/>
    <w:rsid w:val="00EB647C"/>
    <w:rsid w:val="00EB671C"/>
    <w:rsid w:val="00EB689B"/>
    <w:rsid w:val="00EB763F"/>
    <w:rsid w:val="00EB776A"/>
    <w:rsid w:val="00EC084A"/>
    <w:rsid w:val="00EC17B2"/>
    <w:rsid w:val="00EC2D8F"/>
    <w:rsid w:val="00EC3735"/>
    <w:rsid w:val="00EC3C8C"/>
    <w:rsid w:val="00EC43A5"/>
    <w:rsid w:val="00EC4903"/>
    <w:rsid w:val="00EC4D17"/>
    <w:rsid w:val="00EC5B36"/>
    <w:rsid w:val="00EC5FD4"/>
    <w:rsid w:val="00EC714E"/>
    <w:rsid w:val="00ED045B"/>
    <w:rsid w:val="00ED0BAB"/>
    <w:rsid w:val="00ED10AA"/>
    <w:rsid w:val="00ED1775"/>
    <w:rsid w:val="00ED1A54"/>
    <w:rsid w:val="00ED1BC0"/>
    <w:rsid w:val="00ED2053"/>
    <w:rsid w:val="00ED207D"/>
    <w:rsid w:val="00ED3B70"/>
    <w:rsid w:val="00ED3CF7"/>
    <w:rsid w:val="00ED419D"/>
    <w:rsid w:val="00ED4544"/>
    <w:rsid w:val="00ED5113"/>
    <w:rsid w:val="00ED518D"/>
    <w:rsid w:val="00ED51E1"/>
    <w:rsid w:val="00ED5315"/>
    <w:rsid w:val="00ED59D9"/>
    <w:rsid w:val="00ED5BFB"/>
    <w:rsid w:val="00ED6B62"/>
    <w:rsid w:val="00ED734C"/>
    <w:rsid w:val="00ED7421"/>
    <w:rsid w:val="00ED7779"/>
    <w:rsid w:val="00ED78BD"/>
    <w:rsid w:val="00ED7C1E"/>
    <w:rsid w:val="00EE016C"/>
    <w:rsid w:val="00EE03CA"/>
    <w:rsid w:val="00EE05B3"/>
    <w:rsid w:val="00EE07B8"/>
    <w:rsid w:val="00EE0A87"/>
    <w:rsid w:val="00EE0D07"/>
    <w:rsid w:val="00EE0D39"/>
    <w:rsid w:val="00EE0FB0"/>
    <w:rsid w:val="00EE1516"/>
    <w:rsid w:val="00EE1B69"/>
    <w:rsid w:val="00EE23A7"/>
    <w:rsid w:val="00EE27C6"/>
    <w:rsid w:val="00EE28AB"/>
    <w:rsid w:val="00EE29D3"/>
    <w:rsid w:val="00EE3C2D"/>
    <w:rsid w:val="00EE65FF"/>
    <w:rsid w:val="00EE7C8F"/>
    <w:rsid w:val="00EE7E6A"/>
    <w:rsid w:val="00EF08F7"/>
    <w:rsid w:val="00EF104D"/>
    <w:rsid w:val="00EF18EB"/>
    <w:rsid w:val="00EF1F07"/>
    <w:rsid w:val="00EF225A"/>
    <w:rsid w:val="00EF27AF"/>
    <w:rsid w:val="00EF435A"/>
    <w:rsid w:val="00EF447D"/>
    <w:rsid w:val="00EF4EDA"/>
    <w:rsid w:val="00EF579C"/>
    <w:rsid w:val="00EF6370"/>
    <w:rsid w:val="00EF7112"/>
    <w:rsid w:val="00F000E6"/>
    <w:rsid w:val="00F00B02"/>
    <w:rsid w:val="00F00C02"/>
    <w:rsid w:val="00F00CDB"/>
    <w:rsid w:val="00F014CA"/>
    <w:rsid w:val="00F01632"/>
    <w:rsid w:val="00F0165C"/>
    <w:rsid w:val="00F017FB"/>
    <w:rsid w:val="00F01922"/>
    <w:rsid w:val="00F02198"/>
    <w:rsid w:val="00F03046"/>
    <w:rsid w:val="00F03C2D"/>
    <w:rsid w:val="00F03E01"/>
    <w:rsid w:val="00F0443C"/>
    <w:rsid w:val="00F04792"/>
    <w:rsid w:val="00F0490A"/>
    <w:rsid w:val="00F05059"/>
    <w:rsid w:val="00F07A12"/>
    <w:rsid w:val="00F1092B"/>
    <w:rsid w:val="00F11BB9"/>
    <w:rsid w:val="00F1273D"/>
    <w:rsid w:val="00F12DB1"/>
    <w:rsid w:val="00F12F1D"/>
    <w:rsid w:val="00F13D72"/>
    <w:rsid w:val="00F141C1"/>
    <w:rsid w:val="00F147AC"/>
    <w:rsid w:val="00F152F8"/>
    <w:rsid w:val="00F16B17"/>
    <w:rsid w:val="00F175C5"/>
    <w:rsid w:val="00F20EB6"/>
    <w:rsid w:val="00F2178A"/>
    <w:rsid w:val="00F22347"/>
    <w:rsid w:val="00F228B5"/>
    <w:rsid w:val="00F22A61"/>
    <w:rsid w:val="00F23540"/>
    <w:rsid w:val="00F23A11"/>
    <w:rsid w:val="00F23E30"/>
    <w:rsid w:val="00F23FD0"/>
    <w:rsid w:val="00F24099"/>
    <w:rsid w:val="00F24530"/>
    <w:rsid w:val="00F2457D"/>
    <w:rsid w:val="00F247A0"/>
    <w:rsid w:val="00F259A1"/>
    <w:rsid w:val="00F25C53"/>
    <w:rsid w:val="00F2667A"/>
    <w:rsid w:val="00F26D90"/>
    <w:rsid w:val="00F3076E"/>
    <w:rsid w:val="00F30AAB"/>
    <w:rsid w:val="00F30B06"/>
    <w:rsid w:val="00F30B97"/>
    <w:rsid w:val="00F30F8F"/>
    <w:rsid w:val="00F318AD"/>
    <w:rsid w:val="00F31EC0"/>
    <w:rsid w:val="00F32612"/>
    <w:rsid w:val="00F3270E"/>
    <w:rsid w:val="00F328E8"/>
    <w:rsid w:val="00F3301A"/>
    <w:rsid w:val="00F33A8D"/>
    <w:rsid w:val="00F345AC"/>
    <w:rsid w:val="00F34AF1"/>
    <w:rsid w:val="00F35372"/>
    <w:rsid w:val="00F36BE5"/>
    <w:rsid w:val="00F370F0"/>
    <w:rsid w:val="00F37438"/>
    <w:rsid w:val="00F37C97"/>
    <w:rsid w:val="00F4127E"/>
    <w:rsid w:val="00F4131F"/>
    <w:rsid w:val="00F418B4"/>
    <w:rsid w:val="00F41A30"/>
    <w:rsid w:val="00F41D86"/>
    <w:rsid w:val="00F439CB"/>
    <w:rsid w:val="00F446E3"/>
    <w:rsid w:val="00F44D40"/>
    <w:rsid w:val="00F4538D"/>
    <w:rsid w:val="00F46678"/>
    <w:rsid w:val="00F46DE8"/>
    <w:rsid w:val="00F50521"/>
    <w:rsid w:val="00F511DA"/>
    <w:rsid w:val="00F51661"/>
    <w:rsid w:val="00F51EEF"/>
    <w:rsid w:val="00F52413"/>
    <w:rsid w:val="00F527F8"/>
    <w:rsid w:val="00F532C9"/>
    <w:rsid w:val="00F53593"/>
    <w:rsid w:val="00F53BCC"/>
    <w:rsid w:val="00F54191"/>
    <w:rsid w:val="00F54AAC"/>
    <w:rsid w:val="00F54C34"/>
    <w:rsid w:val="00F54C44"/>
    <w:rsid w:val="00F5559E"/>
    <w:rsid w:val="00F556E4"/>
    <w:rsid w:val="00F55C4A"/>
    <w:rsid w:val="00F55D39"/>
    <w:rsid w:val="00F560A9"/>
    <w:rsid w:val="00F5621C"/>
    <w:rsid w:val="00F5656D"/>
    <w:rsid w:val="00F56F6E"/>
    <w:rsid w:val="00F578AC"/>
    <w:rsid w:val="00F612E1"/>
    <w:rsid w:val="00F615D8"/>
    <w:rsid w:val="00F62871"/>
    <w:rsid w:val="00F62DA4"/>
    <w:rsid w:val="00F63AF2"/>
    <w:rsid w:val="00F63F32"/>
    <w:rsid w:val="00F64C47"/>
    <w:rsid w:val="00F65BB7"/>
    <w:rsid w:val="00F65E2A"/>
    <w:rsid w:val="00F66313"/>
    <w:rsid w:val="00F6695B"/>
    <w:rsid w:val="00F67A81"/>
    <w:rsid w:val="00F67C0B"/>
    <w:rsid w:val="00F70EE8"/>
    <w:rsid w:val="00F70EFA"/>
    <w:rsid w:val="00F71D78"/>
    <w:rsid w:val="00F71FD2"/>
    <w:rsid w:val="00F721D0"/>
    <w:rsid w:val="00F72B56"/>
    <w:rsid w:val="00F73030"/>
    <w:rsid w:val="00F73257"/>
    <w:rsid w:val="00F738E2"/>
    <w:rsid w:val="00F74553"/>
    <w:rsid w:val="00F7671E"/>
    <w:rsid w:val="00F770AC"/>
    <w:rsid w:val="00F8126C"/>
    <w:rsid w:val="00F81742"/>
    <w:rsid w:val="00F81A65"/>
    <w:rsid w:val="00F81DC9"/>
    <w:rsid w:val="00F81EE9"/>
    <w:rsid w:val="00F8207C"/>
    <w:rsid w:val="00F828B8"/>
    <w:rsid w:val="00F82984"/>
    <w:rsid w:val="00F829CE"/>
    <w:rsid w:val="00F830CD"/>
    <w:rsid w:val="00F83977"/>
    <w:rsid w:val="00F8536B"/>
    <w:rsid w:val="00F85474"/>
    <w:rsid w:val="00F8649F"/>
    <w:rsid w:val="00F86856"/>
    <w:rsid w:val="00F8697E"/>
    <w:rsid w:val="00F86CEC"/>
    <w:rsid w:val="00F87057"/>
    <w:rsid w:val="00F8736A"/>
    <w:rsid w:val="00F908EB"/>
    <w:rsid w:val="00F912CF"/>
    <w:rsid w:val="00F913D9"/>
    <w:rsid w:val="00F918C4"/>
    <w:rsid w:val="00F91C74"/>
    <w:rsid w:val="00F91CCE"/>
    <w:rsid w:val="00F9300D"/>
    <w:rsid w:val="00F93314"/>
    <w:rsid w:val="00F93848"/>
    <w:rsid w:val="00F93861"/>
    <w:rsid w:val="00F93B41"/>
    <w:rsid w:val="00F93BF2"/>
    <w:rsid w:val="00F93C2C"/>
    <w:rsid w:val="00F94049"/>
    <w:rsid w:val="00F94B47"/>
    <w:rsid w:val="00F94D5F"/>
    <w:rsid w:val="00F954DF"/>
    <w:rsid w:val="00F97B24"/>
    <w:rsid w:val="00FA0715"/>
    <w:rsid w:val="00FA0810"/>
    <w:rsid w:val="00FA089A"/>
    <w:rsid w:val="00FA0C93"/>
    <w:rsid w:val="00FA1A3F"/>
    <w:rsid w:val="00FA24F4"/>
    <w:rsid w:val="00FA2874"/>
    <w:rsid w:val="00FA2A0E"/>
    <w:rsid w:val="00FA2B44"/>
    <w:rsid w:val="00FA2BC5"/>
    <w:rsid w:val="00FA4859"/>
    <w:rsid w:val="00FA49D1"/>
    <w:rsid w:val="00FA5BD6"/>
    <w:rsid w:val="00FA6204"/>
    <w:rsid w:val="00FA6222"/>
    <w:rsid w:val="00FA6E51"/>
    <w:rsid w:val="00FA6F8F"/>
    <w:rsid w:val="00FA74B7"/>
    <w:rsid w:val="00FB00E9"/>
    <w:rsid w:val="00FB1106"/>
    <w:rsid w:val="00FB1571"/>
    <w:rsid w:val="00FB3B91"/>
    <w:rsid w:val="00FB3BA8"/>
    <w:rsid w:val="00FB46D5"/>
    <w:rsid w:val="00FB56AA"/>
    <w:rsid w:val="00FC0154"/>
    <w:rsid w:val="00FC057F"/>
    <w:rsid w:val="00FC0A23"/>
    <w:rsid w:val="00FC1F44"/>
    <w:rsid w:val="00FC2963"/>
    <w:rsid w:val="00FC2DBF"/>
    <w:rsid w:val="00FC3756"/>
    <w:rsid w:val="00FC3C17"/>
    <w:rsid w:val="00FC3D44"/>
    <w:rsid w:val="00FC3E37"/>
    <w:rsid w:val="00FC4171"/>
    <w:rsid w:val="00FC48B3"/>
    <w:rsid w:val="00FC54BE"/>
    <w:rsid w:val="00FC5A35"/>
    <w:rsid w:val="00FC6919"/>
    <w:rsid w:val="00FC6991"/>
    <w:rsid w:val="00FC7040"/>
    <w:rsid w:val="00FD06D8"/>
    <w:rsid w:val="00FD142A"/>
    <w:rsid w:val="00FD1B7B"/>
    <w:rsid w:val="00FD29D4"/>
    <w:rsid w:val="00FD3484"/>
    <w:rsid w:val="00FD45FF"/>
    <w:rsid w:val="00FD46C5"/>
    <w:rsid w:val="00FD46E8"/>
    <w:rsid w:val="00FD57F5"/>
    <w:rsid w:val="00FD5AF4"/>
    <w:rsid w:val="00FD5D9F"/>
    <w:rsid w:val="00FD6693"/>
    <w:rsid w:val="00FD7696"/>
    <w:rsid w:val="00FD78F1"/>
    <w:rsid w:val="00FD79FD"/>
    <w:rsid w:val="00FD7C71"/>
    <w:rsid w:val="00FD7E5D"/>
    <w:rsid w:val="00FE03B7"/>
    <w:rsid w:val="00FE087F"/>
    <w:rsid w:val="00FE0E50"/>
    <w:rsid w:val="00FE0F45"/>
    <w:rsid w:val="00FE179E"/>
    <w:rsid w:val="00FE1D1C"/>
    <w:rsid w:val="00FE3678"/>
    <w:rsid w:val="00FE3B0C"/>
    <w:rsid w:val="00FE3C69"/>
    <w:rsid w:val="00FE5288"/>
    <w:rsid w:val="00FE54FC"/>
    <w:rsid w:val="00FE6213"/>
    <w:rsid w:val="00FE640D"/>
    <w:rsid w:val="00FE704B"/>
    <w:rsid w:val="00FE746A"/>
    <w:rsid w:val="00FE76BD"/>
    <w:rsid w:val="00FF08C8"/>
    <w:rsid w:val="00FF138A"/>
    <w:rsid w:val="00FF1B23"/>
    <w:rsid w:val="00FF2B24"/>
    <w:rsid w:val="00FF2B2B"/>
    <w:rsid w:val="00FF420E"/>
    <w:rsid w:val="00FF442E"/>
    <w:rsid w:val="00FF476D"/>
    <w:rsid w:val="00FF4E9B"/>
    <w:rsid w:val="00FF55C0"/>
    <w:rsid w:val="00FF5D86"/>
    <w:rsid w:val="00FF6F54"/>
    <w:rsid w:val="00FF6F6D"/>
    <w:rsid w:val="00FF7181"/>
    <w:rsid w:val="00FF736E"/>
    <w:rsid w:val="00FF7683"/>
    <w:rsid w:val="00FF7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78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3B05"/>
    <w:pPr>
      <w:widowControl w:val="0"/>
    </w:pPr>
  </w:style>
  <w:style w:type="paragraph" w:styleId="Heading1">
    <w:name w:val="heading 1"/>
    <w:aliases w:val="Preamble Heading 1,Preamble Heading 6,Preamble Section 8 Heading 1,Preamble Section 4,Preamble Heading 11,Preamble Heading 61,Preamble Section 8 Heading 11,Preamble Section 41,Preamble Heading 12,Preamble Heading 62,Preamble Section 8 Heading"/>
    <w:basedOn w:val="Normal"/>
    <w:next w:val="Normal"/>
    <w:qFormat/>
    <w:rsid w:val="00B778EA"/>
    <w:pPr>
      <w:keepNext/>
      <w:numPr>
        <w:numId w:val="2"/>
      </w:numPr>
      <w:spacing w:before="240" w:after="240"/>
      <w:outlineLvl w:val="0"/>
    </w:pPr>
    <w:rPr>
      <w:rFonts w:cs="Arial"/>
      <w:b/>
      <w:bCs/>
      <w:kern w:val="32"/>
      <w:sz w:val="32"/>
      <w:szCs w:val="32"/>
    </w:rPr>
  </w:style>
  <w:style w:type="paragraph" w:styleId="Heading2">
    <w:name w:val="heading 2"/>
    <w:aliases w:val="Preamble Heading 2,Preamble,RIA: Heading 2,Preamble1,RIA: Heading 21,Preamble2,RIA: Heading 22,Preamble3,RIA: Heading 23,Preamble4,RIA: Heading 24,Preamble5,RIA: Heading 25,Preamble6,RIA: Heading 26,Preamble7,RIA: Heading 27,Preamble8"/>
    <w:next w:val="Normal"/>
    <w:qFormat/>
    <w:rsid w:val="00B778EA"/>
    <w:pPr>
      <w:keepNext/>
      <w:numPr>
        <w:ilvl w:val="1"/>
        <w:numId w:val="2"/>
      </w:numPr>
      <w:spacing w:before="120" w:after="120"/>
      <w:contextualSpacing/>
      <w:outlineLvl w:val="1"/>
    </w:pPr>
    <w:rPr>
      <w:rFonts w:cs="Arial"/>
      <w:b/>
      <w:bCs/>
      <w:iCs/>
      <w:sz w:val="28"/>
      <w:szCs w:val="24"/>
    </w:rPr>
  </w:style>
  <w:style w:type="paragraph" w:styleId="Heading3">
    <w:name w:val="heading 3"/>
    <w:aliases w:val="Preamble Heading 3,RIA Heading 3,RIA Heading 3 + Left:  0.25&quot;,First line:  0&quot; + L...,Preamble Heading 31,RIA Heading 31,RIA Heading 3 + Left:  0.25&quot;1,First line:  0&quot; + L...1,Preamble Heading 32,RIA Heading 32,RIA Heading 3 + Left:  0.25&quot;2"/>
    <w:basedOn w:val="Heading1"/>
    <w:next w:val="Normal"/>
    <w:qFormat/>
    <w:rsid w:val="00B778EA"/>
    <w:pPr>
      <w:numPr>
        <w:ilvl w:val="2"/>
      </w:numPr>
      <w:tabs>
        <w:tab w:val="left" w:pos="576"/>
      </w:tabs>
      <w:spacing w:before="120" w:after="120"/>
      <w:outlineLvl w:val="2"/>
    </w:pPr>
    <w:rPr>
      <w:bCs w:val="0"/>
      <w:sz w:val="24"/>
    </w:rPr>
  </w:style>
  <w:style w:type="paragraph" w:styleId="Heading4">
    <w:name w:val="heading 4"/>
    <w:aliases w:val="Preamble Heading 4,RIA: Heading 4,Preamble Heading 41,RIA: Heading 41,Preamble Heading 42,RIA: Heading 42,Preamble Heading 43,RIA: Heading 43,Preamble Heading 44,RIA: Heading 44,Preamble Heading 45,RIA: Heading 45,Preamble Heading 46"/>
    <w:basedOn w:val="Heading1"/>
    <w:next w:val="Normal"/>
    <w:qFormat/>
    <w:rsid w:val="00B778EA"/>
    <w:pPr>
      <w:numPr>
        <w:ilvl w:val="3"/>
      </w:numPr>
      <w:ind w:left="792"/>
      <w:outlineLvl w:val="3"/>
    </w:pPr>
    <w:rPr>
      <w:b w:val="0"/>
      <w:bCs w:val="0"/>
      <w:i/>
      <w:sz w:val="24"/>
      <w:szCs w:val="28"/>
    </w:rPr>
  </w:style>
  <w:style w:type="paragraph" w:styleId="Heading5">
    <w:name w:val="heading 5"/>
    <w:aliases w:val="Preamble Heading 5,ECA Heading 5,Preamble Heading 51,ECA Heading 51,Preamble Heading 52,ECA Heading 52,Preamble Heading 53,ECA Heading 53,Preamble Heading 54,ECA Heading 54,Preamble Heading 55,ECA Heading 55,Preamble Heading 56,ECA Heading 56"/>
    <w:basedOn w:val="Heading1"/>
    <w:next w:val="Normal"/>
    <w:qFormat/>
    <w:rsid w:val="00B778EA"/>
    <w:pPr>
      <w:numPr>
        <w:ilvl w:val="4"/>
      </w:numPr>
      <w:spacing w:before="120" w:after="120"/>
      <w:outlineLvl w:val="4"/>
    </w:pPr>
    <w:rPr>
      <w:b w:val="0"/>
      <w:bCs w:val="0"/>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GS Table Basic 1"/>
    <w:basedOn w:val="TableNormal"/>
    <w:rsid w:val="0061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13B05"/>
  </w:style>
  <w:style w:type="paragraph" w:customStyle="1" w:styleId="Level2">
    <w:name w:val="Level 2"/>
    <w:basedOn w:val="Normal"/>
    <w:rsid w:val="00013B05"/>
  </w:style>
  <w:style w:type="paragraph" w:customStyle="1" w:styleId="Level3">
    <w:name w:val="Level 3"/>
    <w:basedOn w:val="Normal"/>
    <w:rsid w:val="00013B05"/>
  </w:style>
  <w:style w:type="paragraph" w:customStyle="1" w:styleId="Level4">
    <w:name w:val="Level 4"/>
    <w:basedOn w:val="Normal"/>
    <w:rsid w:val="00013B05"/>
  </w:style>
  <w:style w:type="paragraph" w:customStyle="1" w:styleId="Level5">
    <w:name w:val="Level 5"/>
    <w:basedOn w:val="Normal"/>
    <w:rsid w:val="00013B05"/>
  </w:style>
  <w:style w:type="paragraph" w:customStyle="1" w:styleId="Level6">
    <w:name w:val="Level 6"/>
    <w:basedOn w:val="Normal"/>
    <w:rsid w:val="00013B05"/>
  </w:style>
  <w:style w:type="paragraph" w:customStyle="1" w:styleId="Level7">
    <w:name w:val="Level 7"/>
    <w:basedOn w:val="Normal"/>
    <w:rsid w:val="00013B05"/>
  </w:style>
  <w:style w:type="paragraph" w:customStyle="1" w:styleId="Level8">
    <w:name w:val="Level 8"/>
    <w:basedOn w:val="Normal"/>
    <w:rsid w:val="00013B05"/>
  </w:style>
  <w:style w:type="paragraph" w:customStyle="1" w:styleId="Level9">
    <w:name w:val="Level 9"/>
    <w:basedOn w:val="Normal"/>
    <w:rsid w:val="00013B05"/>
  </w:style>
  <w:style w:type="paragraph" w:customStyle="1" w:styleId="level10">
    <w:name w:val="_leve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013B05"/>
    <w:pPr>
      <w:tabs>
        <w:tab w:val="left" w:pos="5040"/>
        <w:tab w:val="left" w:pos="5760"/>
        <w:tab w:val="left" w:pos="6480"/>
        <w:tab w:val="left" w:pos="7200"/>
        <w:tab w:val="left" w:pos="7920"/>
      </w:tabs>
      <w:ind w:left="5040" w:hanging="720"/>
    </w:pPr>
  </w:style>
  <w:style w:type="paragraph" w:customStyle="1" w:styleId="level80">
    <w:name w:val="_level8"/>
    <w:basedOn w:val="Normal"/>
    <w:rsid w:val="00013B05"/>
    <w:pPr>
      <w:tabs>
        <w:tab w:val="left" w:pos="5760"/>
        <w:tab w:val="left" w:pos="6480"/>
        <w:tab w:val="left" w:pos="7200"/>
        <w:tab w:val="left" w:pos="7920"/>
      </w:tabs>
      <w:ind w:left="5760" w:hanging="720"/>
    </w:pPr>
  </w:style>
  <w:style w:type="paragraph" w:customStyle="1" w:styleId="level90">
    <w:name w:val="_level9"/>
    <w:basedOn w:val="Normal"/>
    <w:rsid w:val="00013B05"/>
    <w:pPr>
      <w:tabs>
        <w:tab w:val="left" w:pos="6480"/>
        <w:tab w:val="left" w:pos="7200"/>
        <w:tab w:val="left" w:pos="7920"/>
      </w:tabs>
      <w:ind w:left="6480" w:hanging="720"/>
    </w:pPr>
  </w:style>
  <w:style w:type="paragraph" w:customStyle="1" w:styleId="levsl1">
    <w:name w:val="_levs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013B05"/>
    <w:pPr>
      <w:tabs>
        <w:tab w:val="left" w:pos="5040"/>
        <w:tab w:val="left" w:pos="5760"/>
        <w:tab w:val="left" w:pos="6480"/>
        <w:tab w:val="left" w:pos="7200"/>
        <w:tab w:val="left" w:pos="7920"/>
      </w:tabs>
      <w:ind w:left="5040" w:hanging="720"/>
    </w:pPr>
  </w:style>
  <w:style w:type="paragraph" w:customStyle="1" w:styleId="levsl8">
    <w:name w:val="_levsl8"/>
    <w:basedOn w:val="Normal"/>
    <w:rsid w:val="00013B05"/>
    <w:pPr>
      <w:tabs>
        <w:tab w:val="left" w:pos="5760"/>
        <w:tab w:val="left" w:pos="6480"/>
        <w:tab w:val="left" w:pos="7200"/>
        <w:tab w:val="left" w:pos="7920"/>
      </w:tabs>
      <w:ind w:left="5760" w:hanging="720"/>
    </w:pPr>
  </w:style>
  <w:style w:type="paragraph" w:customStyle="1" w:styleId="levsl9">
    <w:name w:val="_levsl9"/>
    <w:basedOn w:val="Normal"/>
    <w:rsid w:val="00013B05"/>
    <w:pPr>
      <w:tabs>
        <w:tab w:val="left" w:pos="6480"/>
        <w:tab w:val="left" w:pos="7200"/>
        <w:tab w:val="left" w:pos="7920"/>
      </w:tabs>
      <w:ind w:left="6480" w:hanging="720"/>
    </w:pPr>
  </w:style>
  <w:style w:type="paragraph" w:customStyle="1" w:styleId="levnl1">
    <w:name w:val="_levnl1"/>
    <w:basedOn w:val="Normal"/>
    <w:rsid w:val="00013B0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013B05"/>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013B05"/>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013B05"/>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013B05"/>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013B05"/>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013B05"/>
    <w:pPr>
      <w:tabs>
        <w:tab w:val="left" w:pos="5040"/>
        <w:tab w:val="left" w:pos="5760"/>
        <w:tab w:val="left" w:pos="6480"/>
        <w:tab w:val="left" w:pos="7200"/>
        <w:tab w:val="left" w:pos="7920"/>
      </w:tabs>
      <w:ind w:left="5040" w:hanging="720"/>
    </w:pPr>
  </w:style>
  <w:style w:type="paragraph" w:customStyle="1" w:styleId="levnl8">
    <w:name w:val="_levnl8"/>
    <w:basedOn w:val="Normal"/>
    <w:rsid w:val="00013B05"/>
    <w:pPr>
      <w:tabs>
        <w:tab w:val="left" w:pos="5760"/>
        <w:tab w:val="left" w:pos="6480"/>
        <w:tab w:val="left" w:pos="7200"/>
        <w:tab w:val="left" w:pos="7920"/>
      </w:tabs>
      <w:ind w:left="5760" w:hanging="720"/>
    </w:pPr>
  </w:style>
  <w:style w:type="paragraph" w:customStyle="1" w:styleId="levnl9">
    <w:name w:val="_levnl9"/>
    <w:basedOn w:val="Normal"/>
    <w:rsid w:val="00013B05"/>
    <w:pPr>
      <w:tabs>
        <w:tab w:val="left" w:pos="6480"/>
        <w:tab w:val="left" w:pos="7200"/>
        <w:tab w:val="left" w:pos="7920"/>
      </w:tabs>
      <w:ind w:left="6480" w:hanging="720"/>
    </w:pPr>
  </w:style>
  <w:style w:type="character" w:customStyle="1" w:styleId="QuickFormat1">
    <w:name w:val="QuickFormat1"/>
    <w:rsid w:val="00013B05"/>
    <w:rPr>
      <w:rFonts w:ascii="Courier New" w:hAnsi="Courier New"/>
      <w:color w:val="000000"/>
      <w:sz w:val="24"/>
    </w:rPr>
  </w:style>
  <w:style w:type="character" w:customStyle="1" w:styleId="QuickFormat2">
    <w:name w:val="QuickFormat2"/>
    <w:rsid w:val="00013B05"/>
    <w:rPr>
      <w:rFonts w:ascii="Courier New" w:hAnsi="Courier New"/>
      <w:color w:val="000000"/>
      <w:sz w:val="24"/>
    </w:rPr>
  </w:style>
  <w:style w:type="paragraph" w:customStyle="1" w:styleId="DefinitionT">
    <w:name w:val="Definition T"/>
    <w:basedOn w:val="Normal"/>
    <w:rsid w:val="00013B05"/>
  </w:style>
  <w:style w:type="paragraph" w:customStyle="1" w:styleId="DefinitionL">
    <w:name w:val="Definition L"/>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013B05"/>
    <w:rPr>
      <w:i/>
    </w:rPr>
  </w:style>
  <w:style w:type="paragraph" w:customStyle="1" w:styleId="H1">
    <w:name w:val="H1"/>
    <w:basedOn w:val="Normal"/>
    <w:rsid w:val="00013B05"/>
    <w:rPr>
      <w:rFonts w:ascii="Courier" w:hAnsi="Courier"/>
      <w:b/>
      <w:sz w:val="48"/>
    </w:rPr>
  </w:style>
  <w:style w:type="paragraph" w:customStyle="1" w:styleId="H2">
    <w:name w:val="H2"/>
    <w:basedOn w:val="Normal"/>
    <w:rsid w:val="00013B05"/>
    <w:rPr>
      <w:rFonts w:ascii="Courier" w:hAnsi="Courier"/>
      <w:b/>
      <w:sz w:val="36"/>
    </w:rPr>
  </w:style>
  <w:style w:type="paragraph" w:customStyle="1" w:styleId="H3">
    <w:name w:val="H3"/>
    <w:basedOn w:val="Normal"/>
    <w:rsid w:val="00013B05"/>
    <w:rPr>
      <w:rFonts w:ascii="Courier" w:hAnsi="Courier"/>
      <w:b/>
      <w:sz w:val="28"/>
    </w:rPr>
  </w:style>
  <w:style w:type="paragraph" w:customStyle="1" w:styleId="H4">
    <w:name w:val="H4"/>
    <w:basedOn w:val="Normal"/>
    <w:rsid w:val="00013B05"/>
    <w:rPr>
      <w:rFonts w:ascii="Courier" w:hAnsi="Courier"/>
      <w:b/>
    </w:rPr>
  </w:style>
  <w:style w:type="paragraph" w:customStyle="1" w:styleId="H5">
    <w:name w:val="H5"/>
    <w:basedOn w:val="Normal"/>
    <w:rsid w:val="00013B05"/>
    <w:rPr>
      <w:rFonts w:ascii="Courier" w:hAnsi="Courier"/>
      <w:b/>
    </w:rPr>
  </w:style>
  <w:style w:type="paragraph" w:customStyle="1" w:styleId="H6">
    <w:name w:val="H6"/>
    <w:basedOn w:val="Normal"/>
    <w:rsid w:val="00013B05"/>
    <w:rPr>
      <w:rFonts w:ascii="Courier" w:hAnsi="Courier"/>
      <w:b/>
      <w:sz w:val="16"/>
    </w:rPr>
  </w:style>
  <w:style w:type="paragraph" w:customStyle="1" w:styleId="Address">
    <w:name w:val="Address"/>
    <w:basedOn w:val="Normal"/>
    <w:rsid w:val="00013B05"/>
    <w:rPr>
      <w:i/>
    </w:rPr>
  </w:style>
  <w:style w:type="paragraph" w:customStyle="1" w:styleId="Blockquote">
    <w:name w:val="Blockquote"/>
    <w:basedOn w:val="Normal"/>
    <w:rsid w:val="00013B0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013B05"/>
    <w:rPr>
      <w:i/>
    </w:rPr>
  </w:style>
  <w:style w:type="character" w:customStyle="1" w:styleId="CODE">
    <w:name w:val="CODE"/>
    <w:rsid w:val="00013B05"/>
    <w:rPr>
      <w:rFonts w:ascii="Courier New" w:hAnsi="Courier New"/>
      <w:sz w:val="20"/>
    </w:rPr>
  </w:style>
  <w:style w:type="character" w:customStyle="1" w:styleId="WP9Emphasis">
    <w:name w:val="WP9_Emphasis"/>
    <w:rsid w:val="00013B05"/>
    <w:rPr>
      <w:i/>
    </w:rPr>
  </w:style>
  <w:style w:type="character" w:customStyle="1" w:styleId="WP9Hyperlink">
    <w:name w:val="WP9_Hyperlink"/>
    <w:rsid w:val="00013B05"/>
    <w:rPr>
      <w:color w:val="0000FF"/>
      <w:u w:val="single"/>
    </w:rPr>
  </w:style>
  <w:style w:type="character" w:customStyle="1" w:styleId="FollowedHype">
    <w:name w:val="FollowedHype"/>
    <w:rsid w:val="00013B05"/>
    <w:rPr>
      <w:color w:val="800080"/>
      <w:u w:val="single"/>
    </w:rPr>
  </w:style>
  <w:style w:type="character" w:customStyle="1" w:styleId="Keyboard">
    <w:name w:val="Keyboard"/>
    <w:rsid w:val="00013B05"/>
    <w:rPr>
      <w:rFonts w:ascii="Courier New" w:hAnsi="Courier New"/>
      <w:b/>
      <w:sz w:val="20"/>
    </w:rPr>
  </w:style>
  <w:style w:type="paragraph" w:customStyle="1" w:styleId="Preformatted">
    <w:name w:val="Preformatted"/>
    <w:basedOn w:val="Normal"/>
    <w:rsid w:val="00013B05"/>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013B05"/>
    <w:pPr>
      <w:pBdr>
        <w:top w:val="double" w:sz="5" w:space="0" w:color="000000"/>
      </w:pBdr>
      <w:jc w:val="center"/>
    </w:pPr>
    <w:rPr>
      <w:rFonts w:ascii="Arial" w:hAnsi="Arial"/>
      <w:sz w:val="16"/>
    </w:rPr>
  </w:style>
  <w:style w:type="paragraph" w:customStyle="1" w:styleId="zTopofFor">
    <w:name w:val="zTop of For"/>
    <w:basedOn w:val="Normal"/>
    <w:rsid w:val="00013B05"/>
    <w:pPr>
      <w:pBdr>
        <w:bottom w:val="double" w:sz="5" w:space="0" w:color="000000"/>
      </w:pBdr>
      <w:jc w:val="center"/>
    </w:pPr>
    <w:rPr>
      <w:rFonts w:ascii="Arial" w:hAnsi="Arial"/>
      <w:sz w:val="16"/>
    </w:rPr>
  </w:style>
  <w:style w:type="character" w:customStyle="1" w:styleId="Sample">
    <w:name w:val="Sample"/>
    <w:rsid w:val="00013B05"/>
    <w:rPr>
      <w:rFonts w:ascii="Courier New" w:hAnsi="Courier New"/>
    </w:rPr>
  </w:style>
  <w:style w:type="character" w:customStyle="1" w:styleId="WP9Strong">
    <w:name w:val="WP9_Strong"/>
    <w:rsid w:val="00013B05"/>
    <w:rPr>
      <w:b/>
    </w:rPr>
  </w:style>
  <w:style w:type="character" w:customStyle="1" w:styleId="Typewriter">
    <w:name w:val="Typewriter"/>
    <w:rsid w:val="00013B05"/>
    <w:rPr>
      <w:rFonts w:ascii="Courier New" w:hAnsi="Courier New"/>
      <w:sz w:val="20"/>
    </w:rPr>
  </w:style>
  <w:style w:type="character" w:customStyle="1" w:styleId="Variable">
    <w:name w:val="Variable"/>
    <w:rsid w:val="00013B05"/>
    <w:rPr>
      <w:i/>
    </w:rPr>
  </w:style>
  <w:style w:type="character" w:customStyle="1" w:styleId="HTMLMarkup">
    <w:name w:val="HTML Markup"/>
    <w:rsid w:val="00013B05"/>
    <w:rPr>
      <w:vanish/>
      <w:color w:val="FF0000"/>
    </w:rPr>
  </w:style>
  <w:style w:type="character" w:customStyle="1" w:styleId="Comment">
    <w:name w:val="Comment"/>
    <w:rsid w:val="00013B05"/>
    <w:rPr>
      <w:vanish/>
    </w:rPr>
  </w:style>
  <w:style w:type="character" w:customStyle="1" w:styleId="SYSHYPERTEXT">
    <w:name w:val="SYS_HYPERTEXT"/>
    <w:rsid w:val="00013B05"/>
    <w:rPr>
      <w:color w:val="0000FF"/>
      <w:u w:val="single"/>
    </w:rPr>
  </w:style>
  <w:style w:type="paragraph" w:styleId="BalloonText">
    <w:name w:val="Balloon Text"/>
    <w:basedOn w:val="Normal"/>
    <w:semiHidden/>
    <w:rsid w:val="00A20293"/>
    <w:rPr>
      <w:rFonts w:ascii="Tahoma" w:hAnsi="Tahoma" w:cs="Tahoma"/>
      <w:sz w:val="16"/>
      <w:szCs w:val="16"/>
    </w:rPr>
  </w:style>
  <w:style w:type="character" w:styleId="Hyperlink">
    <w:name w:val="Hyperlink"/>
    <w:basedOn w:val="DefaultParagraphFont"/>
    <w:uiPriority w:val="99"/>
    <w:rsid w:val="00A20293"/>
    <w:rPr>
      <w:color w:val="0000FF"/>
      <w:u w:val="single"/>
    </w:rPr>
  </w:style>
  <w:style w:type="paragraph" w:customStyle="1" w:styleId="Style6">
    <w:name w:val="Style 6"/>
    <w:basedOn w:val="Normal"/>
    <w:rsid w:val="00C1456C"/>
    <w:pPr>
      <w:autoSpaceDE w:val="0"/>
      <w:autoSpaceDN w:val="0"/>
      <w:jc w:val="both"/>
    </w:pPr>
    <w:rPr>
      <w:szCs w:val="24"/>
    </w:rPr>
  </w:style>
  <w:style w:type="paragraph" w:customStyle="1" w:styleId="Style5">
    <w:name w:val="Style 5"/>
    <w:basedOn w:val="Normal"/>
    <w:rsid w:val="00853D67"/>
    <w:pPr>
      <w:autoSpaceDE w:val="0"/>
      <w:autoSpaceDN w:val="0"/>
      <w:adjustRightInd w:val="0"/>
    </w:pPr>
    <w:rPr>
      <w:szCs w:val="24"/>
    </w:rPr>
  </w:style>
  <w:style w:type="paragraph" w:styleId="NormalWeb">
    <w:name w:val="Normal (Web)"/>
    <w:basedOn w:val="Normal"/>
    <w:rsid w:val="005E5ECD"/>
    <w:pPr>
      <w:spacing w:before="100" w:beforeAutospacing="1" w:after="100" w:afterAutospacing="1"/>
    </w:pPr>
    <w:rPr>
      <w:szCs w:val="24"/>
    </w:rPr>
  </w:style>
  <w:style w:type="paragraph" w:styleId="Header">
    <w:name w:val="header"/>
    <w:basedOn w:val="Normal"/>
    <w:link w:val="HeaderChar"/>
    <w:uiPriority w:val="99"/>
    <w:rsid w:val="00A52BA4"/>
    <w:pPr>
      <w:tabs>
        <w:tab w:val="center" w:pos="4680"/>
        <w:tab w:val="right" w:pos="9360"/>
      </w:tabs>
    </w:pPr>
  </w:style>
  <w:style w:type="character" w:customStyle="1" w:styleId="HeaderChar">
    <w:name w:val="Header Char"/>
    <w:basedOn w:val="DefaultParagraphFont"/>
    <w:link w:val="Header"/>
    <w:uiPriority w:val="99"/>
    <w:rsid w:val="00A52BA4"/>
    <w:rPr>
      <w:sz w:val="24"/>
    </w:rPr>
  </w:style>
  <w:style w:type="paragraph" w:styleId="Footer">
    <w:name w:val="footer"/>
    <w:basedOn w:val="Normal"/>
    <w:link w:val="FooterChar"/>
    <w:uiPriority w:val="99"/>
    <w:qFormat/>
    <w:rsid w:val="00A52BA4"/>
    <w:pPr>
      <w:tabs>
        <w:tab w:val="center" w:pos="4680"/>
        <w:tab w:val="right" w:pos="9360"/>
      </w:tabs>
    </w:pPr>
  </w:style>
  <w:style w:type="character" w:customStyle="1" w:styleId="FooterChar">
    <w:name w:val="Footer Char"/>
    <w:basedOn w:val="DefaultParagraphFont"/>
    <w:link w:val="Footer"/>
    <w:uiPriority w:val="99"/>
    <w:rsid w:val="00A52BA4"/>
    <w:rPr>
      <w:sz w:val="24"/>
    </w:rPr>
  </w:style>
  <w:style w:type="character" w:styleId="CommentReference">
    <w:name w:val="annotation reference"/>
    <w:basedOn w:val="DefaultParagraphFont"/>
    <w:uiPriority w:val="99"/>
    <w:semiHidden/>
    <w:rsid w:val="00B82A69"/>
    <w:rPr>
      <w:sz w:val="16"/>
      <w:szCs w:val="16"/>
    </w:rPr>
  </w:style>
  <w:style w:type="paragraph" w:styleId="CommentText">
    <w:name w:val="annotation text"/>
    <w:basedOn w:val="Normal"/>
    <w:link w:val="CommentTextChar"/>
    <w:uiPriority w:val="99"/>
    <w:semiHidden/>
    <w:rsid w:val="00B82A69"/>
  </w:style>
  <w:style w:type="paragraph" w:styleId="CommentSubject">
    <w:name w:val="annotation subject"/>
    <w:basedOn w:val="CommentText"/>
    <w:next w:val="CommentText"/>
    <w:semiHidden/>
    <w:rsid w:val="00B82A69"/>
    <w:rPr>
      <w:b/>
      <w:bCs/>
    </w:rPr>
  </w:style>
  <w:style w:type="paragraph" w:customStyle="1" w:styleId="Default3">
    <w:name w:val="Default3"/>
    <w:uiPriority w:val="99"/>
    <w:rsid w:val="00806970"/>
    <w:pPr>
      <w:autoSpaceDE w:val="0"/>
      <w:autoSpaceDN w:val="0"/>
      <w:adjustRightInd w:val="0"/>
    </w:pPr>
    <w:rPr>
      <w:rFonts w:cs="ENKOF M+ Melior"/>
      <w:color w:val="000000"/>
      <w:sz w:val="24"/>
      <w:szCs w:val="24"/>
    </w:rPr>
  </w:style>
  <w:style w:type="paragraph" w:styleId="ListParagraph">
    <w:name w:val="List Paragraph"/>
    <w:basedOn w:val="Normal"/>
    <w:uiPriority w:val="34"/>
    <w:qFormat/>
    <w:rsid w:val="006628F2"/>
    <w:pPr>
      <w:ind w:left="720"/>
      <w:contextualSpacing/>
    </w:pPr>
  </w:style>
  <w:style w:type="character" w:customStyle="1" w:styleId="CommentTextChar">
    <w:name w:val="Comment Text Char"/>
    <w:basedOn w:val="DefaultParagraphFont"/>
    <w:link w:val="CommentText"/>
    <w:uiPriority w:val="99"/>
    <w:semiHidden/>
    <w:locked/>
    <w:rsid w:val="000226F4"/>
  </w:style>
  <w:style w:type="paragraph" w:customStyle="1" w:styleId="Regsection">
    <w:name w:val="Regsection"/>
    <w:basedOn w:val="Normal"/>
    <w:rsid w:val="000226F4"/>
    <w:rPr>
      <w:b/>
    </w:rPr>
  </w:style>
  <w:style w:type="paragraph" w:styleId="FootnoteText">
    <w:name w:val="footnote text"/>
    <w:aliases w:val="Footnote Text - Preamble,Char,Char2,Footnote Text - Preamble1,Char3,Char11,Footnote Text - Preamble2,Char21,Footnote Text - Preamble11,Char4,Char5,Footnote Text - Preamble3,Char6,Footnote Text - Preamble4,Char7,Char12,Char1,if needed, Char"/>
    <w:basedOn w:val="Normal"/>
    <w:link w:val="FootnoteTextChar"/>
    <w:uiPriority w:val="99"/>
    <w:qFormat/>
    <w:rsid w:val="002044FA"/>
  </w:style>
  <w:style w:type="character" w:customStyle="1" w:styleId="FootnoteTextChar">
    <w:name w:val="Footnote Text Char"/>
    <w:aliases w:val="Footnote Text - Preamble Char,Char Char,Char2 Char,Footnote Text - Preamble1 Char,Char3 Char,Char11 Char,Footnote Text - Preamble2 Char,Char21 Char,Footnote Text - Preamble11 Char,Char4 Char,Char5 Char,Footnote Text - Preamble3 Char"/>
    <w:basedOn w:val="DefaultParagraphFont"/>
    <w:link w:val="FootnoteText"/>
    <w:uiPriority w:val="99"/>
    <w:rsid w:val="002044FA"/>
  </w:style>
  <w:style w:type="character" w:styleId="FootnoteReference">
    <w:name w:val="footnote reference"/>
    <w:aliases w:val="TSD Footnote Reference,FR Footnote Reference"/>
    <w:basedOn w:val="DefaultParagraphFont"/>
    <w:uiPriority w:val="99"/>
    <w:qFormat/>
    <w:rsid w:val="002044FA"/>
    <w:rPr>
      <w:vertAlign w:val="superscript"/>
    </w:rPr>
  </w:style>
  <w:style w:type="paragraph" w:styleId="Revision">
    <w:name w:val="Revision"/>
    <w:hidden/>
    <w:uiPriority w:val="99"/>
    <w:semiHidden/>
    <w:rsid w:val="009519D5"/>
  </w:style>
  <w:style w:type="character" w:styleId="FollowedHyperlink">
    <w:name w:val="FollowedHyperlink"/>
    <w:basedOn w:val="DefaultParagraphFont"/>
    <w:rsid w:val="000662F5"/>
    <w:rPr>
      <w:color w:val="954F72" w:themeColor="followedHyperlink"/>
      <w:u w:val="single"/>
    </w:rPr>
  </w:style>
  <w:style w:type="character" w:styleId="UnresolvedMention">
    <w:name w:val="Unresolved Mention"/>
    <w:basedOn w:val="DefaultParagraphFont"/>
    <w:uiPriority w:val="99"/>
    <w:semiHidden/>
    <w:unhideWhenUsed/>
    <w:rsid w:val="00E03071"/>
    <w:rPr>
      <w:color w:val="808080"/>
      <w:shd w:val="clear" w:color="auto" w:fill="E6E6E6"/>
    </w:rPr>
  </w:style>
  <w:style w:type="paragraph" w:styleId="TOCHeading">
    <w:name w:val="TOC Heading"/>
    <w:basedOn w:val="Heading1"/>
    <w:next w:val="Normal"/>
    <w:uiPriority w:val="39"/>
    <w:unhideWhenUsed/>
    <w:qFormat/>
    <w:rsid w:val="00F81A65"/>
    <w:pPr>
      <w:keepLines/>
      <w:widowControl/>
      <w:numPr>
        <w:numId w:val="0"/>
      </w:numPr>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F81A65"/>
    <w:pPr>
      <w:spacing w:after="100"/>
    </w:pPr>
  </w:style>
  <w:style w:type="paragraph" w:styleId="TOC2">
    <w:name w:val="toc 2"/>
    <w:basedOn w:val="Normal"/>
    <w:next w:val="Normal"/>
    <w:autoRedefine/>
    <w:uiPriority w:val="39"/>
    <w:unhideWhenUsed/>
    <w:rsid w:val="005C1A98"/>
    <w:pPr>
      <w:spacing w:after="100"/>
      <w:ind w:left="200"/>
    </w:pPr>
  </w:style>
  <w:style w:type="paragraph" w:styleId="TOC3">
    <w:name w:val="toc 3"/>
    <w:basedOn w:val="Normal"/>
    <w:next w:val="Normal"/>
    <w:autoRedefine/>
    <w:uiPriority w:val="39"/>
    <w:unhideWhenUsed/>
    <w:rsid w:val="005C1A98"/>
    <w:pPr>
      <w:widowControl/>
      <w:spacing w:after="100" w:line="259" w:lineRule="auto"/>
      <w:ind w:left="440"/>
    </w:pPr>
    <w:rPr>
      <w:rFonts w:asciiTheme="minorHAnsi" w:eastAsiaTheme="minorEastAsia" w:hAnsiTheme="minorHAnsi"/>
      <w:sz w:val="22"/>
      <w:szCs w:val="22"/>
    </w:rPr>
  </w:style>
  <w:style w:type="paragraph" w:styleId="Caption">
    <w:name w:val="caption"/>
    <w:aliases w:val="RIA: Caption,RIA: Caption + 12 pt,RIA: Caption1,RIA: Caption + 12 pt1,RIA: Caption2,RIA: Caption3,RIA: Caption + 12 pt2,RIA: Caption4,RIA: Caption + 12 pt3,RIA: Caption5,RIA: Caption11,RIA: Caption + 12 pt4,RIA: Caption21,RIA: Caption + 12 pt11"/>
    <w:basedOn w:val="Normal"/>
    <w:next w:val="BodyText"/>
    <w:link w:val="CaptionChar"/>
    <w:uiPriority w:val="35"/>
    <w:qFormat/>
    <w:rsid w:val="005F1EE2"/>
    <w:pPr>
      <w:keepNext/>
      <w:widowControl/>
      <w:spacing w:after="200"/>
      <w:jc w:val="center"/>
    </w:pPr>
    <w:rPr>
      <w:rFonts w:eastAsiaTheme="minorHAnsi" w:cstheme="minorBidi"/>
      <w:b/>
      <w:iCs/>
      <w:szCs w:val="18"/>
    </w:rPr>
  </w:style>
  <w:style w:type="character" w:customStyle="1" w:styleId="Bold">
    <w:name w:val="Bold"/>
    <w:uiPriority w:val="1"/>
    <w:qFormat/>
    <w:rsid w:val="005F1EE2"/>
    <w:rPr>
      <w:b/>
    </w:rPr>
  </w:style>
  <w:style w:type="table" w:customStyle="1" w:styleId="TSDTable">
    <w:name w:val="TSD Table"/>
    <w:uiPriority w:val="99"/>
    <w:rsid w:val="005F1EE2"/>
    <w:rPr>
      <w:rFonts w:eastAsiaTheme="minorHAnsi" w:cstheme="minorBidi"/>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jc w:val="center"/>
    </w:trPr>
    <w:tcPr>
      <w:vAlign w:val="center"/>
    </w:tcPr>
    <w:tblStylePr w:type="firstRow">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uiPriority w:val="2"/>
    <w:qFormat/>
    <w:rsid w:val="005F1EE2"/>
    <w:pPr>
      <w:keepNext/>
      <w:suppressAutoHyphens/>
      <w:contextualSpacing/>
    </w:pPr>
    <w:rPr>
      <w:szCs w:val="24"/>
      <w:lang w:eastAsia="ar-SA"/>
    </w:rPr>
  </w:style>
  <w:style w:type="character" w:customStyle="1" w:styleId="CaptionChar">
    <w:name w:val="Caption Char"/>
    <w:aliases w:val="RIA: Caption Char,RIA: Caption + 12 pt Char,RIA: Caption1 Char,RIA: Caption + 12 pt1 Char,RIA: Caption2 Char,RIA: Caption3 Char,RIA: Caption + 12 pt2 Char,RIA: Caption4 Char,RIA: Caption + 12 pt3 Char,RIA: Caption5 Char,RIA: Caption11 Char"/>
    <w:basedOn w:val="DefaultParagraphFont"/>
    <w:link w:val="Caption"/>
    <w:uiPriority w:val="35"/>
    <w:locked/>
    <w:rsid w:val="005F1EE2"/>
    <w:rPr>
      <w:rFonts w:eastAsiaTheme="minorHAnsi" w:cstheme="minorBidi"/>
      <w:b/>
      <w:iCs/>
      <w:szCs w:val="18"/>
    </w:rPr>
  </w:style>
  <w:style w:type="paragraph" w:styleId="BodyText">
    <w:name w:val="Body Text"/>
    <w:basedOn w:val="Normal"/>
    <w:link w:val="BodyTextChar"/>
    <w:unhideWhenUsed/>
    <w:rsid w:val="005F1EE2"/>
    <w:pPr>
      <w:spacing w:after="120"/>
    </w:pPr>
  </w:style>
  <w:style w:type="character" w:customStyle="1" w:styleId="BodyTextChar">
    <w:name w:val="Body Text Char"/>
    <w:basedOn w:val="DefaultParagraphFont"/>
    <w:link w:val="BodyText"/>
    <w:rsid w:val="005F1EE2"/>
  </w:style>
  <w:style w:type="character" w:customStyle="1" w:styleId="A0">
    <w:name w:val="A0"/>
    <w:uiPriority w:val="99"/>
    <w:rsid w:val="00DF479E"/>
    <w:rPr>
      <w:rFonts w:cs="Goudy Oldstyle Std"/>
      <w:b/>
      <w:bCs/>
      <w:color w:val="211D1E"/>
      <w:sz w:val="48"/>
      <w:szCs w:val="48"/>
    </w:rPr>
  </w:style>
  <w:style w:type="character" w:customStyle="1" w:styleId="Superscript">
    <w:name w:val="Superscript"/>
    <w:basedOn w:val="DefaultParagraphFont"/>
    <w:uiPriority w:val="1"/>
    <w:qFormat/>
    <w:rsid w:val="007C3C16"/>
    <w:rPr>
      <w:vertAlign w:val="superscript"/>
    </w:rPr>
  </w:style>
  <w:style w:type="character" w:customStyle="1" w:styleId="Subscript">
    <w:name w:val="Subscript"/>
    <w:basedOn w:val="DefaultParagraphFont"/>
    <w:uiPriority w:val="1"/>
    <w:qFormat/>
    <w:rsid w:val="00295073"/>
    <w:rPr>
      <w:vertAlign w:val="subscript"/>
    </w:rPr>
  </w:style>
  <w:style w:type="paragraph" w:customStyle="1" w:styleId="paragraph">
    <w:name w:val="paragraph"/>
    <w:basedOn w:val="Normal"/>
    <w:rsid w:val="005A4C15"/>
    <w:pPr>
      <w:widowControl/>
      <w:spacing w:before="100" w:beforeAutospacing="1" w:after="100" w:afterAutospacing="1"/>
    </w:pPr>
    <w:rPr>
      <w:sz w:val="24"/>
      <w:szCs w:val="24"/>
    </w:rPr>
  </w:style>
  <w:style w:type="character" w:customStyle="1" w:styleId="eop">
    <w:name w:val="eop"/>
    <w:basedOn w:val="DefaultParagraphFont"/>
    <w:rsid w:val="005A4C15"/>
  </w:style>
  <w:style w:type="character" w:customStyle="1" w:styleId="normaltextrun">
    <w:name w:val="normaltextrun"/>
    <w:basedOn w:val="DefaultParagraphFont"/>
    <w:rsid w:val="005A4C15"/>
  </w:style>
  <w:style w:type="character" w:customStyle="1" w:styleId="superscript0">
    <w:name w:val="superscript"/>
    <w:basedOn w:val="DefaultParagraphFont"/>
    <w:rsid w:val="005A4C15"/>
  </w:style>
  <w:style w:type="character" w:customStyle="1" w:styleId="scxw74500069">
    <w:name w:val="scxw74500069"/>
    <w:basedOn w:val="DefaultParagraphFont"/>
    <w:rsid w:val="005A4C15"/>
  </w:style>
  <w:style w:type="paragraph" w:customStyle="1" w:styleId="BulletList">
    <w:name w:val="Bullet List"/>
    <w:basedOn w:val="BodyText"/>
    <w:next w:val="BodyText"/>
    <w:uiPriority w:val="1"/>
    <w:qFormat/>
    <w:rsid w:val="003D3897"/>
    <w:pPr>
      <w:widowControl/>
      <w:numPr>
        <w:numId w:val="13"/>
      </w:numPr>
      <w:spacing w:after="160" w:line="259" w:lineRule="auto"/>
      <w:contextualSpacing/>
    </w:pPr>
    <w:rPr>
      <w:rFonts w:eastAsiaTheme="minorHAnsi" w:cstheme="minorBidi"/>
      <w:sz w:val="24"/>
      <w:szCs w:val="22"/>
    </w:rPr>
  </w:style>
  <w:style w:type="paragraph" w:customStyle="1" w:styleId="NumberList">
    <w:name w:val="Number List"/>
    <w:basedOn w:val="BodyText"/>
    <w:next w:val="BodyText"/>
    <w:uiPriority w:val="1"/>
    <w:qFormat/>
    <w:rsid w:val="000F4FCB"/>
    <w:pPr>
      <w:widowControl/>
      <w:numPr>
        <w:numId w:val="20"/>
      </w:numPr>
      <w:spacing w:after="160" w:line="259" w:lineRule="auto"/>
      <w:contextualSpacing/>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541">
      <w:bodyDiv w:val="1"/>
      <w:marLeft w:val="0"/>
      <w:marRight w:val="0"/>
      <w:marTop w:val="0"/>
      <w:marBottom w:val="0"/>
      <w:divBdr>
        <w:top w:val="none" w:sz="0" w:space="0" w:color="auto"/>
        <w:left w:val="none" w:sz="0" w:space="0" w:color="auto"/>
        <w:bottom w:val="none" w:sz="0" w:space="0" w:color="auto"/>
        <w:right w:val="none" w:sz="0" w:space="0" w:color="auto"/>
      </w:divBdr>
    </w:div>
    <w:div w:id="28724855">
      <w:bodyDiv w:val="1"/>
      <w:marLeft w:val="0"/>
      <w:marRight w:val="0"/>
      <w:marTop w:val="0"/>
      <w:marBottom w:val="0"/>
      <w:divBdr>
        <w:top w:val="none" w:sz="0" w:space="0" w:color="auto"/>
        <w:left w:val="none" w:sz="0" w:space="0" w:color="auto"/>
        <w:bottom w:val="none" w:sz="0" w:space="0" w:color="auto"/>
        <w:right w:val="none" w:sz="0" w:space="0" w:color="auto"/>
      </w:divBdr>
    </w:div>
    <w:div w:id="48572479">
      <w:bodyDiv w:val="1"/>
      <w:marLeft w:val="0"/>
      <w:marRight w:val="0"/>
      <w:marTop w:val="0"/>
      <w:marBottom w:val="0"/>
      <w:divBdr>
        <w:top w:val="none" w:sz="0" w:space="0" w:color="auto"/>
        <w:left w:val="none" w:sz="0" w:space="0" w:color="auto"/>
        <w:bottom w:val="none" w:sz="0" w:space="0" w:color="auto"/>
        <w:right w:val="none" w:sz="0" w:space="0" w:color="auto"/>
      </w:divBdr>
    </w:div>
    <w:div w:id="49698451">
      <w:bodyDiv w:val="1"/>
      <w:marLeft w:val="0"/>
      <w:marRight w:val="0"/>
      <w:marTop w:val="0"/>
      <w:marBottom w:val="0"/>
      <w:divBdr>
        <w:top w:val="none" w:sz="0" w:space="0" w:color="auto"/>
        <w:left w:val="none" w:sz="0" w:space="0" w:color="auto"/>
        <w:bottom w:val="none" w:sz="0" w:space="0" w:color="auto"/>
        <w:right w:val="none" w:sz="0" w:space="0" w:color="auto"/>
      </w:divBdr>
    </w:div>
    <w:div w:id="54790548">
      <w:bodyDiv w:val="1"/>
      <w:marLeft w:val="0"/>
      <w:marRight w:val="0"/>
      <w:marTop w:val="0"/>
      <w:marBottom w:val="0"/>
      <w:divBdr>
        <w:top w:val="none" w:sz="0" w:space="0" w:color="auto"/>
        <w:left w:val="none" w:sz="0" w:space="0" w:color="auto"/>
        <w:bottom w:val="none" w:sz="0" w:space="0" w:color="auto"/>
        <w:right w:val="none" w:sz="0" w:space="0" w:color="auto"/>
      </w:divBdr>
    </w:div>
    <w:div w:id="113057686">
      <w:bodyDiv w:val="1"/>
      <w:marLeft w:val="0"/>
      <w:marRight w:val="0"/>
      <w:marTop w:val="0"/>
      <w:marBottom w:val="0"/>
      <w:divBdr>
        <w:top w:val="none" w:sz="0" w:space="0" w:color="auto"/>
        <w:left w:val="none" w:sz="0" w:space="0" w:color="auto"/>
        <w:bottom w:val="none" w:sz="0" w:space="0" w:color="auto"/>
        <w:right w:val="none" w:sz="0" w:space="0" w:color="auto"/>
      </w:divBdr>
    </w:div>
    <w:div w:id="128862872">
      <w:bodyDiv w:val="1"/>
      <w:marLeft w:val="0"/>
      <w:marRight w:val="0"/>
      <w:marTop w:val="0"/>
      <w:marBottom w:val="0"/>
      <w:divBdr>
        <w:top w:val="none" w:sz="0" w:space="0" w:color="auto"/>
        <w:left w:val="none" w:sz="0" w:space="0" w:color="auto"/>
        <w:bottom w:val="none" w:sz="0" w:space="0" w:color="auto"/>
        <w:right w:val="none" w:sz="0" w:space="0" w:color="auto"/>
      </w:divBdr>
    </w:div>
    <w:div w:id="144014848">
      <w:bodyDiv w:val="1"/>
      <w:marLeft w:val="0"/>
      <w:marRight w:val="0"/>
      <w:marTop w:val="0"/>
      <w:marBottom w:val="0"/>
      <w:divBdr>
        <w:top w:val="none" w:sz="0" w:space="0" w:color="auto"/>
        <w:left w:val="none" w:sz="0" w:space="0" w:color="auto"/>
        <w:bottom w:val="none" w:sz="0" w:space="0" w:color="auto"/>
        <w:right w:val="none" w:sz="0" w:space="0" w:color="auto"/>
      </w:divBdr>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229927494">
      <w:bodyDiv w:val="1"/>
      <w:marLeft w:val="0"/>
      <w:marRight w:val="0"/>
      <w:marTop w:val="0"/>
      <w:marBottom w:val="0"/>
      <w:divBdr>
        <w:top w:val="none" w:sz="0" w:space="0" w:color="auto"/>
        <w:left w:val="none" w:sz="0" w:space="0" w:color="auto"/>
        <w:bottom w:val="none" w:sz="0" w:space="0" w:color="auto"/>
        <w:right w:val="none" w:sz="0" w:space="0" w:color="auto"/>
      </w:divBdr>
    </w:div>
    <w:div w:id="242028931">
      <w:bodyDiv w:val="1"/>
      <w:marLeft w:val="0"/>
      <w:marRight w:val="0"/>
      <w:marTop w:val="0"/>
      <w:marBottom w:val="0"/>
      <w:divBdr>
        <w:top w:val="none" w:sz="0" w:space="0" w:color="auto"/>
        <w:left w:val="none" w:sz="0" w:space="0" w:color="auto"/>
        <w:bottom w:val="none" w:sz="0" w:space="0" w:color="auto"/>
        <w:right w:val="none" w:sz="0" w:space="0" w:color="auto"/>
      </w:divBdr>
    </w:div>
    <w:div w:id="249314305">
      <w:bodyDiv w:val="1"/>
      <w:marLeft w:val="0"/>
      <w:marRight w:val="0"/>
      <w:marTop w:val="0"/>
      <w:marBottom w:val="0"/>
      <w:divBdr>
        <w:top w:val="none" w:sz="0" w:space="0" w:color="auto"/>
        <w:left w:val="none" w:sz="0" w:space="0" w:color="auto"/>
        <w:bottom w:val="none" w:sz="0" w:space="0" w:color="auto"/>
        <w:right w:val="none" w:sz="0" w:space="0" w:color="auto"/>
      </w:divBdr>
    </w:div>
    <w:div w:id="281350640">
      <w:bodyDiv w:val="1"/>
      <w:marLeft w:val="0"/>
      <w:marRight w:val="0"/>
      <w:marTop w:val="0"/>
      <w:marBottom w:val="0"/>
      <w:divBdr>
        <w:top w:val="none" w:sz="0" w:space="0" w:color="auto"/>
        <w:left w:val="none" w:sz="0" w:space="0" w:color="auto"/>
        <w:bottom w:val="none" w:sz="0" w:space="0" w:color="auto"/>
        <w:right w:val="none" w:sz="0" w:space="0" w:color="auto"/>
      </w:divBdr>
    </w:div>
    <w:div w:id="306974390">
      <w:bodyDiv w:val="1"/>
      <w:marLeft w:val="0"/>
      <w:marRight w:val="0"/>
      <w:marTop w:val="0"/>
      <w:marBottom w:val="0"/>
      <w:divBdr>
        <w:top w:val="none" w:sz="0" w:space="0" w:color="auto"/>
        <w:left w:val="none" w:sz="0" w:space="0" w:color="auto"/>
        <w:bottom w:val="none" w:sz="0" w:space="0" w:color="auto"/>
        <w:right w:val="none" w:sz="0" w:space="0" w:color="auto"/>
      </w:divBdr>
    </w:div>
    <w:div w:id="312418889">
      <w:bodyDiv w:val="1"/>
      <w:marLeft w:val="0"/>
      <w:marRight w:val="0"/>
      <w:marTop w:val="0"/>
      <w:marBottom w:val="0"/>
      <w:divBdr>
        <w:top w:val="none" w:sz="0" w:space="0" w:color="auto"/>
        <w:left w:val="none" w:sz="0" w:space="0" w:color="auto"/>
        <w:bottom w:val="none" w:sz="0" w:space="0" w:color="auto"/>
        <w:right w:val="none" w:sz="0" w:space="0" w:color="auto"/>
      </w:divBdr>
    </w:div>
    <w:div w:id="320014052">
      <w:bodyDiv w:val="1"/>
      <w:marLeft w:val="0"/>
      <w:marRight w:val="0"/>
      <w:marTop w:val="0"/>
      <w:marBottom w:val="0"/>
      <w:divBdr>
        <w:top w:val="none" w:sz="0" w:space="0" w:color="auto"/>
        <w:left w:val="none" w:sz="0" w:space="0" w:color="auto"/>
        <w:bottom w:val="none" w:sz="0" w:space="0" w:color="auto"/>
        <w:right w:val="none" w:sz="0" w:space="0" w:color="auto"/>
      </w:divBdr>
    </w:div>
    <w:div w:id="355352711">
      <w:bodyDiv w:val="1"/>
      <w:marLeft w:val="0"/>
      <w:marRight w:val="0"/>
      <w:marTop w:val="0"/>
      <w:marBottom w:val="0"/>
      <w:divBdr>
        <w:top w:val="none" w:sz="0" w:space="0" w:color="auto"/>
        <w:left w:val="none" w:sz="0" w:space="0" w:color="auto"/>
        <w:bottom w:val="none" w:sz="0" w:space="0" w:color="auto"/>
        <w:right w:val="none" w:sz="0" w:space="0" w:color="auto"/>
      </w:divBdr>
    </w:div>
    <w:div w:id="381178805">
      <w:bodyDiv w:val="1"/>
      <w:marLeft w:val="0"/>
      <w:marRight w:val="0"/>
      <w:marTop w:val="0"/>
      <w:marBottom w:val="0"/>
      <w:divBdr>
        <w:top w:val="none" w:sz="0" w:space="0" w:color="auto"/>
        <w:left w:val="none" w:sz="0" w:space="0" w:color="auto"/>
        <w:bottom w:val="none" w:sz="0" w:space="0" w:color="auto"/>
        <w:right w:val="none" w:sz="0" w:space="0" w:color="auto"/>
      </w:divBdr>
    </w:div>
    <w:div w:id="404451209">
      <w:bodyDiv w:val="1"/>
      <w:marLeft w:val="0"/>
      <w:marRight w:val="0"/>
      <w:marTop w:val="0"/>
      <w:marBottom w:val="0"/>
      <w:divBdr>
        <w:top w:val="none" w:sz="0" w:space="0" w:color="auto"/>
        <w:left w:val="none" w:sz="0" w:space="0" w:color="auto"/>
        <w:bottom w:val="none" w:sz="0" w:space="0" w:color="auto"/>
        <w:right w:val="none" w:sz="0" w:space="0" w:color="auto"/>
      </w:divBdr>
    </w:div>
    <w:div w:id="408817742">
      <w:bodyDiv w:val="1"/>
      <w:marLeft w:val="0"/>
      <w:marRight w:val="0"/>
      <w:marTop w:val="0"/>
      <w:marBottom w:val="0"/>
      <w:divBdr>
        <w:top w:val="none" w:sz="0" w:space="0" w:color="auto"/>
        <w:left w:val="none" w:sz="0" w:space="0" w:color="auto"/>
        <w:bottom w:val="none" w:sz="0" w:space="0" w:color="auto"/>
        <w:right w:val="none" w:sz="0" w:space="0" w:color="auto"/>
      </w:divBdr>
    </w:div>
    <w:div w:id="424113340">
      <w:bodyDiv w:val="1"/>
      <w:marLeft w:val="0"/>
      <w:marRight w:val="0"/>
      <w:marTop w:val="0"/>
      <w:marBottom w:val="0"/>
      <w:divBdr>
        <w:top w:val="none" w:sz="0" w:space="0" w:color="auto"/>
        <w:left w:val="none" w:sz="0" w:space="0" w:color="auto"/>
        <w:bottom w:val="none" w:sz="0" w:space="0" w:color="auto"/>
        <w:right w:val="none" w:sz="0" w:space="0" w:color="auto"/>
      </w:divBdr>
    </w:div>
    <w:div w:id="449276843">
      <w:bodyDiv w:val="1"/>
      <w:marLeft w:val="0"/>
      <w:marRight w:val="0"/>
      <w:marTop w:val="0"/>
      <w:marBottom w:val="0"/>
      <w:divBdr>
        <w:top w:val="none" w:sz="0" w:space="0" w:color="auto"/>
        <w:left w:val="none" w:sz="0" w:space="0" w:color="auto"/>
        <w:bottom w:val="none" w:sz="0" w:space="0" w:color="auto"/>
        <w:right w:val="none" w:sz="0" w:space="0" w:color="auto"/>
      </w:divBdr>
    </w:div>
    <w:div w:id="453602529">
      <w:bodyDiv w:val="1"/>
      <w:marLeft w:val="0"/>
      <w:marRight w:val="0"/>
      <w:marTop w:val="0"/>
      <w:marBottom w:val="0"/>
      <w:divBdr>
        <w:top w:val="none" w:sz="0" w:space="0" w:color="auto"/>
        <w:left w:val="none" w:sz="0" w:space="0" w:color="auto"/>
        <w:bottom w:val="none" w:sz="0" w:space="0" w:color="auto"/>
        <w:right w:val="none" w:sz="0" w:space="0" w:color="auto"/>
      </w:divBdr>
    </w:div>
    <w:div w:id="468939701">
      <w:bodyDiv w:val="1"/>
      <w:marLeft w:val="0"/>
      <w:marRight w:val="0"/>
      <w:marTop w:val="0"/>
      <w:marBottom w:val="0"/>
      <w:divBdr>
        <w:top w:val="none" w:sz="0" w:space="0" w:color="auto"/>
        <w:left w:val="none" w:sz="0" w:space="0" w:color="auto"/>
        <w:bottom w:val="none" w:sz="0" w:space="0" w:color="auto"/>
        <w:right w:val="none" w:sz="0" w:space="0" w:color="auto"/>
      </w:divBdr>
    </w:div>
    <w:div w:id="489908018">
      <w:bodyDiv w:val="1"/>
      <w:marLeft w:val="0"/>
      <w:marRight w:val="0"/>
      <w:marTop w:val="0"/>
      <w:marBottom w:val="0"/>
      <w:divBdr>
        <w:top w:val="none" w:sz="0" w:space="0" w:color="auto"/>
        <w:left w:val="none" w:sz="0" w:space="0" w:color="auto"/>
        <w:bottom w:val="none" w:sz="0" w:space="0" w:color="auto"/>
        <w:right w:val="none" w:sz="0" w:space="0" w:color="auto"/>
      </w:divBdr>
    </w:div>
    <w:div w:id="538782133">
      <w:bodyDiv w:val="1"/>
      <w:marLeft w:val="0"/>
      <w:marRight w:val="0"/>
      <w:marTop w:val="0"/>
      <w:marBottom w:val="0"/>
      <w:divBdr>
        <w:top w:val="none" w:sz="0" w:space="0" w:color="auto"/>
        <w:left w:val="none" w:sz="0" w:space="0" w:color="auto"/>
        <w:bottom w:val="none" w:sz="0" w:space="0" w:color="auto"/>
        <w:right w:val="none" w:sz="0" w:space="0" w:color="auto"/>
      </w:divBdr>
    </w:div>
    <w:div w:id="546795120">
      <w:bodyDiv w:val="1"/>
      <w:marLeft w:val="0"/>
      <w:marRight w:val="0"/>
      <w:marTop w:val="0"/>
      <w:marBottom w:val="0"/>
      <w:divBdr>
        <w:top w:val="none" w:sz="0" w:space="0" w:color="auto"/>
        <w:left w:val="none" w:sz="0" w:space="0" w:color="auto"/>
        <w:bottom w:val="none" w:sz="0" w:space="0" w:color="auto"/>
        <w:right w:val="none" w:sz="0" w:space="0" w:color="auto"/>
      </w:divBdr>
    </w:div>
    <w:div w:id="581641757">
      <w:bodyDiv w:val="1"/>
      <w:marLeft w:val="0"/>
      <w:marRight w:val="0"/>
      <w:marTop w:val="0"/>
      <w:marBottom w:val="0"/>
      <w:divBdr>
        <w:top w:val="none" w:sz="0" w:space="0" w:color="auto"/>
        <w:left w:val="none" w:sz="0" w:space="0" w:color="auto"/>
        <w:bottom w:val="none" w:sz="0" w:space="0" w:color="auto"/>
        <w:right w:val="none" w:sz="0" w:space="0" w:color="auto"/>
      </w:divBdr>
    </w:div>
    <w:div w:id="586304064">
      <w:bodyDiv w:val="1"/>
      <w:marLeft w:val="0"/>
      <w:marRight w:val="0"/>
      <w:marTop w:val="0"/>
      <w:marBottom w:val="0"/>
      <w:divBdr>
        <w:top w:val="none" w:sz="0" w:space="0" w:color="auto"/>
        <w:left w:val="none" w:sz="0" w:space="0" w:color="auto"/>
        <w:bottom w:val="none" w:sz="0" w:space="0" w:color="auto"/>
        <w:right w:val="none" w:sz="0" w:space="0" w:color="auto"/>
      </w:divBdr>
    </w:div>
    <w:div w:id="614557072">
      <w:bodyDiv w:val="1"/>
      <w:marLeft w:val="0"/>
      <w:marRight w:val="0"/>
      <w:marTop w:val="0"/>
      <w:marBottom w:val="0"/>
      <w:divBdr>
        <w:top w:val="none" w:sz="0" w:space="0" w:color="auto"/>
        <w:left w:val="none" w:sz="0" w:space="0" w:color="auto"/>
        <w:bottom w:val="none" w:sz="0" w:space="0" w:color="auto"/>
        <w:right w:val="none" w:sz="0" w:space="0" w:color="auto"/>
      </w:divBdr>
    </w:div>
    <w:div w:id="620772669">
      <w:bodyDiv w:val="1"/>
      <w:marLeft w:val="0"/>
      <w:marRight w:val="0"/>
      <w:marTop w:val="0"/>
      <w:marBottom w:val="0"/>
      <w:divBdr>
        <w:top w:val="none" w:sz="0" w:space="0" w:color="auto"/>
        <w:left w:val="none" w:sz="0" w:space="0" w:color="auto"/>
        <w:bottom w:val="none" w:sz="0" w:space="0" w:color="auto"/>
        <w:right w:val="none" w:sz="0" w:space="0" w:color="auto"/>
      </w:divBdr>
    </w:div>
    <w:div w:id="622461620">
      <w:bodyDiv w:val="1"/>
      <w:marLeft w:val="0"/>
      <w:marRight w:val="0"/>
      <w:marTop w:val="0"/>
      <w:marBottom w:val="0"/>
      <w:divBdr>
        <w:top w:val="none" w:sz="0" w:space="0" w:color="auto"/>
        <w:left w:val="none" w:sz="0" w:space="0" w:color="auto"/>
        <w:bottom w:val="none" w:sz="0" w:space="0" w:color="auto"/>
        <w:right w:val="none" w:sz="0" w:space="0" w:color="auto"/>
      </w:divBdr>
    </w:div>
    <w:div w:id="628439544">
      <w:bodyDiv w:val="1"/>
      <w:marLeft w:val="0"/>
      <w:marRight w:val="0"/>
      <w:marTop w:val="0"/>
      <w:marBottom w:val="0"/>
      <w:divBdr>
        <w:top w:val="none" w:sz="0" w:space="0" w:color="auto"/>
        <w:left w:val="none" w:sz="0" w:space="0" w:color="auto"/>
        <w:bottom w:val="none" w:sz="0" w:space="0" w:color="auto"/>
        <w:right w:val="none" w:sz="0" w:space="0" w:color="auto"/>
      </w:divBdr>
    </w:div>
    <w:div w:id="689574626">
      <w:bodyDiv w:val="1"/>
      <w:marLeft w:val="0"/>
      <w:marRight w:val="0"/>
      <w:marTop w:val="0"/>
      <w:marBottom w:val="0"/>
      <w:divBdr>
        <w:top w:val="none" w:sz="0" w:space="0" w:color="auto"/>
        <w:left w:val="none" w:sz="0" w:space="0" w:color="auto"/>
        <w:bottom w:val="none" w:sz="0" w:space="0" w:color="auto"/>
        <w:right w:val="none" w:sz="0" w:space="0" w:color="auto"/>
      </w:divBdr>
    </w:div>
    <w:div w:id="698704488">
      <w:bodyDiv w:val="1"/>
      <w:marLeft w:val="0"/>
      <w:marRight w:val="0"/>
      <w:marTop w:val="0"/>
      <w:marBottom w:val="0"/>
      <w:divBdr>
        <w:top w:val="none" w:sz="0" w:space="0" w:color="auto"/>
        <w:left w:val="none" w:sz="0" w:space="0" w:color="auto"/>
        <w:bottom w:val="none" w:sz="0" w:space="0" w:color="auto"/>
        <w:right w:val="none" w:sz="0" w:space="0" w:color="auto"/>
      </w:divBdr>
    </w:div>
    <w:div w:id="731930137">
      <w:bodyDiv w:val="1"/>
      <w:marLeft w:val="0"/>
      <w:marRight w:val="0"/>
      <w:marTop w:val="0"/>
      <w:marBottom w:val="0"/>
      <w:divBdr>
        <w:top w:val="none" w:sz="0" w:space="0" w:color="auto"/>
        <w:left w:val="none" w:sz="0" w:space="0" w:color="auto"/>
        <w:bottom w:val="none" w:sz="0" w:space="0" w:color="auto"/>
        <w:right w:val="none" w:sz="0" w:space="0" w:color="auto"/>
      </w:divBdr>
    </w:div>
    <w:div w:id="732242304">
      <w:bodyDiv w:val="1"/>
      <w:marLeft w:val="0"/>
      <w:marRight w:val="0"/>
      <w:marTop w:val="0"/>
      <w:marBottom w:val="0"/>
      <w:divBdr>
        <w:top w:val="none" w:sz="0" w:space="0" w:color="auto"/>
        <w:left w:val="none" w:sz="0" w:space="0" w:color="auto"/>
        <w:bottom w:val="none" w:sz="0" w:space="0" w:color="auto"/>
        <w:right w:val="none" w:sz="0" w:space="0" w:color="auto"/>
      </w:divBdr>
    </w:div>
    <w:div w:id="737628295">
      <w:bodyDiv w:val="1"/>
      <w:marLeft w:val="0"/>
      <w:marRight w:val="0"/>
      <w:marTop w:val="0"/>
      <w:marBottom w:val="0"/>
      <w:divBdr>
        <w:top w:val="none" w:sz="0" w:space="0" w:color="auto"/>
        <w:left w:val="none" w:sz="0" w:space="0" w:color="auto"/>
        <w:bottom w:val="none" w:sz="0" w:space="0" w:color="auto"/>
        <w:right w:val="none" w:sz="0" w:space="0" w:color="auto"/>
      </w:divBdr>
    </w:div>
    <w:div w:id="768743074">
      <w:bodyDiv w:val="1"/>
      <w:marLeft w:val="0"/>
      <w:marRight w:val="0"/>
      <w:marTop w:val="0"/>
      <w:marBottom w:val="0"/>
      <w:divBdr>
        <w:top w:val="none" w:sz="0" w:space="0" w:color="auto"/>
        <w:left w:val="none" w:sz="0" w:space="0" w:color="auto"/>
        <w:bottom w:val="none" w:sz="0" w:space="0" w:color="auto"/>
        <w:right w:val="none" w:sz="0" w:space="0" w:color="auto"/>
      </w:divBdr>
    </w:div>
    <w:div w:id="771314819">
      <w:bodyDiv w:val="1"/>
      <w:marLeft w:val="0"/>
      <w:marRight w:val="0"/>
      <w:marTop w:val="0"/>
      <w:marBottom w:val="0"/>
      <w:divBdr>
        <w:top w:val="none" w:sz="0" w:space="0" w:color="auto"/>
        <w:left w:val="none" w:sz="0" w:space="0" w:color="auto"/>
        <w:bottom w:val="none" w:sz="0" w:space="0" w:color="auto"/>
        <w:right w:val="none" w:sz="0" w:space="0" w:color="auto"/>
      </w:divBdr>
      <w:divsChild>
        <w:div w:id="1767840954">
          <w:marLeft w:val="0"/>
          <w:marRight w:val="0"/>
          <w:marTop w:val="0"/>
          <w:marBottom w:val="0"/>
          <w:divBdr>
            <w:top w:val="none" w:sz="0" w:space="0" w:color="auto"/>
            <w:left w:val="none" w:sz="0" w:space="0" w:color="auto"/>
            <w:bottom w:val="none" w:sz="0" w:space="0" w:color="auto"/>
            <w:right w:val="none" w:sz="0" w:space="0" w:color="auto"/>
          </w:divBdr>
        </w:div>
        <w:div w:id="163253996">
          <w:marLeft w:val="0"/>
          <w:marRight w:val="0"/>
          <w:marTop w:val="0"/>
          <w:marBottom w:val="0"/>
          <w:divBdr>
            <w:top w:val="none" w:sz="0" w:space="0" w:color="auto"/>
            <w:left w:val="none" w:sz="0" w:space="0" w:color="auto"/>
            <w:bottom w:val="none" w:sz="0" w:space="0" w:color="auto"/>
            <w:right w:val="none" w:sz="0" w:space="0" w:color="auto"/>
          </w:divBdr>
        </w:div>
        <w:div w:id="156305998">
          <w:marLeft w:val="0"/>
          <w:marRight w:val="0"/>
          <w:marTop w:val="0"/>
          <w:marBottom w:val="0"/>
          <w:divBdr>
            <w:top w:val="none" w:sz="0" w:space="0" w:color="auto"/>
            <w:left w:val="none" w:sz="0" w:space="0" w:color="auto"/>
            <w:bottom w:val="none" w:sz="0" w:space="0" w:color="auto"/>
            <w:right w:val="none" w:sz="0" w:space="0" w:color="auto"/>
          </w:divBdr>
        </w:div>
        <w:div w:id="1882857570">
          <w:marLeft w:val="0"/>
          <w:marRight w:val="0"/>
          <w:marTop w:val="0"/>
          <w:marBottom w:val="0"/>
          <w:divBdr>
            <w:top w:val="none" w:sz="0" w:space="0" w:color="auto"/>
            <w:left w:val="none" w:sz="0" w:space="0" w:color="auto"/>
            <w:bottom w:val="none" w:sz="0" w:space="0" w:color="auto"/>
            <w:right w:val="none" w:sz="0" w:space="0" w:color="auto"/>
          </w:divBdr>
        </w:div>
        <w:div w:id="1343891755">
          <w:marLeft w:val="0"/>
          <w:marRight w:val="0"/>
          <w:marTop w:val="0"/>
          <w:marBottom w:val="0"/>
          <w:divBdr>
            <w:top w:val="none" w:sz="0" w:space="0" w:color="auto"/>
            <w:left w:val="none" w:sz="0" w:space="0" w:color="auto"/>
            <w:bottom w:val="none" w:sz="0" w:space="0" w:color="auto"/>
            <w:right w:val="none" w:sz="0" w:space="0" w:color="auto"/>
          </w:divBdr>
        </w:div>
        <w:div w:id="1806072786">
          <w:marLeft w:val="0"/>
          <w:marRight w:val="0"/>
          <w:marTop w:val="0"/>
          <w:marBottom w:val="0"/>
          <w:divBdr>
            <w:top w:val="none" w:sz="0" w:space="0" w:color="auto"/>
            <w:left w:val="none" w:sz="0" w:space="0" w:color="auto"/>
            <w:bottom w:val="none" w:sz="0" w:space="0" w:color="auto"/>
            <w:right w:val="none" w:sz="0" w:space="0" w:color="auto"/>
          </w:divBdr>
        </w:div>
        <w:div w:id="1172182582">
          <w:marLeft w:val="0"/>
          <w:marRight w:val="0"/>
          <w:marTop w:val="0"/>
          <w:marBottom w:val="0"/>
          <w:divBdr>
            <w:top w:val="none" w:sz="0" w:space="0" w:color="auto"/>
            <w:left w:val="none" w:sz="0" w:space="0" w:color="auto"/>
            <w:bottom w:val="none" w:sz="0" w:space="0" w:color="auto"/>
            <w:right w:val="none" w:sz="0" w:space="0" w:color="auto"/>
          </w:divBdr>
        </w:div>
        <w:div w:id="399327655">
          <w:marLeft w:val="0"/>
          <w:marRight w:val="0"/>
          <w:marTop w:val="0"/>
          <w:marBottom w:val="0"/>
          <w:divBdr>
            <w:top w:val="none" w:sz="0" w:space="0" w:color="auto"/>
            <w:left w:val="none" w:sz="0" w:space="0" w:color="auto"/>
            <w:bottom w:val="none" w:sz="0" w:space="0" w:color="auto"/>
            <w:right w:val="none" w:sz="0" w:space="0" w:color="auto"/>
          </w:divBdr>
        </w:div>
      </w:divsChild>
    </w:div>
    <w:div w:id="835340370">
      <w:bodyDiv w:val="1"/>
      <w:marLeft w:val="0"/>
      <w:marRight w:val="0"/>
      <w:marTop w:val="0"/>
      <w:marBottom w:val="0"/>
      <w:divBdr>
        <w:top w:val="none" w:sz="0" w:space="0" w:color="auto"/>
        <w:left w:val="none" w:sz="0" w:space="0" w:color="auto"/>
        <w:bottom w:val="none" w:sz="0" w:space="0" w:color="auto"/>
        <w:right w:val="none" w:sz="0" w:space="0" w:color="auto"/>
      </w:divBdr>
    </w:div>
    <w:div w:id="858159469">
      <w:bodyDiv w:val="1"/>
      <w:marLeft w:val="0"/>
      <w:marRight w:val="0"/>
      <w:marTop w:val="0"/>
      <w:marBottom w:val="0"/>
      <w:divBdr>
        <w:top w:val="none" w:sz="0" w:space="0" w:color="auto"/>
        <w:left w:val="none" w:sz="0" w:space="0" w:color="auto"/>
        <w:bottom w:val="none" w:sz="0" w:space="0" w:color="auto"/>
        <w:right w:val="none" w:sz="0" w:space="0" w:color="auto"/>
      </w:divBdr>
    </w:div>
    <w:div w:id="873418504">
      <w:bodyDiv w:val="1"/>
      <w:marLeft w:val="0"/>
      <w:marRight w:val="0"/>
      <w:marTop w:val="0"/>
      <w:marBottom w:val="0"/>
      <w:divBdr>
        <w:top w:val="none" w:sz="0" w:space="0" w:color="auto"/>
        <w:left w:val="none" w:sz="0" w:space="0" w:color="auto"/>
        <w:bottom w:val="none" w:sz="0" w:space="0" w:color="auto"/>
        <w:right w:val="none" w:sz="0" w:space="0" w:color="auto"/>
      </w:divBdr>
    </w:div>
    <w:div w:id="912661927">
      <w:bodyDiv w:val="1"/>
      <w:marLeft w:val="0"/>
      <w:marRight w:val="0"/>
      <w:marTop w:val="0"/>
      <w:marBottom w:val="0"/>
      <w:divBdr>
        <w:top w:val="none" w:sz="0" w:space="0" w:color="auto"/>
        <w:left w:val="none" w:sz="0" w:space="0" w:color="auto"/>
        <w:bottom w:val="none" w:sz="0" w:space="0" w:color="auto"/>
        <w:right w:val="none" w:sz="0" w:space="0" w:color="auto"/>
      </w:divBdr>
    </w:div>
    <w:div w:id="934484645">
      <w:bodyDiv w:val="1"/>
      <w:marLeft w:val="0"/>
      <w:marRight w:val="0"/>
      <w:marTop w:val="0"/>
      <w:marBottom w:val="0"/>
      <w:divBdr>
        <w:top w:val="none" w:sz="0" w:space="0" w:color="auto"/>
        <w:left w:val="none" w:sz="0" w:space="0" w:color="auto"/>
        <w:bottom w:val="none" w:sz="0" w:space="0" w:color="auto"/>
        <w:right w:val="none" w:sz="0" w:space="0" w:color="auto"/>
      </w:divBdr>
    </w:div>
    <w:div w:id="960767305">
      <w:bodyDiv w:val="1"/>
      <w:marLeft w:val="0"/>
      <w:marRight w:val="0"/>
      <w:marTop w:val="0"/>
      <w:marBottom w:val="0"/>
      <w:divBdr>
        <w:top w:val="none" w:sz="0" w:space="0" w:color="auto"/>
        <w:left w:val="none" w:sz="0" w:space="0" w:color="auto"/>
        <w:bottom w:val="none" w:sz="0" w:space="0" w:color="auto"/>
        <w:right w:val="none" w:sz="0" w:space="0" w:color="auto"/>
      </w:divBdr>
    </w:div>
    <w:div w:id="962268650">
      <w:bodyDiv w:val="1"/>
      <w:marLeft w:val="0"/>
      <w:marRight w:val="0"/>
      <w:marTop w:val="0"/>
      <w:marBottom w:val="0"/>
      <w:divBdr>
        <w:top w:val="none" w:sz="0" w:space="0" w:color="auto"/>
        <w:left w:val="none" w:sz="0" w:space="0" w:color="auto"/>
        <w:bottom w:val="none" w:sz="0" w:space="0" w:color="auto"/>
        <w:right w:val="none" w:sz="0" w:space="0" w:color="auto"/>
      </w:divBdr>
    </w:div>
    <w:div w:id="962270192">
      <w:bodyDiv w:val="1"/>
      <w:marLeft w:val="0"/>
      <w:marRight w:val="0"/>
      <w:marTop w:val="0"/>
      <w:marBottom w:val="0"/>
      <w:divBdr>
        <w:top w:val="none" w:sz="0" w:space="0" w:color="auto"/>
        <w:left w:val="none" w:sz="0" w:space="0" w:color="auto"/>
        <w:bottom w:val="none" w:sz="0" w:space="0" w:color="auto"/>
        <w:right w:val="none" w:sz="0" w:space="0" w:color="auto"/>
      </w:divBdr>
    </w:div>
    <w:div w:id="967475049">
      <w:bodyDiv w:val="1"/>
      <w:marLeft w:val="0"/>
      <w:marRight w:val="0"/>
      <w:marTop w:val="0"/>
      <w:marBottom w:val="0"/>
      <w:divBdr>
        <w:top w:val="none" w:sz="0" w:space="0" w:color="auto"/>
        <w:left w:val="none" w:sz="0" w:space="0" w:color="auto"/>
        <w:bottom w:val="none" w:sz="0" w:space="0" w:color="auto"/>
        <w:right w:val="none" w:sz="0" w:space="0" w:color="auto"/>
      </w:divBdr>
    </w:div>
    <w:div w:id="972717320">
      <w:bodyDiv w:val="1"/>
      <w:marLeft w:val="0"/>
      <w:marRight w:val="0"/>
      <w:marTop w:val="0"/>
      <w:marBottom w:val="0"/>
      <w:divBdr>
        <w:top w:val="none" w:sz="0" w:space="0" w:color="auto"/>
        <w:left w:val="none" w:sz="0" w:space="0" w:color="auto"/>
        <w:bottom w:val="none" w:sz="0" w:space="0" w:color="auto"/>
        <w:right w:val="none" w:sz="0" w:space="0" w:color="auto"/>
      </w:divBdr>
    </w:div>
    <w:div w:id="1030298575">
      <w:bodyDiv w:val="1"/>
      <w:marLeft w:val="0"/>
      <w:marRight w:val="0"/>
      <w:marTop w:val="0"/>
      <w:marBottom w:val="0"/>
      <w:divBdr>
        <w:top w:val="none" w:sz="0" w:space="0" w:color="auto"/>
        <w:left w:val="none" w:sz="0" w:space="0" w:color="auto"/>
        <w:bottom w:val="none" w:sz="0" w:space="0" w:color="auto"/>
        <w:right w:val="none" w:sz="0" w:space="0" w:color="auto"/>
      </w:divBdr>
    </w:div>
    <w:div w:id="1058819853">
      <w:bodyDiv w:val="1"/>
      <w:marLeft w:val="0"/>
      <w:marRight w:val="0"/>
      <w:marTop w:val="0"/>
      <w:marBottom w:val="0"/>
      <w:divBdr>
        <w:top w:val="none" w:sz="0" w:space="0" w:color="auto"/>
        <w:left w:val="none" w:sz="0" w:space="0" w:color="auto"/>
        <w:bottom w:val="none" w:sz="0" w:space="0" w:color="auto"/>
        <w:right w:val="none" w:sz="0" w:space="0" w:color="auto"/>
      </w:divBdr>
    </w:div>
    <w:div w:id="1069883896">
      <w:bodyDiv w:val="1"/>
      <w:marLeft w:val="0"/>
      <w:marRight w:val="0"/>
      <w:marTop w:val="0"/>
      <w:marBottom w:val="0"/>
      <w:divBdr>
        <w:top w:val="none" w:sz="0" w:space="0" w:color="auto"/>
        <w:left w:val="none" w:sz="0" w:space="0" w:color="auto"/>
        <w:bottom w:val="none" w:sz="0" w:space="0" w:color="auto"/>
        <w:right w:val="none" w:sz="0" w:space="0" w:color="auto"/>
      </w:divBdr>
    </w:div>
    <w:div w:id="1070731610">
      <w:bodyDiv w:val="1"/>
      <w:marLeft w:val="0"/>
      <w:marRight w:val="0"/>
      <w:marTop w:val="0"/>
      <w:marBottom w:val="0"/>
      <w:divBdr>
        <w:top w:val="none" w:sz="0" w:space="0" w:color="auto"/>
        <w:left w:val="none" w:sz="0" w:space="0" w:color="auto"/>
        <w:bottom w:val="none" w:sz="0" w:space="0" w:color="auto"/>
        <w:right w:val="none" w:sz="0" w:space="0" w:color="auto"/>
      </w:divBdr>
    </w:div>
    <w:div w:id="1078405011">
      <w:bodyDiv w:val="1"/>
      <w:marLeft w:val="0"/>
      <w:marRight w:val="0"/>
      <w:marTop w:val="0"/>
      <w:marBottom w:val="0"/>
      <w:divBdr>
        <w:top w:val="none" w:sz="0" w:space="0" w:color="auto"/>
        <w:left w:val="none" w:sz="0" w:space="0" w:color="auto"/>
        <w:bottom w:val="none" w:sz="0" w:space="0" w:color="auto"/>
        <w:right w:val="none" w:sz="0" w:space="0" w:color="auto"/>
      </w:divBdr>
    </w:div>
    <w:div w:id="1088431299">
      <w:bodyDiv w:val="1"/>
      <w:marLeft w:val="0"/>
      <w:marRight w:val="0"/>
      <w:marTop w:val="0"/>
      <w:marBottom w:val="0"/>
      <w:divBdr>
        <w:top w:val="none" w:sz="0" w:space="0" w:color="auto"/>
        <w:left w:val="none" w:sz="0" w:space="0" w:color="auto"/>
        <w:bottom w:val="none" w:sz="0" w:space="0" w:color="auto"/>
        <w:right w:val="none" w:sz="0" w:space="0" w:color="auto"/>
      </w:divBdr>
    </w:div>
    <w:div w:id="1107702784">
      <w:bodyDiv w:val="1"/>
      <w:marLeft w:val="0"/>
      <w:marRight w:val="0"/>
      <w:marTop w:val="0"/>
      <w:marBottom w:val="0"/>
      <w:divBdr>
        <w:top w:val="none" w:sz="0" w:space="0" w:color="auto"/>
        <w:left w:val="none" w:sz="0" w:space="0" w:color="auto"/>
        <w:bottom w:val="none" w:sz="0" w:space="0" w:color="auto"/>
        <w:right w:val="none" w:sz="0" w:space="0" w:color="auto"/>
      </w:divBdr>
    </w:div>
    <w:div w:id="1110517488">
      <w:bodyDiv w:val="1"/>
      <w:marLeft w:val="0"/>
      <w:marRight w:val="0"/>
      <w:marTop w:val="0"/>
      <w:marBottom w:val="0"/>
      <w:divBdr>
        <w:top w:val="none" w:sz="0" w:space="0" w:color="auto"/>
        <w:left w:val="none" w:sz="0" w:space="0" w:color="auto"/>
        <w:bottom w:val="none" w:sz="0" w:space="0" w:color="auto"/>
        <w:right w:val="none" w:sz="0" w:space="0" w:color="auto"/>
      </w:divBdr>
    </w:div>
    <w:div w:id="1158575308">
      <w:bodyDiv w:val="1"/>
      <w:marLeft w:val="0"/>
      <w:marRight w:val="0"/>
      <w:marTop w:val="0"/>
      <w:marBottom w:val="0"/>
      <w:divBdr>
        <w:top w:val="none" w:sz="0" w:space="0" w:color="auto"/>
        <w:left w:val="none" w:sz="0" w:space="0" w:color="auto"/>
        <w:bottom w:val="none" w:sz="0" w:space="0" w:color="auto"/>
        <w:right w:val="none" w:sz="0" w:space="0" w:color="auto"/>
      </w:divBdr>
    </w:div>
    <w:div w:id="1161041417">
      <w:bodyDiv w:val="1"/>
      <w:marLeft w:val="0"/>
      <w:marRight w:val="0"/>
      <w:marTop w:val="0"/>
      <w:marBottom w:val="0"/>
      <w:divBdr>
        <w:top w:val="none" w:sz="0" w:space="0" w:color="auto"/>
        <w:left w:val="none" w:sz="0" w:space="0" w:color="auto"/>
        <w:bottom w:val="none" w:sz="0" w:space="0" w:color="auto"/>
        <w:right w:val="none" w:sz="0" w:space="0" w:color="auto"/>
      </w:divBdr>
    </w:div>
    <w:div w:id="1186094049">
      <w:bodyDiv w:val="1"/>
      <w:marLeft w:val="0"/>
      <w:marRight w:val="0"/>
      <w:marTop w:val="0"/>
      <w:marBottom w:val="0"/>
      <w:divBdr>
        <w:top w:val="none" w:sz="0" w:space="0" w:color="auto"/>
        <w:left w:val="none" w:sz="0" w:space="0" w:color="auto"/>
        <w:bottom w:val="none" w:sz="0" w:space="0" w:color="auto"/>
        <w:right w:val="none" w:sz="0" w:space="0" w:color="auto"/>
      </w:divBdr>
    </w:div>
    <w:div w:id="1232036908">
      <w:bodyDiv w:val="1"/>
      <w:marLeft w:val="0"/>
      <w:marRight w:val="0"/>
      <w:marTop w:val="0"/>
      <w:marBottom w:val="0"/>
      <w:divBdr>
        <w:top w:val="none" w:sz="0" w:space="0" w:color="auto"/>
        <w:left w:val="none" w:sz="0" w:space="0" w:color="auto"/>
        <w:bottom w:val="none" w:sz="0" w:space="0" w:color="auto"/>
        <w:right w:val="none" w:sz="0" w:space="0" w:color="auto"/>
      </w:divBdr>
    </w:div>
    <w:div w:id="1240095740">
      <w:bodyDiv w:val="1"/>
      <w:marLeft w:val="0"/>
      <w:marRight w:val="0"/>
      <w:marTop w:val="0"/>
      <w:marBottom w:val="0"/>
      <w:divBdr>
        <w:top w:val="none" w:sz="0" w:space="0" w:color="auto"/>
        <w:left w:val="none" w:sz="0" w:space="0" w:color="auto"/>
        <w:bottom w:val="none" w:sz="0" w:space="0" w:color="auto"/>
        <w:right w:val="none" w:sz="0" w:space="0" w:color="auto"/>
      </w:divBdr>
    </w:div>
    <w:div w:id="1285576931">
      <w:bodyDiv w:val="1"/>
      <w:marLeft w:val="0"/>
      <w:marRight w:val="0"/>
      <w:marTop w:val="0"/>
      <w:marBottom w:val="0"/>
      <w:divBdr>
        <w:top w:val="none" w:sz="0" w:space="0" w:color="auto"/>
        <w:left w:val="none" w:sz="0" w:space="0" w:color="auto"/>
        <w:bottom w:val="none" w:sz="0" w:space="0" w:color="auto"/>
        <w:right w:val="none" w:sz="0" w:space="0" w:color="auto"/>
      </w:divBdr>
    </w:div>
    <w:div w:id="1296133991">
      <w:bodyDiv w:val="1"/>
      <w:marLeft w:val="0"/>
      <w:marRight w:val="0"/>
      <w:marTop w:val="0"/>
      <w:marBottom w:val="0"/>
      <w:divBdr>
        <w:top w:val="none" w:sz="0" w:space="0" w:color="auto"/>
        <w:left w:val="none" w:sz="0" w:space="0" w:color="auto"/>
        <w:bottom w:val="none" w:sz="0" w:space="0" w:color="auto"/>
        <w:right w:val="none" w:sz="0" w:space="0" w:color="auto"/>
      </w:divBdr>
    </w:div>
    <w:div w:id="1352224575">
      <w:bodyDiv w:val="1"/>
      <w:marLeft w:val="0"/>
      <w:marRight w:val="0"/>
      <w:marTop w:val="0"/>
      <w:marBottom w:val="0"/>
      <w:divBdr>
        <w:top w:val="none" w:sz="0" w:space="0" w:color="auto"/>
        <w:left w:val="none" w:sz="0" w:space="0" w:color="auto"/>
        <w:bottom w:val="none" w:sz="0" w:space="0" w:color="auto"/>
        <w:right w:val="none" w:sz="0" w:space="0" w:color="auto"/>
      </w:divBdr>
    </w:div>
    <w:div w:id="1353995925">
      <w:bodyDiv w:val="1"/>
      <w:marLeft w:val="0"/>
      <w:marRight w:val="0"/>
      <w:marTop w:val="0"/>
      <w:marBottom w:val="0"/>
      <w:divBdr>
        <w:top w:val="none" w:sz="0" w:space="0" w:color="auto"/>
        <w:left w:val="none" w:sz="0" w:space="0" w:color="auto"/>
        <w:bottom w:val="none" w:sz="0" w:space="0" w:color="auto"/>
        <w:right w:val="none" w:sz="0" w:space="0" w:color="auto"/>
      </w:divBdr>
    </w:div>
    <w:div w:id="1356619728">
      <w:bodyDiv w:val="1"/>
      <w:marLeft w:val="0"/>
      <w:marRight w:val="0"/>
      <w:marTop w:val="0"/>
      <w:marBottom w:val="0"/>
      <w:divBdr>
        <w:top w:val="none" w:sz="0" w:space="0" w:color="auto"/>
        <w:left w:val="none" w:sz="0" w:space="0" w:color="auto"/>
        <w:bottom w:val="none" w:sz="0" w:space="0" w:color="auto"/>
        <w:right w:val="none" w:sz="0" w:space="0" w:color="auto"/>
      </w:divBdr>
      <w:divsChild>
        <w:div w:id="1089232158">
          <w:marLeft w:val="0"/>
          <w:marRight w:val="0"/>
          <w:marTop w:val="0"/>
          <w:marBottom w:val="0"/>
          <w:divBdr>
            <w:top w:val="none" w:sz="0" w:space="0" w:color="auto"/>
            <w:left w:val="none" w:sz="0" w:space="0" w:color="auto"/>
            <w:bottom w:val="none" w:sz="0" w:space="0" w:color="auto"/>
            <w:right w:val="none" w:sz="0" w:space="0" w:color="auto"/>
          </w:divBdr>
        </w:div>
        <w:div w:id="1679387312">
          <w:marLeft w:val="0"/>
          <w:marRight w:val="0"/>
          <w:marTop w:val="0"/>
          <w:marBottom w:val="0"/>
          <w:divBdr>
            <w:top w:val="none" w:sz="0" w:space="0" w:color="auto"/>
            <w:left w:val="none" w:sz="0" w:space="0" w:color="auto"/>
            <w:bottom w:val="none" w:sz="0" w:space="0" w:color="auto"/>
            <w:right w:val="none" w:sz="0" w:space="0" w:color="auto"/>
          </w:divBdr>
        </w:div>
        <w:div w:id="316806726">
          <w:marLeft w:val="0"/>
          <w:marRight w:val="0"/>
          <w:marTop w:val="0"/>
          <w:marBottom w:val="0"/>
          <w:divBdr>
            <w:top w:val="none" w:sz="0" w:space="0" w:color="auto"/>
            <w:left w:val="none" w:sz="0" w:space="0" w:color="auto"/>
            <w:bottom w:val="none" w:sz="0" w:space="0" w:color="auto"/>
            <w:right w:val="none" w:sz="0" w:space="0" w:color="auto"/>
          </w:divBdr>
        </w:div>
        <w:div w:id="6374728">
          <w:marLeft w:val="0"/>
          <w:marRight w:val="0"/>
          <w:marTop w:val="0"/>
          <w:marBottom w:val="0"/>
          <w:divBdr>
            <w:top w:val="none" w:sz="0" w:space="0" w:color="auto"/>
            <w:left w:val="none" w:sz="0" w:space="0" w:color="auto"/>
            <w:bottom w:val="none" w:sz="0" w:space="0" w:color="auto"/>
            <w:right w:val="none" w:sz="0" w:space="0" w:color="auto"/>
          </w:divBdr>
        </w:div>
        <w:div w:id="115610805">
          <w:marLeft w:val="0"/>
          <w:marRight w:val="0"/>
          <w:marTop w:val="0"/>
          <w:marBottom w:val="0"/>
          <w:divBdr>
            <w:top w:val="none" w:sz="0" w:space="0" w:color="auto"/>
            <w:left w:val="none" w:sz="0" w:space="0" w:color="auto"/>
            <w:bottom w:val="none" w:sz="0" w:space="0" w:color="auto"/>
            <w:right w:val="none" w:sz="0" w:space="0" w:color="auto"/>
          </w:divBdr>
        </w:div>
        <w:div w:id="2025160157">
          <w:marLeft w:val="0"/>
          <w:marRight w:val="0"/>
          <w:marTop w:val="0"/>
          <w:marBottom w:val="0"/>
          <w:divBdr>
            <w:top w:val="none" w:sz="0" w:space="0" w:color="auto"/>
            <w:left w:val="none" w:sz="0" w:space="0" w:color="auto"/>
            <w:bottom w:val="none" w:sz="0" w:space="0" w:color="auto"/>
            <w:right w:val="none" w:sz="0" w:space="0" w:color="auto"/>
          </w:divBdr>
        </w:div>
        <w:div w:id="627054683">
          <w:marLeft w:val="0"/>
          <w:marRight w:val="0"/>
          <w:marTop w:val="0"/>
          <w:marBottom w:val="0"/>
          <w:divBdr>
            <w:top w:val="none" w:sz="0" w:space="0" w:color="auto"/>
            <w:left w:val="none" w:sz="0" w:space="0" w:color="auto"/>
            <w:bottom w:val="none" w:sz="0" w:space="0" w:color="auto"/>
            <w:right w:val="none" w:sz="0" w:space="0" w:color="auto"/>
          </w:divBdr>
        </w:div>
        <w:div w:id="1772241184">
          <w:marLeft w:val="0"/>
          <w:marRight w:val="0"/>
          <w:marTop w:val="0"/>
          <w:marBottom w:val="0"/>
          <w:divBdr>
            <w:top w:val="none" w:sz="0" w:space="0" w:color="auto"/>
            <w:left w:val="none" w:sz="0" w:space="0" w:color="auto"/>
            <w:bottom w:val="none" w:sz="0" w:space="0" w:color="auto"/>
            <w:right w:val="none" w:sz="0" w:space="0" w:color="auto"/>
          </w:divBdr>
        </w:div>
        <w:div w:id="2014407756">
          <w:marLeft w:val="0"/>
          <w:marRight w:val="0"/>
          <w:marTop w:val="0"/>
          <w:marBottom w:val="0"/>
          <w:divBdr>
            <w:top w:val="none" w:sz="0" w:space="0" w:color="auto"/>
            <w:left w:val="none" w:sz="0" w:space="0" w:color="auto"/>
            <w:bottom w:val="none" w:sz="0" w:space="0" w:color="auto"/>
            <w:right w:val="none" w:sz="0" w:space="0" w:color="auto"/>
          </w:divBdr>
        </w:div>
        <w:div w:id="899291273">
          <w:marLeft w:val="0"/>
          <w:marRight w:val="0"/>
          <w:marTop w:val="0"/>
          <w:marBottom w:val="0"/>
          <w:divBdr>
            <w:top w:val="none" w:sz="0" w:space="0" w:color="auto"/>
            <w:left w:val="none" w:sz="0" w:space="0" w:color="auto"/>
            <w:bottom w:val="none" w:sz="0" w:space="0" w:color="auto"/>
            <w:right w:val="none" w:sz="0" w:space="0" w:color="auto"/>
          </w:divBdr>
        </w:div>
        <w:div w:id="1010915527">
          <w:marLeft w:val="0"/>
          <w:marRight w:val="0"/>
          <w:marTop w:val="0"/>
          <w:marBottom w:val="0"/>
          <w:divBdr>
            <w:top w:val="none" w:sz="0" w:space="0" w:color="auto"/>
            <w:left w:val="none" w:sz="0" w:space="0" w:color="auto"/>
            <w:bottom w:val="none" w:sz="0" w:space="0" w:color="auto"/>
            <w:right w:val="none" w:sz="0" w:space="0" w:color="auto"/>
          </w:divBdr>
        </w:div>
        <w:div w:id="2058357822">
          <w:marLeft w:val="0"/>
          <w:marRight w:val="0"/>
          <w:marTop w:val="0"/>
          <w:marBottom w:val="0"/>
          <w:divBdr>
            <w:top w:val="none" w:sz="0" w:space="0" w:color="auto"/>
            <w:left w:val="none" w:sz="0" w:space="0" w:color="auto"/>
            <w:bottom w:val="none" w:sz="0" w:space="0" w:color="auto"/>
            <w:right w:val="none" w:sz="0" w:space="0" w:color="auto"/>
          </w:divBdr>
        </w:div>
        <w:div w:id="1134636668">
          <w:marLeft w:val="0"/>
          <w:marRight w:val="0"/>
          <w:marTop w:val="0"/>
          <w:marBottom w:val="0"/>
          <w:divBdr>
            <w:top w:val="none" w:sz="0" w:space="0" w:color="auto"/>
            <w:left w:val="none" w:sz="0" w:space="0" w:color="auto"/>
            <w:bottom w:val="none" w:sz="0" w:space="0" w:color="auto"/>
            <w:right w:val="none" w:sz="0" w:space="0" w:color="auto"/>
          </w:divBdr>
        </w:div>
        <w:div w:id="1862166279">
          <w:marLeft w:val="0"/>
          <w:marRight w:val="0"/>
          <w:marTop w:val="0"/>
          <w:marBottom w:val="0"/>
          <w:divBdr>
            <w:top w:val="none" w:sz="0" w:space="0" w:color="auto"/>
            <w:left w:val="none" w:sz="0" w:space="0" w:color="auto"/>
            <w:bottom w:val="none" w:sz="0" w:space="0" w:color="auto"/>
            <w:right w:val="none" w:sz="0" w:space="0" w:color="auto"/>
          </w:divBdr>
        </w:div>
        <w:div w:id="238290564">
          <w:marLeft w:val="0"/>
          <w:marRight w:val="0"/>
          <w:marTop w:val="0"/>
          <w:marBottom w:val="0"/>
          <w:divBdr>
            <w:top w:val="none" w:sz="0" w:space="0" w:color="auto"/>
            <w:left w:val="none" w:sz="0" w:space="0" w:color="auto"/>
            <w:bottom w:val="none" w:sz="0" w:space="0" w:color="auto"/>
            <w:right w:val="none" w:sz="0" w:space="0" w:color="auto"/>
          </w:divBdr>
        </w:div>
        <w:div w:id="1889490301">
          <w:marLeft w:val="0"/>
          <w:marRight w:val="0"/>
          <w:marTop w:val="0"/>
          <w:marBottom w:val="0"/>
          <w:divBdr>
            <w:top w:val="none" w:sz="0" w:space="0" w:color="auto"/>
            <w:left w:val="none" w:sz="0" w:space="0" w:color="auto"/>
            <w:bottom w:val="none" w:sz="0" w:space="0" w:color="auto"/>
            <w:right w:val="none" w:sz="0" w:space="0" w:color="auto"/>
          </w:divBdr>
        </w:div>
        <w:div w:id="1190492903">
          <w:marLeft w:val="0"/>
          <w:marRight w:val="0"/>
          <w:marTop w:val="0"/>
          <w:marBottom w:val="0"/>
          <w:divBdr>
            <w:top w:val="none" w:sz="0" w:space="0" w:color="auto"/>
            <w:left w:val="none" w:sz="0" w:space="0" w:color="auto"/>
            <w:bottom w:val="none" w:sz="0" w:space="0" w:color="auto"/>
            <w:right w:val="none" w:sz="0" w:space="0" w:color="auto"/>
          </w:divBdr>
        </w:div>
        <w:div w:id="468327397">
          <w:marLeft w:val="0"/>
          <w:marRight w:val="0"/>
          <w:marTop w:val="0"/>
          <w:marBottom w:val="0"/>
          <w:divBdr>
            <w:top w:val="none" w:sz="0" w:space="0" w:color="auto"/>
            <w:left w:val="none" w:sz="0" w:space="0" w:color="auto"/>
            <w:bottom w:val="none" w:sz="0" w:space="0" w:color="auto"/>
            <w:right w:val="none" w:sz="0" w:space="0" w:color="auto"/>
          </w:divBdr>
        </w:div>
        <w:div w:id="1005590740">
          <w:marLeft w:val="0"/>
          <w:marRight w:val="0"/>
          <w:marTop w:val="0"/>
          <w:marBottom w:val="0"/>
          <w:divBdr>
            <w:top w:val="none" w:sz="0" w:space="0" w:color="auto"/>
            <w:left w:val="none" w:sz="0" w:space="0" w:color="auto"/>
            <w:bottom w:val="none" w:sz="0" w:space="0" w:color="auto"/>
            <w:right w:val="none" w:sz="0" w:space="0" w:color="auto"/>
          </w:divBdr>
        </w:div>
        <w:div w:id="558906424">
          <w:marLeft w:val="0"/>
          <w:marRight w:val="0"/>
          <w:marTop w:val="0"/>
          <w:marBottom w:val="0"/>
          <w:divBdr>
            <w:top w:val="none" w:sz="0" w:space="0" w:color="auto"/>
            <w:left w:val="none" w:sz="0" w:space="0" w:color="auto"/>
            <w:bottom w:val="none" w:sz="0" w:space="0" w:color="auto"/>
            <w:right w:val="none" w:sz="0" w:space="0" w:color="auto"/>
          </w:divBdr>
          <w:divsChild>
            <w:div w:id="1302923799">
              <w:marLeft w:val="-75"/>
              <w:marRight w:val="0"/>
              <w:marTop w:val="30"/>
              <w:marBottom w:val="30"/>
              <w:divBdr>
                <w:top w:val="none" w:sz="0" w:space="0" w:color="auto"/>
                <w:left w:val="none" w:sz="0" w:space="0" w:color="auto"/>
                <w:bottom w:val="none" w:sz="0" w:space="0" w:color="auto"/>
                <w:right w:val="none" w:sz="0" w:space="0" w:color="auto"/>
              </w:divBdr>
              <w:divsChild>
                <w:div w:id="1947957234">
                  <w:marLeft w:val="0"/>
                  <w:marRight w:val="0"/>
                  <w:marTop w:val="0"/>
                  <w:marBottom w:val="0"/>
                  <w:divBdr>
                    <w:top w:val="none" w:sz="0" w:space="0" w:color="auto"/>
                    <w:left w:val="none" w:sz="0" w:space="0" w:color="auto"/>
                    <w:bottom w:val="none" w:sz="0" w:space="0" w:color="auto"/>
                    <w:right w:val="none" w:sz="0" w:space="0" w:color="auto"/>
                  </w:divBdr>
                  <w:divsChild>
                    <w:div w:id="210308120">
                      <w:marLeft w:val="0"/>
                      <w:marRight w:val="0"/>
                      <w:marTop w:val="0"/>
                      <w:marBottom w:val="0"/>
                      <w:divBdr>
                        <w:top w:val="none" w:sz="0" w:space="0" w:color="auto"/>
                        <w:left w:val="none" w:sz="0" w:space="0" w:color="auto"/>
                        <w:bottom w:val="none" w:sz="0" w:space="0" w:color="auto"/>
                        <w:right w:val="none" w:sz="0" w:space="0" w:color="auto"/>
                      </w:divBdr>
                    </w:div>
                  </w:divsChild>
                </w:div>
                <w:div w:id="235820470">
                  <w:marLeft w:val="0"/>
                  <w:marRight w:val="0"/>
                  <w:marTop w:val="0"/>
                  <w:marBottom w:val="0"/>
                  <w:divBdr>
                    <w:top w:val="none" w:sz="0" w:space="0" w:color="auto"/>
                    <w:left w:val="none" w:sz="0" w:space="0" w:color="auto"/>
                    <w:bottom w:val="none" w:sz="0" w:space="0" w:color="auto"/>
                    <w:right w:val="none" w:sz="0" w:space="0" w:color="auto"/>
                  </w:divBdr>
                  <w:divsChild>
                    <w:div w:id="408767570">
                      <w:marLeft w:val="0"/>
                      <w:marRight w:val="0"/>
                      <w:marTop w:val="0"/>
                      <w:marBottom w:val="0"/>
                      <w:divBdr>
                        <w:top w:val="none" w:sz="0" w:space="0" w:color="auto"/>
                        <w:left w:val="none" w:sz="0" w:space="0" w:color="auto"/>
                        <w:bottom w:val="none" w:sz="0" w:space="0" w:color="auto"/>
                        <w:right w:val="none" w:sz="0" w:space="0" w:color="auto"/>
                      </w:divBdr>
                    </w:div>
                  </w:divsChild>
                </w:div>
                <w:div w:id="2140343875">
                  <w:marLeft w:val="0"/>
                  <w:marRight w:val="0"/>
                  <w:marTop w:val="0"/>
                  <w:marBottom w:val="0"/>
                  <w:divBdr>
                    <w:top w:val="none" w:sz="0" w:space="0" w:color="auto"/>
                    <w:left w:val="none" w:sz="0" w:space="0" w:color="auto"/>
                    <w:bottom w:val="none" w:sz="0" w:space="0" w:color="auto"/>
                    <w:right w:val="none" w:sz="0" w:space="0" w:color="auto"/>
                  </w:divBdr>
                  <w:divsChild>
                    <w:div w:id="900943297">
                      <w:marLeft w:val="0"/>
                      <w:marRight w:val="0"/>
                      <w:marTop w:val="0"/>
                      <w:marBottom w:val="0"/>
                      <w:divBdr>
                        <w:top w:val="none" w:sz="0" w:space="0" w:color="auto"/>
                        <w:left w:val="none" w:sz="0" w:space="0" w:color="auto"/>
                        <w:bottom w:val="none" w:sz="0" w:space="0" w:color="auto"/>
                        <w:right w:val="none" w:sz="0" w:space="0" w:color="auto"/>
                      </w:divBdr>
                    </w:div>
                  </w:divsChild>
                </w:div>
                <w:div w:id="817694959">
                  <w:marLeft w:val="0"/>
                  <w:marRight w:val="0"/>
                  <w:marTop w:val="0"/>
                  <w:marBottom w:val="0"/>
                  <w:divBdr>
                    <w:top w:val="none" w:sz="0" w:space="0" w:color="auto"/>
                    <w:left w:val="none" w:sz="0" w:space="0" w:color="auto"/>
                    <w:bottom w:val="none" w:sz="0" w:space="0" w:color="auto"/>
                    <w:right w:val="none" w:sz="0" w:space="0" w:color="auto"/>
                  </w:divBdr>
                  <w:divsChild>
                    <w:div w:id="1052654604">
                      <w:marLeft w:val="0"/>
                      <w:marRight w:val="0"/>
                      <w:marTop w:val="0"/>
                      <w:marBottom w:val="0"/>
                      <w:divBdr>
                        <w:top w:val="none" w:sz="0" w:space="0" w:color="auto"/>
                        <w:left w:val="none" w:sz="0" w:space="0" w:color="auto"/>
                        <w:bottom w:val="none" w:sz="0" w:space="0" w:color="auto"/>
                        <w:right w:val="none" w:sz="0" w:space="0" w:color="auto"/>
                      </w:divBdr>
                    </w:div>
                  </w:divsChild>
                </w:div>
                <w:div w:id="485047666">
                  <w:marLeft w:val="0"/>
                  <w:marRight w:val="0"/>
                  <w:marTop w:val="0"/>
                  <w:marBottom w:val="0"/>
                  <w:divBdr>
                    <w:top w:val="none" w:sz="0" w:space="0" w:color="auto"/>
                    <w:left w:val="none" w:sz="0" w:space="0" w:color="auto"/>
                    <w:bottom w:val="none" w:sz="0" w:space="0" w:color="auto"/>
                    <w:right w:val="none" w:sz="0" w:space="0" w:color="auto"/>
                  </w:divBdr>
                  <w:divsChild>
                    <w:div w:id="1245648271">
                      <w:marLeft w:val="0"/>
                      <w:marRight w:val="0"/>
                      <w:marTop w:val="0"/>
                      <w:marBottom w:val="0"/>
                      <w:divBdr>
                        <w:top w:val="none" w:sz="0" w:space="0" w:color="auto"/>
                        <w:left w:val="none" w:sz="0" w:space="0" w:color="auto"/>
                        <w:bottom w:val="none" w:sz="0" w:space="0" w:color="auto"/>
                        <w:right w:val="none" w:sz="0" w:space="0" w:color="auto"/>
                      </w:divBdr>
                    </w:div>
                  </w:divsChild>
                </w:div>
                <w:div w:id="666785114">
                  <w:marLeft w:val="0"/>
                  <w:marRight w:val="0"/>
                  <w:marTop w:val="0"/>
                  <w:marBottom w:val="0"/>
                  <w:divBdr>
                    <w:top w:val="none" w:sz="0" w:space="0" w:color="auto"/>
                    <w:left w:val="none" w:sz="0" w:space="0" w:color="auto"/>
                    <w:bottom w:val="none" w:sz="0" w:space="0" w:color="auto"/>
                    <w:right w:val="none" w:sz="0" w:space="0" w:color="auto"/>
                  </w:divBdr>
                  <w:divsChild>
                    <w:div w:id="1433017584">
                      <w:marLeft w:val="0"/>
                      <w:marRight w:val="0"/>
                      <w:marTop w:val="0"/>
                      <w:marBottom w:val="0"/>
                      <w:divBdr>
                        <w:top w:val="none" w:sz="0" w:space="0" w:color="auto"/>
                        <w:left w:val="none" w:sz="0" w:space="0" w:color="auto"/>
                        <w:bottom w:val="none" w:sz="0" w:space="0" w:color="auto"/>
                        <w:right w:val="none" w:sz="0" w:space="0" w:color="auto"/>
                      </w:divBdr>
                    </w:div>
                  </w:divsChild>
                </w:div>
                <w:div w:id="560555689">
                  <w:marLeft w:val="0"/>
                  <w:marRight w:val="0"/>
                  <w:marTop w:val="0"/>
                  <w:marBottom w:val="0"/>
                  <w:divBdr>
                    <w:top w:val="none" w:sz="0" w:space="0" w:color="auto"/>
                    <w:left w:val="none" w:sz="0" w:space="0" w:color="auto"/>
                    <w:bottom w:val="none" w:sz="0" w:space="0" w:color="auto"/>
                    <w:right w:val="none" w:sz="0" w:space="0" w:color="auto"/>
                  </w:divBdr>
                  <w:divsChild>
                    <w:div w:id="2101440274">
                      <w:marLeft w:val="0"/>
                      <w:marRight w:val="0"/>
                      <w:marTop w:val="0"/>
                      <w:marBottom w:val="0"/>
                      <w:divBdr>
                        <w:top w:val="none" w:sz="0" w:space="0" w:color="auto"/>
                        <w:left w:val="none" w:sz="0" w:space="0" w:color="auto"/>
                        <w:bottom w:val="none" w:sz="0" w:space="0" w:color="auto"/>
                        <w:right w:val="none" w:sz="0" w:space="0" w:color="auto"/>
                      </w:divBdr>
                    </w:div>
                  </w:divsChild>
                </w:div>
                <w:div w:id="2059086081">
                  <w:marLeft w:val="0"/>
                  <w:marRight w:val="0"/>
                  <w:marTop w:val="0"/>
                  <w:marBottom w:val="0"/>
                  <w:divBdr>
                    <w:top w:val="none" w:sz="0" w:space="0" w:color="auto"/>
                    <w:left w:val="none" w:sz="0" w:space="0" w:color="auto"/>
                    <w:bottom w:val="none" w:sz="0" w:space="0" w:color="auto"/>
                    <w:right w:val="none" w:sz="0" w:space="0" w:color="auto"/>
                  </w:divBdr>
                  <w:divsChild>
                    <w:div w:id="148448669">
                      <w:marLeft w:val="0"/>
                      <w:marRight w:val="0"/>
                      <w:marTop w:val="0"/>
                      <w:marBottom w:val="0"/>
                      <w:divBdr>
                        <w:top w:val="none" w:sz="0" w:space="0" w:color="auto"/>
                        <w:left w:val="none" w:sz="0" w:space="0" w:color="auto"/>
                        <w:bottom w:val="none" w:sz="0" w:space="0" w:color="auto"/>
                        <w:right w:val="none" w:sz="0" w:space="0" w:color="auto"/>
                      </w:divBdr>
                    </w:div>
                  </w:divsChild>
                </w:div>
                <w:div w:id="181091356">
                  <w:marLeft w:val="0"/>
                  <w:marRight w:val="0"/>
                  <w:marTop w:val="0"/>
                  <w:marBottom w:val="0"/>
                  <w:divBdr>
                    <w:top w:val="none" w:sz="0" w:space="0" w:color="auto"/>
                    <w:left w:val="none" w:sz="0" w:space="0" w:color="auto"/>
                    <w:bottom w:val="none" w:sz="0" w:space="0" w:color="auto"/>
                    <w:right w:val="none" w:sz="0" w:space="0" w:color="auto"/>
                  </w:divBdr>
                  <w:divsChild>
                    <w:div w:id="411701856">
                      <w:marLeft w:val="0"/>
                      <w:marRight w:val="0"/>
                      <w:marTop w:val="0"/>
                      <w:marBottom w:val="0"/>
                      <w:divBdr>
                        <w:top w:val="none" w:sz="0" w:space="0" w:color="auto"/>
                        <w:left w:val="none" w:sz="0" w:space="0" w:color="auto"/>
                        <w:bottom w:val="none" w:sz="0" w:space="0" w:color="auto"/>
                        <w:right w:val="none" w:sz="0" w:space="0" w:color="auto"/>
                      </w:divBdr>
                    </w:div>
                  </w:divsChild>
                </w:div>
                <w:div w:id="1443647730">
                  <w:marLeft w:val="0"/>
                  <w:marRight w:val="0"/>
                  <w:marTop w:val="0"/>
                  <w:marBottom w:val="0"/>
                  <w:divBdr>
                    <w:top w:val="none" w:sz="0" w:space="0" w:color="auto"/>
                    <w:left w:val="none" w:sz="0" w:space="0" w:color="auto"/>
                    <w:bottom w:val="none" w:sz="0" w:space="0" w:color="auto"/>
                    <w:right w:val="none" w:sz="0" w:space="0" w:color="auto"/>
                  </w:divBdr>
                  <w:divsChild>
                    <w:div w:id="496118362">
                      <w:marLeft w:val="0"/>
                      <w:marRight w:val="0"/>
                      <w:marTop w:val="0"/>
                      <w:marBottom w:val="0"/>
                      <w:divBdr>
                        <w:top w:val="none" w:sz="0" w:space="0" w:color="auto"/>
                        <w:left w:val="none" w:sz="0" w:space="0" w:color="auto"/>
                        <w:bottom w:val="none" w:sz="0" w:space="0" w:color="auto"/>
                        <w:right w:val="none" w:sz="0" w:space="0" w:color="auto"/>
                      </w:divBdr>
                    </w:div>
                  </w:divsChild>
                </w:div>
                <w:div w:id="1275593350">
                  <w:marLeft w:val="0"/>
                  <w:marRight w:val="0"/>
                  <w:marTop w:val="0"/>
                  <w:marBottom w:val="0"/>
                  <w:divBdr>
                    <w:top w:val="none" w:sz="0" w:space="0" w:color="auto"/>
                    <w:left w:val="none" w:sz="0" w:space="0" w:color="auto"/>
                    <w:bottom w:val="none" w:sz="0" w:space="0" w:color="auto"/>
                    <w:right w:val="none" w:sz="0" w:space="0" w:color="auto"/>
                  </w:divBdr>
                  <w:divsChild>
                    <w:div w:id="1811315235">
                      <w:marLeft w:val="0"/>
                      <w:marRight w:val="0"/>
                      <w:marTop w:val="0"/>
                      <w:marBottom w:val="0"/>
                      <w:divBdr>
                        <w:top w:val="none" w:sz="0" w:space="0" w:color="auto"/>
                        <w:left w:val="none" w:sz="0" w:space="0" w:color="auto"/>
                        <w:bottom w:val="none" w:sz="0" w:space="0" w:color="auto"/>
                        <w:right w:val="none" w:sz="0" w:space="0" w:color="auto"/>
                      </w:divBdr>
                    </w:div>
                  </w:divsChild>
                </w:div>
                <w:div w:id="1168058255">
                  <w:marLeft w:val="0"/>
                  <w:marRight w:val="0"/>
                  <w:marTop w:val="0"/>
                  <w:marBottom w:val="0"/>
                  <w:divBdr>
                    <w:top w:val="none" w:sz="0" w:space="0" w:color="auto"/>
                    <w:left w:val="none" w:sz="0" w:space="0" w:color="auto"/>
                    <w:bottom w:val="none" w:sz="0" w:space="0" w:color="auto"/>
                    <w:right w:val="none" w:sz="0" w:space="0" w:color="auto"/>
                  </w:divBdr>
                  <w:divsChild>
                    <w:div w:id="1636452165">
                      <w:marLeft w:val="0"/>
                      <w:marRight w:val="0"/>
                      <w:marTop w:val="0"/>
                      <w:marBottom w:val="0"/>
                      <w:divBdr>
                        <w:top w:val="none" w:sz="0" w:space="0" w:color="auto"/>
                        <w:left w:val="none" w:sz="0" w:space="0" w:color="auto"/>
                        <w:bottom w:val="none" w:sz="0" w:space="0" w:color="auto"/>
                        <w:right w:val="none" w:sz="0" w:space="0" w:color="auto"/>
                      </w:divBdr>
                    </w:div>
                  </w:divsChild>
                </w:div>
                <w:div w:id="1637417423">
                  <w:marLeft w:val="0"/>
                  <w:marRight w:val="0"/>
                  <w:marTop w:val="0"/>
                  <w:marBottom w:val="0"/>
                  <w:divBdr>
                    <w:top w:val="none" w:sz="0" w:space="0" w:color="auto"/>
                    <w:left w:val="none" w:sz="0" w:space="0" w:color="auto"/>
                    <w:bottom w:val="none" w:sz="0" w:space="0" w:color="auto"/>
                    <w:right w:val="none" w:sz="0" w:space="0" w:color="auto"/>
                  </w:divBdr>
                  <w:divsChild>
                    <w:div w:id="764810708">
                      <w:marLeft w:val="0"/>
                      <w:marRight w:val="0"/>
                      <w:marTop w:val="0"/>
                      <w:marBottom w:val="0"/>
                      <w:divBdr>
                        <w:top w:val="none" w:sz="0" w:space="0" w:color="auto"/>
                        <w:left w:val="none" w:sz="0" w:space="0" w:color="auto"/>
                        <w:bottom w:val="none" w:sz="0" w:space="0" w:color="auto"/>
                        <w:right w:val="none" w:sz="0" w:space="0" w:color="auto"/>
                      </w:divBdr>
                    </w:div>
                  </w:divsChild>
                </w:div>
                <w:div w:id="1101533827">
                  <w:marLeft w:val="0"/>
                  <w:marRight w:val="0"/>
                  <w:marTop w:val="0"/>
                  <w:marBottom w:val="0"/>
                  <w:divBdr>
                    <w:top w:val="none" w:sz="0" w:space="0" w:color="auto"/>
                    <w:left w:val="none" w:sz="0" w:space="0" w:color="auto"/>
                    <w:bottom w:val="none" w:sz="0" w:space="0" w:color="auto"/>
                    <w:right w:val="none" w:sz="0" w:space="0" w:color="auto"/>
                  </w:divBdr>
                  <w:divsChild>
                    <w:div w:id="1794860161">
                      <w:marLeft w:val="0"/>
                      <w:marRight w:val="0"/>
                      <w:marTop w:val="0"/>
                      <w:marBottom w:val="0"/>
                      <w:divBdr>
                        <w:top w:val="none" w:sz="0" w:space="0" w:color="auto"/>
                        <w:left w:val="none" w:sz="0" w:space="0" w:color="auto"/>
                        <w:bottom w:val="none" w:sz="0" w:space="0" w:color="auto"/>
                        <w:right w:val="none" w:sz="0" w:space="0" w:color="auto"/>
                      </w:divBdr>
                    </w:div>
                  </w:divsChild>
                </w:div>
                <w:div w:id="75909894">
                  <w:marLeft w:val="0"/>
                  <w:marRight w:val="0"/>
                  <w:marTop w:val="0"/>
                  <w:marBottom w:val="0"/>
                  <w:divBdr>
                    <w:top w:val="none" w:sz="0" w:space="0" w:color="auto"/>
                    <w:left w:val="none" w:sz="0" w:space="0" w:color="auto"/>
                    <w:bottom w:val="none" w:sz="0" w:space="0" w:color="auto"/>
                    <w:right w:val="none" w:sz="0" w:space="0" w:color="auto"/>
                  </w:divBdr>
                  <w:divsChild>
                    <w:div w:id="666598902">
                      <w:marLeft w:val="0"/>
                      <w:marRight w:val="0"/>
                      <w:marTop w:val="0"/>
                      <w:marBottom w:val="0"/>
                      <w:divBdr>
                        <w:top w:val="none" w:sz="0" w:space="0" w:color="auto"/>
                        <w:left w:val="none" w:sz="0" w:space="0" w:color="auto"/>
                        <w:bottom w:val="none" w:sz="0" w:space="0" w:color="auto"/>
                        <w:right w:val="none" w:sz="0" w:space="0" w:color="auto"/>
                      </w:divBdr>
                    </w:div>
                  </w:divsChild>
                </w:div>
                <w:div w:id="1752115653">
                  <w:marLeft w:val="0"/>
                  <w:marRight w:val="0"/>
                  <w:marTop w:val="0"/>
                  <w:marBottom w:val="0"/>
                  <w:divBdr>
                    <w:top w:val="none" w:sz="0" w:space="0" w:color="auto"/>
                    <w:left w:val="none" w:sz="0" w:space="0" w:color="auto"/>
                    <w:bottom w:val="none" w:sz="0" w:space="0" w:color="auto"/>
                    <w:right w:val="none" w:sz="0" w:space="0" w:color="auto"/>
                  </w:divBdr>
                  <w:divsChild>
                    <w:div w:id="9652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4904">
          <w:marLeft w:val="0"/>
          <w:marRight w:val="0"/>
          <w:marTop w:val="0"/>
          <w:marBottom w:val="0"/>
          <w:divBdr>
            <w:top w:val="none" w:sz="0" w:space="0" w:color="auto"/>
            <w:left w:val="none" w:sz="0" w:space="0" w:color="auto"/>
            <w:bottom w:val="none" w:sz="0" w:space="0" w:color="auto"/>
            <w:right w:val="none" w:sz="0" w:space="0" w:color="auto"/>
          </w:divBdr>
        </w:div>
        <w:div w:id="1398240477">
          <w:marLeft w:val="0"/>
          <w:marRight w:val="0"/>
          <w:marTop w:val="0"/>
          <w:marBottom w:val="0"/>
          <w:divBdr>
            <w:top w:val="none" w:sz="0" w:space="0" w:color="auto"/>
            <w:left w:val="none" w:sz="0" w:space="0" w:color="auto"/>
            <w:bottom w:val="none" w:sz="0" w:space="0" w:color="auto"/>
            <w:right w:val="none" w:sz="0" w:space="0" w:color="auto"/>
          </w:divBdr>
        </w:div>
        <w:div w:id="1785613753">
          <w:marLeft w:val="0"/>
          <w:marRight w:val="0"/>
          <w:marTop w:val="0"/>
          <w:marBottom w:val="0"/>
          <w:divBdr>
            <w:top w:val="none" w:sz="0" w:space="0" w:color="auto"/>
            <w:left w:val="none" w:sz="0" w:space="0" w:color="auto"/>
            <w:bottom w:val="none" w:sz="0" w:space="0" w:color="auto"/>
            <w:right w:val="none" w:sz="0" w:space="0" w:color="auto"/>
          </w:divBdr>
        </w:div>
        <w:div w:id="1106538652">
          <w:marLeft w:val="0"/>
          <w:marRight w:val="0"/>
          <w:marTop w:val="0"/>
          <w:marBottom w:val="0"/>
          <w:divBdr>
            <w:top w:val="none" w:sz="0" w:space="0" w:color="auto"/>
            <w:left w:val="none" w:sz="0" w:space="0" w:color="auto"/>
            <w:bottom w:val="none" w:sz="0" w:space="0" w:color="auto"/>
            <w:right w:val="none" w:sz="0" w:space="0" w:color="auto"/>
          </w:divBdr>
        </w:div>
        <w:div w:id="715740529">
          <w:marLeft w:val="0"/>
          <w:marRight w:val="0"/>
          <w:marTop w:val="0"/>
          <w:marBottom w:val="0"/>
          <w:divBdr>
            <w:top w:val="none" w:sz="0" w:space="0" w:color="auto"/>
            <w:left w:val="none" w:sz="0" w:space="0" w:color="auto"/>
            <w:bottom w:val="none" w:sz="0" w:space="0" w:color="auto"/>
            <w:right w:val="none" w:sz="0" w:space="0" w:color="auto"/>
          </w:divBdr>
        </w:div>
        <w:div w:id="1986080887">
          <w:marLeft w:val="0"/>
          <w:marRight w:val="0"/>
          <w:marTop w:val="0"/>
          <w:marBottom w:val="0"/>
          <w:divBdr>
            <w:top w:val="none" w:sz="0" w:space="0" w:color="auto"/>
            <w:left w:val="none" w:sz="0" w:space="0" w:color="auto"/>
            <w:bottom w:val="none" w:sz="0" w:space="0" w:color="auto"/>
            <w:right w:val="none" w:sz="0" w:space="0" w:color="auto"/>
          </w:divBdr>
        </w:div>
        <w:div w:id="1751654261">
          <w:marLeft w:val="0"/>
          <w:marRight w:val="0"/>
          <w:marTop w:val="0"/>
          <w:marBottom w:val="0"/>
          <w:divBdr>
            <w:top w:val="none" w:sz="0" w:space="0" w:color="auto"/>
            <w:left w:val="none" w:sz="0" w:space="0" w:color="auto"/>
            <w:bottom w:val="none" w:sz="0" w:space="0" w:color="auto"/>
            <w:right w:val="none" w:sz="0" w:space="0" w:color="auto"/>
          </w:divBdr>
        </w:div>
        <w:div w:id="1755786474">
          <w:marLeft w:val="0"/>
          <w:marRight w:val="0"/>
          <w:marTop w:val="0"/>
          <w:marBottom w:val="0"/>
          <w:divBdr>
            <w:top w:val="none" w:sz="0" w:space="0" w:color="auto"/>
            <w:left w:val="none" w:sz="0" w:space="0" w:color="auto"/>
            <w:bottom w:val="none" w:sz="0" w:space="0" w:color="auto"/>
            <w:right w:val="none" w:sz="0" w:space="0" w:color="auto"/>
          </w:divBdr>
        </w:div>
        <w:div w:id="498429755">
          <w:marLeft w:val="0"/>
          <w:marRight w:val="0"/>
          <w:marTop w:val="0"/>
          <w:marBottom w:val="0"/>
          <w:divBdr>
            <w:top w:val="none" w:sz="0" w:space="0" w:color="auto"/>
            <w:left w:val="none" w:sz="0" w:space="0" w:color="auto"/>
            <w:bottom w:val="none" w:sz="0" w:space="0" w:color="auto"/>
            <w:right w:val="none" w:sz="0" w:space="0" w:color="auto"/>
          </w:divBdr>
        </w:div>
      </w:divsChild>
    </w:div>
    <w:div w:id="1383401628">
      <w:bodyDiv w:val="1"/>
      <w:marLeft w:val="0"/>
      <w:marRight w:val="0"/>
      <w:marTop w:val="0"/>
      <w:marBottom w:val="0"/>
      <w:divBdr>
        <w:top w:val="none" w:sz="0" w:space="0" w:color="auto"/>
        <w:left w:val="none" w:sz="0" w:space="0" w:color="auto"/>
        <w:bottom w:val="none" w:sz="0" w:space="0" w:color="auto"/>
        <w:right w:val="none" w:sz="0" w:space="0" w:color="auto"/>
      </w:divBdr>
    </w:div>
    <w:div w:id="1388920564">
      <w:bodyDiv w:val="1"/>
      <w:marLeft w:val="0"/>
      <w:marRight w:val="0"/>
      <w:marTop w:val="0"/>
      <w:marBottom w:val="0"/>
      <w:divBdr>
        <w:top w:val="none" w:sz="0" w:space="0" w:color="auto"/>
        <w:left w:val="none" w:sz="0" w:space="0" w:color="auto"/>
        <w:bottom w:val="none" w:sz="0" w:space="0" w:color="auto"/>
        <w:right w:val="none" w:sz="0" w:space="0" w:color="auto"/>
      </w:divBdr>
    </w:div>
    <w:div w:id="1427773931">
      <w:bodyDiv w:val="1"/>
      <w:marLeft w:val="0"/>
      <w:marRight w:val="0"/>
      <w:marTop w:val="0"/>
      <w:marBottom w:val="0"/>
      <w:divBdr>
        <w:top w:val="none" w:sz="0" w:space="0" w:color="auto"/>
        <w:left w:val="none" w:sz="0" w:space="0" w:color="auto"/>
        <w:bottom w:val="none" w:sz="0" w:space="0" w:color="auto"/>
        <w:right w:val="none" w:sz="0" w:space="0" w:color="auto"/>
      </w:divBdr>
    </w:div>
    <w:div w:id="1429279332">
      <w:bodyDiv w:val="1"/>
      <w:marLeft w:val="0"/>
      <w:marRight w:val="0"/>
      <w:marTop w:val="0"/>
      <w:marBottom w:val="0"/>
      <w:divBdr>
        <w:top w:val="none" w:sz="0" w:space="0" w:color="auto"/>
        <w:left w:val="none" w:sz="0" w:space="0" w:color="auto"/>
        <w:bottom w:val="none" w:sz="0" w:space="0" w:color="auto"/>
        <w:right w:val="none" w:sz="0" w:space="0" w:color="auto"/>
      </w:divBdr>
    </w:div>
    <w:div w:id="1439249793">
      <w:bodyDiv w:val="1"/>
      <w:marLeft w:val="0"/>
      <w:marRight w:val="0"/>
      <w:marTop w:val="0"/>
      <w:marBottom w:val="0"/>
      <w:divBdr>
        <w:top w:val="none" w:sz="0" w:space="0" w:color="auto"/>
        <w:left w:val="none" w:sz="0" w:space="0" w:color="auto"/>
        <w:bottom w:val="none" w:sz="0" w:space="0" w:color="auto"/>
        <w:right w:val="none" w:sz="0" w:space="0" w:color="auto"/>
      </w:divBdr>
    </w:div>
    <w:div w:id="1442648233">
      <w:bodyDiv w:val="1"/>
      <w:marLeft w:val="0"/>
      <w:marRight w:val="0"/>
      <w:marTop w:val="0"/>
      <w:marBottom w:val="0"/>
      <w:divBdr>
        <w:top w:val="none" w:sz="0" w:space="0" w:color="auto"/>
        <w:left w:val="none" w:sz="0" w:space="0" w:color="auto"/>
        <w:bottom w:val="none" w:sz="0" w:space="0" w:color="auto"/>
        <w:right w:val="none" w:sz="0" w:space="0" w:color="auto"/>
      </w:divBdr>
    </w:div>
    <w:div w:id="1455439659">
      <w:bodyDiv w:val="1"/>
      <w:marLeft w:val="0"/>
      <w:marRight w:val="0"/>
      <w:marTop w:val="0"/>
      <w:marBottom w:val="0"/>
      <w:divBdr>
        <w:top w:val="none" w:sz="0" w:space="0" w:color="auto"/>
        <w:left w:val="none" w:sz="0" w:space="0" w:color="auto"/>
        <w:bottom w:val="none" w:sz="0" w:space="0" w:color="auto"/>
        <w:right w:val="none" w:sz="0" w:space="0" w:color="auto"/>
      </w:divBdr>
    </w:div>
    <w:div w:id="1464621169">
      <w:bodyDiv w:val="1"/>
      <w:marLeft w:val="0"/>
      <w:marRight w:val="0"/>
      <w:marTop w:val="0"/>
      <w:marBottom w:val="0"/>
      <w:divBdr>
        <w:top w:val="none" w:sz="0" w:space="0" w:color="auto"/>
        <w:left w:val="none" w:sz="0" w:space="0" w:color="auto"/>
        <w:bottom w:val="none" w:sz="0" w:space="0" w:color="auto"/>
        <w:right w:val="none" w:sz="0" w:space="0" w:color="auto"/>
      </w:divBdr>
    </w:div>
    <w:div w:id="1509707756">
      <w:bodyDiv w:val="1"/>
      <w:marLeft w:val="0"/>
      <w:marRight w:val="0"/>
      <w:marTop w:val="0"/>
      <w:marBottom w:val="0"/>
      <w:divBdr>
        <w:top w:val="none" w:sz="0" w:space="0" w:color="auto"/>
        <w:left w:val="none" w:sz="0" w:space="0" w:color="auto"/>
        <w:bottom w:val="none" w:sz="0" w:space="0" w:color="auto"/>
        <w:right w:val="none" w:sz="0" w:space="0" w:color="auto"/>
      </w:divBdr>
    </w:div>
    <w:div w:id="1509902578">
      <w:bodyDiv w:val="1"/>
      <w:marLeft w:val="0"/>
      <w:marRight w:val="0"/>
      <w:marTop w:val="0"/>
      <w:marBottom w:val="0"/>
      <w:divBdr>
        <w:top w:val="none" w:sz="0" w:space="0" w:color="auto"/>
        <w:left w:val="none" w:sz="0" w:space="0" w:color="auto"/>
        <w:bottom w:val="none" w:sz="0" w:space="0" w:color="auto"/>
        <w:right w:val="none" w:sz="0" w:space="0" w:color="auto"/>
      </w:divBdr>
    </w:div>
    <w:div w:id="1514758386">
      <w:bodyDiv w:val="1"/>
      <w:marLeft w:val="0"/>
      <w:marRight w:val="0"/>
      <w:marTop w:val="0"/>
      <w:marBottom w:val="0"/>
      <w:divBdr>
        <w:top w:val="none" w:sz="0" w:space="0" w:color="auto"/>
        <w:left w:val="none" w:sz="0" w:space="0" w:color="auto"/>
        <w:bottom w:val="none" w:sz="0" w:space="0" w:color="auto"/>
        <w:right w:val="none" w:sz="0" w:space="0" w:color="auto"/>
      </w:divBdr>
    </w:div>
    <w:div w:id="1525747735">
      <w:bodyDiv w:val="1"/>
      <w:marLeft w:val="0"/>
      <w:marRight w:val="0"/>
      <w:marTop w:val="0"/>
      <w:marBottom w:val="0"/>
      <w:divBdr>
        <w:top w:val="none" w:sz="0" w:space="0" w:color="auto"/>
        <w:left w:val="none" w:sz="0" w:space="0" w:color="auto"/>
        <w:bottom w:val="none" w:sz="0" w:space="0" w:color="auto"/>
        <w:right w:val="none" w:sz="0" w:space="0" w:color="auto"/>
      </w:divBdr>
    </w:div>
    <w:div w:id="1548953885">
      <w:bodyDiv w:val="1"/>
      <w:marLeft w:val="0"/>
      <w:marRight w:val="0"/>
      <w:marTop w:val="0"/>
      <w:marBottom w:val="0"/>
      <w:divBdr>
        <w:top w:val="none" w:sz="0" w:space="0" w:color="auto"/>
        <w:left w:val="none" w:sz="0" w:space="0" w:color="auto"/>
        <w:bottom w:val="none" w:sz="0" w:space="0" w:color="auto"/>
        <w:right w:val="none" w:sz="0" w:space="0" w:color="auto"/>
      </w:divBdr>
    </w:div>
    <w:div w:id="1550919174">
      <w:bodyDiv w:val="1"/>
      <w:marLeft w:val="0"/>
      <w:marRight w:val="0"/>
      <w:marTop w:val="0"/>
      <w:marBottom w:val="0"/>
      <w:divBdr>
        <w:top w:val="none" w:sz="0" w:space="0" w:color="auto"/>
        <w:left w:val="none" w:sz="0" w:space="0" w:color="auto"/>
        <w:bottom w:val="none" w:sz="0" w:space="0" w:color="auto"/>
        <w:right w:val="none" w:sz="0" w:space="0" w:color="auto"/>
      </w:divBdr>
    </w:div>
    <w:div w:id="1583877565">
      <w:bodyDiv w:val="1"/>
      <w:marLeft w:val="0"/>
      <w:marRight w:val="0"/>
      <w:marTop w:val="0"/>
      <w:marBottom w:val="0"/>
      <w:divBdr>
        <w:top w:val="none" w:sz="0" w:space="0" w:color="auto"/>
        <w:left w:val="none" w:sz="0" w:space="0" w:color="auto"/>
        <w:bottom w:val="none" w:sz="0" w:space="0" w:color="auto"/>
        <w:right w:val="none" w:sz="0" w:space="0" w:color="auto"/>
      </w:divBdr>
    </w:div>
    <w:div w:id="1644461457">
      <w:bodyDiv w:val="1"/>
      <w:marLeft w:val="0"/>
      <w:marRight w:val="0"/>
      <w:marTop w:val="0"/>
      <w:marBottom w:val="0"/>
      <w:divBdr>
        <w:top w:val="none" w:sz="0" w:space="0" w:color="auto"/>
        <w:left w:val="none" w:sz="0" w:space="0" w:color="auto"/>
        <w:bottom w:val="none" w:sz="0" w:space="0" w:color="auto"/>
        <w:right w:val="none" w:sz="0" w:space="0" w:color="auto"/>
      </w:divBdr>
    </w:div>
    <w:div w:id="1651518351">
      <w:bodyDiv w:val="1"/>
      <w:marLeft w:val="0"/>
      <w:marRight w:val="0"/>
      <w:marTop w:val="0"/>
      <w:marBottom w:val="0"/>
      <w:divBdr>
        <w:top w:val="none" w:sz="0" w:space="0" w:color="auto"/>
        <w:left w:val="none" w:sz="0" w:space="0" w:color="auto"/>
        <w:bottom w:val="none" w:sz="0" w:space="0" w:color="auto"/>
        <w:right w:val="none" w:sz="0" w:space="0" w:color="auto"/>
      </w:divBdr>
    </w:div>
    <w:div w:id="1694650971">
      <w:bodyDiv w:val="1"/>
      <w:marLeft w:val="0"/>
      <w:marRight w:val="0"/>
      <w:marTop w:val="0"/>
      <w:marBottom w:val="0"/>
      <w:divBdr>
        <w:top w:val="none" w:sz="0" w:space="0" w:color="auto"/>
        <w:left w:val="none" w:sz="0" w:space="0" w:color="auto"/>
        <w:bottom w:val="none" w:sz="0" w:space="0" w:color="auto"/>
        <w:right w:val="none" w:sz="0" w:space="0" w:color="auto"/>
      </w:divBdr>
    </w:div>
    <w:div w:id="1705328443">
      <w:bodyDiv w:val="1"/>
      <w:marLeft w:val="0"/>
      <w:marRight w:val="0"/>
      <w:marTop w:val="0"/>
      <w:marBottom w:val="0"/>
      <w:divBdr>
        <w:top w:val="none" w:sz="0" w:space="0" w:color="auto"/>
        <w:left w:val="none" w:sz="0" w:space="0" w:color="auto"/>
        <w:bottom w:val="none" w:sz="0" w:space="0" w:color="auto"/>
        <w:right w:val="none" w:sz="0" w:space="0" w:color="auto"/>
      </w:divBdr>
    </w:div>
    <w:div w:id="1706902564">
      <w:bodyDiv w:val="1"/>
      <w:marLeft w:val="0"/>
      <w:marRight w:val="0"/>
      <w:marTop w:val="0"/>
      <w:marBottom w:val="0"/>
      <w:divBdr>
        <w:top w:val="none" w:sz="0" w:space="0" w:color="auto"/>
        <w:left w:val="none" w:sz="0" w:space="0" w:color="auto"/>
        <w:bottom w:val="none" w:sz="0" w:space="0" w:color="auto"/>
        <w:right w:val="none" w:sz="0" w:space="0" w:color="auto"/>
      </w:divBdr>
    </w:div>
    <w:div w:id="1733000989">
      <w:bodyDiv w:val="1"/>
      <w:marLeft w:val="0"/>
      <w:marRight w:val="0"/>
      <w:marTop w:val="0"/>
      <w:marBottom w:val="0"/>
      <w:divBdr>
        <w:top w:val="none" w:sz="0" w:space="0" w:color="auto"/>
        <w:left w:val="none" w:sz="0" w:space="0" w:color="auto"/>
        <w:bottom w:val="none" w:sz="0" w:space="0" w:color="auto"/>
        <w:right w:val="none" w:sz="0" w:space="0" w:color="auto"/>
      </w:divBdr>
    </w:div>
    <w:div w:id="1741438127">
      <w:bodyDiv w:val="1"/>
      <w:marLeft w:val="0"/>
      <w:marRight w:val="0"/>
      <w:marTop w:val="0"/>
      <w:marBottom w:val="0"/>
      <w:divBdr>
        <w:top w:val="none" w:sz="0" w:space="0" w:color="auto"/>
        <w:left w:val="none" w:sz="0" w:space="0" w:color="auto"/>
        <w:bottom w:val="none" w:sz="0" w:space="0" w:color="auto"/>
        <w:right w:val="none" w:sz="0" w:space="0" w:color="auto"/>
      </w:divBdr>
    </w:div>
    <w:div w:id="1762098186">
      <w:bodyDiv w:val="1"/>
      <w:marLeft w:val="0"/>
      <w:marRight w:val="0"/>
      <w:marTop w:val="0"/>
      <w:marBottom w:val="0"/>
      <w:divBdr>
        <w:top w:val="none" w:sz="0" w:space="0" w:color="auto"/>
        <w:left w:val="none" w:sz="0" w:space="0" w:color="auto"/>
        <w:bottom w:val="none" w:sz="0" w:space="0" w:color="auto"/>
        <w:right w:val="none" w:sz="0" w:space="0" w:color="auto"/>
      </w:divBdr>
    </w:div>
    <w:div w:id="1765343400">
      <w:bodyDiv w:val="1"/>
      <w:marLeft w:val="0"/>
      <w:marRight w:val="0"/>
      <w:marTop w:val="0"/>
      <w:marBottom w:val="0"/>
      <w:divBdr>
        <w:top w:val="none" w:sz="0" w:space="0" w:color="auto"/>
        <w:left w:val="none" w:sz="0" w:space="0" w:color="auto"/>
        <w:bottom w:val="none" w:sz="0" w:space="0" w:color="auto"/>
        <w:right w:val="none" w:sz="0" w:space="0" w:color="auto"/>
      </w:divBdr>
    </w:div>
    <w:div w:id="1788810185">
      <w:bodyDiv w:val="1"/>
      <w:marLeft w:val="0"/>
      <w:marRight w:val="0"/>
      <w:marTop w:val="0"/>
      <w:marBottom w:val="0"/>
      <w:divBdr>
        <w:top w:val="none" w:sz="0" w:space="0" w:color="auto"/>
        <w:left w:val="none" w:sz="0" w:space="0" w:color="auto"/>
        <w:bottom w:val="none" w:sz="0" w:space="0" w:color="auto"/>
        <w:right w:val="none" w:sz="0" w:space="0" w:color="auto"/>
      </w:divBdr>
    </w:div>
    <w:div w:id="1807627230">
      <w:bodyDiv w:val="1"/>
      <w:marLeft w:val="0"/>
      <w:marRight w:val="0"/>
      <w:marTop w:val="0"/>
      <w:marBottom w:val="0"/>
      <w:divBdr>
        <w:top w:val="none" w:sz="0" w:space="0" w:color="auto"/>
        <w:left w:val="none" w:sz="0" w:space="0" w:color="auto"/>
        <w:bottom w:val="none" w:sz="0" w:space="0" w:color="auto"/>
        <w:right w:val="none" w:sz="0" w:space="0" w:color="auto"/>
      </w:divBdr>
    </w:div>
    <w:div w:id="1817801646">
      <w:bodyDiv w:val="1"/>
      <w:marLeft w:val="0"/>
      <w:marRight w:val="0"/>
      <w:marTop w:val="0"/>
      <w:marBottom w:val="0"/>
      <w:divBdr>
        <w:top w:val="none" w:sz="0" w:space="0" w:color="auto"/>
        <w:left w:val="none" w:sz="0" w:space="0" w:color="auto"/>
        <w:bottom w:val="none" w:sz="0" w:space="0" w:color="auto"/>
        <w:right w:val="none" w:sz="0" w:space="0" w:color="auto"/>
      </w:divBdr>
    </w:div>
    <w:div w:id="1825968608">
      <w:bodyDiv w:val="1"/>
      <w:marLeft w:val="0"/>
      <w:marRight w:val="0"/>
      <w:marTop w:val="0"/>
      <w:marBottom w:val="0"/>
      <w:divBdr>
        <w:top w:val="none" w:sz="0" w:space="0" w:color="auto"/>
        <w:left w:val="none" w:sz="0" w:space="0" w:color="auto"/>
        <w:bottom w:val="none" w:sz="0" w:space="0" w:color="auto"/>
        <w:right w:val="none" w:sz="0" w:space="0" w:color="auto"/>
      </w:divBdr>
      <w:divsChild>
        <w:div w:id="714350680">
          <w:marLeft w:val="0"/>
          <w:marRight w:val="0"/>
          <w:marTop w:val="0"/>
          <w:marBottom w:val="0"/>
          <w:divBdr>
            <w:top w:val="none" w:sz="0" w:space="0" w:color="auto"/>
            <w:left w:val="none" w:sz="0" w:space="0" w:color="auto"/>
            <w:bottom w:val="none" w:sz="0" w:space="0" w:color="auto"/>
            <w:right w:val="none" w:sz="0" w:space="0" w:color="auto"/>
          </w:divBdr>
          <w:divsChild>
            <w:div w:id="1422528861">
              <w:marLeft w:val="0"/>
              <w:marRight w:val="0"/>
              <w:marTop w:val="0"/>
              <w:marBottom w:val="0"/>
              <w:divBdr>
                <w:top w:val="none" w:sz="0" w:space="0" w:color="auto"/>
                <w:left w:val="none" w:sz="0" w:space="0" w:color="auto"/>
                <w:bottom w:val="none" w:sz="0" w:space="0" w:color="auto"/>
                <w:right w:val="none" w:sz="0" w:space="0" w:color="auto"/>
              </w:divBdr>
              <w:divsChild>
                <w:div w:id="1443959935">
                  <w:marLeft w:val="0"/>
                  <w:marRight w:val="0"/>
                  <w:marTop w:val="0"/>
                  <w:marBottom w:val="0"/>
                  <w:divBdr>
                    <w:top w:val="none" w:sz="0" w:space="0" w:color="auto"/>
                    <w:left w:val="none" w:sz="0" w:space="0" w:color="auto"/>
                    <w:bottom w:val="none" w:sz="0" w:space="0" w:color="auto"/>
                    <w:right w:val="none" w:sz="0" w:space="0" w:color="auto"/>
                  </w:divBdr>
                  <w:divsChild>
                    <w:div w:id="285235722">
                      <w:marLeft w:val="0"/>
                      <w:marRight w:val="0"/>
                      <w:marTop w:val="0"/>
                      <w:marBottom w:val="0"/>
                      <w:divBdr>
                        <w:top w:val="none" w:sz="0" w:space="0" w:color="auto"/>
                        <w:left w:val="none" w:sz="0" w:space="0" w:color="auto"/>
                        <w:bottom w:val="none" w:sz="0" w:space="0" w:color="auto"/>
                        <w:right w:val="none" w:sz="0" w:space="0" w:color="auto"/>
                      </w:divBdr>
                      <w:divsChild>
                        <w:div w:id="1569732902">
                          <w:marLeft w:val="0"/>
                          <w:marRight w:val="0"/>
                          <w:marTop w:val="0"/>
                          <w:marBottom w:val="0"/>
                          <w:divBdr>
                            <w:top w:val="none" w:sz="0" w:space="0" w:color="auto"/>
                            <w:left w:val="none" w:sz="0" w:space="0" w:color="auto"/>
                            <w:bottom w:val="none" w:sz="0" w:space="0" w:color="auto"/>
                            <w:right w:val="none" w:sz="0" w:space="0" w:color="auto"/>
                          </w:divBdr>
                          <w:divsChild>
                            <w:div w:id="1216548772">
                              <w:marLeft w:val="0"/>
                              <w:marRight w:val="0"/>
                              <w:marTop w:val="0"/>
                              <w:marBottom w:val="0"/>
                              <w:divBdr>
                                <w:top w:val="none" w:sz="0" w:space="0" w:color="auto"/>
                                <w:left w:val="none" w:sz="0" w:space="0" w:color="auto"/>
                                <w:bottom w:val="none" w:sz="0" w:space="0" w:color="auto"/>
                                <w:right w:val="none" w:sz="0" w:space="0" w:color="auto"/>
                              </w:divBdr>
                              <w:divsChild>
                                <w:div w:id="1709377285">
                                  <w:marLeft w:val="0"/>
                                  <w:marRight w:val="0"/>
                                  <w:marTop w:val="0"/>
                                  <w:marBottom w:val="0"/>
                                  <w:divBdr>
                                    <w:top w:val="none" w:sz="0" w:space="0" w:color="auto"/>
                                    <w:left w:val="none" w:sz="0" w:space="0" w:color="auto"/>
                                    <w:bottom w:val="none" w:sz="0" w:space="0" w:color="auto"/>
                                    <w:right w:val="none" w:sz="0" w:space="0" w:color="auto"/>
                                  </w:divBdr>
                                  <w:divsChild>
                                    <w:div w:id="1171919392">
                                      <w:marLeft w:val="0"/>
                                      <w:marRight w:val="0"/>
                                      <w:marTop w:val="0"/>
                                      <w:marBottom w:val="0"/>
                                      <w:divBdr>
                                        <w:top w:val="none" w:sz="0" w:space="0" w:color="auto"/>
                                        <w:left w:val="none" w:sz="0" w:space="0" w:color="auto"/>
                                        <w:bottom w:val="none" w:sz="0" w:space="0" w:color="auto"/>
                                        <w:right w:val="none" w:sz="0" w:space="0" w:color="auto"/>
                                      </w:divBdr>
                                      <w:divsChild>
                                        <w:div w:id="864296453">
                                          <w:marLeft w:val="0"/>
                                          <w:marRight w:val="0"/>
                                          <w:marTop w:val="0"/>
                                          <w:marBottom w:val="0"/>
                                          <w:divBdr>
                                            <w:top w:val="none" w:sz="0" w:space="0" w:color="auto"/>
                                            <w:left w:val="none" w:sz="0" w:space="0" w:color="auto"/>
                                            <w:bottom w:val="none" w:sz="0" w:space="0" w:color="auto"/>
                                            <w:right w:val="none" w:sz="0" w:space="0" w:color="auto"/>
                                          </w:divBdr>
                                          <w:divsChild>
                                            <w:div w:id="565801520">
                                              <w:marLeft w:val="0"/>
                                              <w:marRight w:val="0"/>
                                              <w:marTop w:val="0"/>
                                              <w:marBottom w:val="0"/>
                                              <w:divBdr>
                                                <w:top w:val="none" w:sz="0" w:space="0" w:color="auto"/>
                                                <w:left w:val="none" w:sz="0" w:space="0" w:color="auto"/>
                                                <w:bottom w:val="none" w:sz="0" w:space="0" w:color="auto"/>
                                                <w:right w:val="none" w:sz="0" w:space="0" w:color="auto"/>
                                              </w:divBdr>
                                              <w:divsChild>
                                                <w:div w:id="11169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649037">
      <w:bodyDiv w:val="1"/>
      <w:marLeft w:val="0"/>
      <w:marRight w:val="0"/>
      <w:marTop w:val="0"/>
      <w:marBottom w:val="0"/>
      <w:divBdr>
        <w:top w:val="none" w:sz="0" w:space="0" w:color="auto"/>
        <w:left w:val="none" w:sz="0" w:space="0" w:color="auto"/>
        <w:bottom w:val="none" w:sz="0" w:space="0" w:color="auto"/>
        <w:right w:val="none" w:sz="0" w:space="0" w:color="auto"/>
      </w:divBdr>
    </w:div>
    <w:div w:id="1849323076">
      <w:bodyDiv w:val="1"/>
      <w:marLeft w:val="0"/>
      <w:marRight w:val="0"/>
      <w:marTop w:val="0"/>
      <w:marBottom w:val="0"/>
      <w:divBdr>
        <w:top w:val="none" w:sz="0" w:space="0" w:color="auto"/>
        <w:left w:val="none" w:sz="0" w:space="0" w:color="auto"/>
        <w:bottom w:val="none" w:sz="0" w:space="0" w:color="auto"/>
        <w:right w:val="none" w:sz="0" w:space="0" w:color="auto"/>
      </w:divBdr>
    </w:div>
    <w:div w:id="1855337231">
      <w:bodyDiv w:val="1"/>
      <w:marLeft w:val="0"/>
      <w:marRight w:val="0"/>
      <w:marTop w:val="0"/>
      <w:marBottom w:val="0"/>
      <w:divBdr>
        <w:top w:val="none" w:sz="0" w:space="0" w:color="auto"/>
        <w:left w:val="none" w:sz="0" w:space="0" w:color="auto"/>
        <w:bottom w:val="none" w:sz="0" w:space="0" w:color="auto"/>
        <w:right w:val="none" w:sz="0" w:space="0" w:color="auto"/>
      </w:divBdr>
    </w:div>
    <w:div w:id="1870028730">
      <w:bodyDiv w:val="1"/>
      <w:marLeft w:val="0"/>
      <w:marRight w:val="0"/>
      <w:marTop w:val="0"/>
      <w:marBottom w:val="0"/>
      <w:divBdr>
        <w:top w:val="none" w:sz="0" w:space="0" w:color="auto"/>
        <w:left w:val="none" w:sz="0" w:space="0" w:color="auto"/>
        <w:bottom w:val="none" w:sz="0" w:space="0" w:color="auto"/>
        <w:right w:val="none" w:sz="0" w:space="0" w:color="auto"/>
      </w:divBdr>
    </w:div>
    <w:div w:id="1870952076">
      <w:bodyDiv w:val="1"/>
      <w:marLeft w:val="0"/>
      <w:marRight w:val="0"/>
      <w:marTop w:val="0"/>
      <w:marBottom w:val="0"/>
      <w:divBdr>
        <w:top w:val="none" w:sz="0" w:space="0" w:color="auto"/>
        <w:left w:val="none" w:sz="0" w:space="0" w:color="auto"/>
        <w:bottom w:val="none" w:sz="0" w:space="0" w:color="auto"/>
        <w:right w:val="none" w:sz="0" w:space="0" w:color="auto"/>
      </w:divBdr>
    </w:div>
    <w:div w:id="1903756808">
      <w:bodyDiv w:val="1"/>
      <w:marLeft w:val="0"/>
      <w:marRight w:val="0"/>
      <w:marTop w:val="0"/>
      <w:marBottom w:val="0"/>
      <w:divBdr>
        <w:top w:val="none" w:sz="0" w:space="0" w:color="auto"/>
        <w:left w:val="none" w:sz="0" w:space="0" w:color="auto"/>
        <w:bottom w:val="none" w:sz="0" w:space="0" w:color="auto"/>
        <w:right w:val="none" w:sz="0" w:space="0" w:color="auto"/>
      </w:divBdr>
    </w:div>
    <w:div w:id="1947032055">
      <w:bodyDiv w:val="1"/>
      <w:marLeft w:val="0"/>
      <w:marRight w:val="0"/>
      <w:marTop w:val="0"/>
      <w:marBottom w:val="0"/>
      <w:divBdr>
        <w:top w:val="none" w:sz="0" w:space="0" w:color="auto"/>
        <w:left w:val="none" w:sz="0" w:space="0" w:color="auto"/>
        <w:bottom w:val="none" w:sz="0" w:space="0" w:color="auto"/>
        <w:right w:val="none" w:sz="0" w:space="0" w:color="auto"/>
      </w:divBdr>
    </w:div>
    <w:div w:id="1975208721">
      <w:bodyDiv w:val="1"/>
      <w:marLeft w:val="0"/>
      <w:marRight w:val="0"/>
      <w:marTop w:val="0"/>
      <w:marBottom w:val="0"/>
      <w:divBdr>
        <w:top w:val="none" w:sz="0" w:space="0" w:color="auto"/>
        <w:left w:val="none" w:sz="0" w:space="0" w:color="auto"/>
        <w:bottom w:val="none" w:sz="0" w:space="0" w:color="auto"/>
        <w:right w:val="none" w:sz="0" w:space="0" w:color="auto"/>
      </w:divBdr>
    </w:div>
    <w:div w:id="1980988096">
      <w:bodyDiv w:val="1"/>
      <w:marLeft w:val="0"/>
      <w:marRight w:val="0"/>
      <w:marTop w:val="0"/>
      <w:marBottom w:val="0"/>
      <w:divBdr>
        <w:top w:val="none" w:sz="0" w:space="0" w:color="auto"/>
        <w:left w:val="none" w:sz="0" w:space="0" w:color="auto"/>
        <w:bottom w:val="none" w:sz="0" w:space="0" w:color="auto"/>
        <w:right w:val="none" w:sz="0" w:space="0" w:color="auto"/>
      </w:divBdr>
    </w:div>
    <w:div w:id="1984388514">
      <w:bodyDiv w:val="1"/>
      <w:marLeft w:val="0"/>
      <w:marRight w:val="0"/>
      <w:marTop w:val="0"/>
      <w:marBottom w:val="0"/>
      <w:divBdr>
        <w:top w:val="none" w:sz="0" w:space="0" w:color="auto"/>
        <w:left w:val="none" w:sz="0" w:space="0" w:color="auto"/>
        <w:bottom w:val="none" w:sz="0" w:space="0" w:color="auto"/>
        <w:right w:val="none" w:sz="0" w:space="0" w:color="auto"/>
      </w:divBdr>
    </w:div>
    <w:div w:id="1989747440">
      <w:bodyDiv w:val="1"/>
      <w:marLeft w:val="0"/>
      <w:marRight w:val="0"/>
      <w:marTop w:val="0"/>
      <w:marBottom w:val="0"/>
      <w:divBdr>
        <w:top w:val="none" w:sz="0" w:space="0" w:color="auto"/>
        <w:left w:val="none" w:sz="0" w:space="0" w:color="auto"/>
        <w:bottom w:val="none" w:sz="0" w:space="0" w:color="auto"/>
        <w:right w:val="none" w:sz="0" w:space="0" w:color="auto"/>
      </w:divBdr>
    </w:div>
    <w:div w:id="1996369371">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82478802">
      <w:bodyDiv w:val="1"/>
      <w:marLeft w:val="0"/>
      <w:marRight w:val="0"/>
      <w:marTop w:val="0"/>
      <w:marBottom w:val="0"/>
      <w:divBdr>
        <w:top w:val="none" w:sz="0" w:space="0" w:color="auto"/>
        <w:left w:val="none" w:sz="0" w:space="0" w:color="auto"/>
        <w:bottom w:val="none" w:sz="0" w:space="0" w:color="auto"/>
        <w:right w:val="none" w:sz="0" w:space="0" w:color="auto"/>
      </w:divBdr>
    </w:div>
    <w:div w:id="2086875458">
      <w:bodyDiv w:val="1"/>
      <w:marLeft w:val="0"/>
      <w:marRight w:val="0"/>
      <w:marTop w:val="0"/>
      <w:marBottom w:val="0"/>
      <w:divBdr>
        <w:top w:val="none" w:sz="0" w:space="0" w:color="auto"/>
        <w:left w:val="none" w:sz="0" w:space="0" w:color="auto"/>
        <w:bottom w:val="none" w:sz="0" w:space="0" w:color="auto"/>
        <w:right w:val="none" w:sz="0" w:space="0" w:color="auto"/>
      </w:divBdr>
    </w:div>
    <w:div w:id="2130196666">
      <w:bodyDiv w:val="1"/>
      <w:marLeft w:val="0"/>
      <w:marRight w:val="0"/>
      <w:marTop w:val="0"/>
      <w:marBottom w:val="0"/>
      <w:divBdr>
        <w:top w:val="none" w:sz="0" w:space="0" w:color="auto"/>
        <w:left w:val="none" w:sz="0" w:space="0" w:color="auto"/>
        <w:bottom w:val="none" w:sz="0" w:space="0" w:color="auto"/>
        <w:right w:val="none" w:sz="0" w:space="0" w:color="auto"/>
      </w:divBdr>
    </w:div>
    <w:div w:id="2131968645">
      <w:bodyDiv w:val="1"/>
      <w:marLeft w:val="0"/>
      <w:marRight w:val="0"/>
      <w:marTop w:val="0"/>
      <w:marBottom w:val="0"/>
      <w:divBdr>
        <w:top w:val="none" w:sz="0" w:space="0" w:color="auto"/>
        <w:left w:val="none" w:sz="0" w:space="0" w:color="auto"/>
        <w:bottom w:val="none" w:sz="0" w:space="0" w:color="auto"/>
        <w:right w:val="none" w:sz="0" w:space="0" w:color="auto"/>
      </w:divBdr>
    </w:div>
    <w:div w:id="2145003061">
      <w:bodyDiv w:val="1"/>
      <w:marLeft w:val="0"/>
      <w:marRight w:val="0"/>
      <w:marTop w:val="0"/>
      <w:marBottom w:val="0"/>
      <w:divBdr>
        <w:top w:val="none" w:sz="0" w:space="0" w:color="auto"/>
        <w:left w:val="none" w:sz="0" w:space="0" w:color="auto"/>
        <w:bottom w:val="none" w:sz="0" w:space="0" w:color="auto"/>
        <w:right w:val="none" w:sz="0" w:space="0" w:color="auto"/>
      </w:divBdr>
    </w:div>
    <w:div w:id="21456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vehicle-and-engine-certification/certification-heavy-duty-hd-commercial-trucks-and-buses-and-onroad" TargetMode="External"/><Relationship Id="rId18" Type="http://schemas.openxmlformats.org/officeDocument/2006/relationships/hyperlink" Target="https://www.opm.gov/policy-data-oversight/pay-leave/salaries-wages/2017/general-schedul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info.gov/content/pkg/FR-2020-01-21/pdf/2020-00542.pdf" TargetMode="External"/><Relationship Id="rId17" Type="http://schemas.openxmlformats.org/officeDocument/2006/relationships/hyperlink" Target="http://www.bls.gov/data/inflation_calculator.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oes/2016/may/naics4_33360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vehicle-and-engine-certification/certification-heavy-duty-hd-commercial-trucks-and-buses-and-onroad"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 TargetMode="External"/><Relationship Id="rId1" Type="http://schemas.openxmlformats.org/officeDocument/2006/relationships/hyperlink" Target="https://www.govinfo.gov/content/pkg/FR-2020-01-21/pdf/2020-005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Status xmlns="8fe0dfbf-e41a-43f8-ba15-ce8715e1c10b">Pending</Records_x0020_Status>
    <Record xmlns="4ffa91fb-a0ff-4ac5-b2db-65c790d184a4">Shared</Record>
    <Rights xmlns="4ffa91fb-a0ff-4ac5-b2db-65c790d184a4" xsi:nil="true"/>
    <Document_x0020_Creation_x0020_Date xmlns="4ffa91fb-a0ff-4ac5-b2db-65c790d184a4">2022-03-09T18:02:23+00:00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Date xmlns="8fe0dfbf-e41a-43f8-ba15-ce8715e1c10b"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2599095067194580E4C3F16A1AA5C5" ma:contentTypeVersion="34" ma:contentTypeDescription="Create a new document." ma:contentTypeScope="" ma:versionID="2bf860e52b4b0a84ebe4ee43ee7c9eb2">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fe0dfbf-e41a-43f8-ba15-ce8715e1c10b" xmlns:ns7="9efdf760-ebe0-4715-941d-6c7ce771a7ef" targetNamespace="http://schemas.microsoft.com/office/2006/metadata/properties" ma:root="true" ma:fieldsID="8fc3a9117bde7618c56045332b2421d4" ns1:_="" ns3:_="" ns4:_="" ns5:_="" ns6:_="" ns7:_="">
    <xsd:import namespace="http://schemas.microsoft.com/sharepoint/v3"/>
    <xsd:import namespace="4ffa91fb-a0ff-4ac5-b2db-65c790d184a4"/>
    <xsd:import namespace="http://schemas.microsoft.com/sharepoint.v3"/>
    <xsd:import namespace="http://schemas.microsoft.com/sharepoint/v3/fields"/>
    <xsd:import namespace="8fe0dfbf-e41a-43f8-ba15-ce8715e1c10b"/>
    <xsd:import namespace="9efdf760-ebe0-4715-941d-6c7ce771a7e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AutoKeyPoints" minOccurs="0"/>
                <xsd:element ref="ns7:MediaServiceKeyPoints" minOccurs="0"/>
                <xsd:element ref="ns7:MediaServiceGenerationTime" minOccurs="0"/>
                <xsd:element ref="ns7:MediaServiceEventHashCod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a86b82-5b40-46c9-98b3-5270765d8b9c}" ma:internalName="TaxCatchAllLabel" ma:readOnly="true" ma:showField="CatchAllDataLabel" ma:web="8fe0dfbf-e41a-43f8-ba15-ce8715e1c10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a86b82-5b40-46c9-98b3-5270765d8b9c}" ma:internalName="TaxCatchAll" ma:showField="CatchAllData" ma:web="8fe0dfbf-e41a-43f8-ba15-ce8715e1c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0dfbf-e41a-43f8-ba15-ce8715e1c10b"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fdf760-ebe0-4715-941d-6c7ce771a7ef"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701459A-239F-439A-B81E-EBFD6D3E9FDB}">
  <ds:schemaRefs>
    <ds:schemaRef ds:uri="http://schemas.microsoft.com/sharepoint/v3/contenttype/forms"/>
  </ds:schemaRefs>
</ds:datastoreItem>
</file>

<file path=customXml/itemProps2.xml><?xml version="1.0" encoding="utf-8"?>
<ds:datastoreItem xmlns:ds="http://schemas.openxmlformats.org/officeDocument/2006/customXml" ds:itemID="{B73290C6-0533-4DA3-A85E-8CD685A0725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e0dfbf-e41a-43f8-ba15-ce8715e1c10b"/>
    <ds:schemaRef ds:uri="http://schemas.microsoft.com/sharepoint.v3"/>
  </ds:schemaRefs>
</ds:datastoreItem>
</file>

<file path=customXml/itemProps3.xml><?xml version="1.0" encoding="utf-8"?>
<ds:datastoreItem xmlns:ds="http://schemas.openxmlformats.org/officeDocument/2006/customXml" ds:itemID="{84488F7E-1161-410F-AD7F-D897FA103DE7}">
  <ds:schemaRefs>
    <ds:schemaRef ds:uri="http://schemas.openxmlformats.org/officeDocument/2006/bibliography"/>
  </ds:schemaRefs>
</ds:datastoreItem>
</file>

<file path=customXml/itemProps4.xml><?xml version="1.0" encoding="utf-8"?>
<ds:datastoreItem xmlns:ds="http://schemas.openxmlformats.org/officeDocument/2006/customXml" ds:itemID="{C8028FF0-2AA4-4C55-A93C-F25C2575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e0dfbf-e41a-43f8-ba15-ce8715e1c10b"/>
    <ds:schemaRef ds:uri="9efdf760-ebe0-4715-941d-6c7ce771a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72A4A5-31FA-4D94-88F5-3CF52E07D8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10479</Words>
  <Characters>59735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HD2027 Proposed Rule ICR</vt:lpstr>
    </vt:vector>
  </TitlesOfParts>
  <Company/>
  <LinksUpToDate>false</LinksUpToDate>
  <CharactersWithSpaces>70074</CharactersWithSpaces>
  <SharedDoc>false</SharedDoc>
  <HLinks>
    <vt:vector size="18" baseType="variant">
      <vt:variant>
        <vt:i4>6553673</vt:i4>
      </vt:variant>
      <vt:variant>
        <vt:i4>8</vt:i4>
      </vt:variant>
      <vt:variant>
        <vt:i4>0</vt:i4>
      </vt:variant>
      <vt:variant>
        <vt:i4>5</vt:i4>
      </vt:variant>
      <vt:variant>
        <vt:lpwstr>mailto:Operator@$48.40/hr</vt:lpwstr>
      </vt:variant>
      <vt:variant>
        <vt:lpwstr/>
      </vt:variant>
      <vt:variant>
        <vt:i4>2818151</vt:i4>
      </vt:variant>
      <vt:variant>
        <vt:i4>5</vt:i4>
      </vt:variant>
      <vt:variant>
        <vt:i4>0</vt:i4>
      </vt:variant>
      <vt:variant>
        <vt:i4>5</vt:i4>
      </vt:variant>
      <vt:variant>
        <vt:lpwstr>http://www.regulations.gov/</vt:lpwstr>
      </vt:variant>
      <vt:variant>
        <vt:lpwstr/>
      </vt:variant>
      <vt:variant>
        <vt:i4>720912</vt:i4>
      </vt:variant>
      <vt:variant>
        <vt:i4>2</vt:i4>
      </vt:variant>
      <vt:variant>
        <vt:i4>0</vt:i4>
      </vt:variant>
      <vt:variant>
        <vt:i4>5</vt:i4>
      </vt:variant>
      <vt:variant>
        <vt:lpwstr>http://www.epa.gov/otaq/certdata.htm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HD2027 Proposed Rule ICR</dc:title>
  <dc:creator/>
  <cp:lastModifiedBy/>
  <cp:revision>1</cp:revision>
  <dcterms:created xsi:type="dcterms:W3CDTF">2022-04-19T16:45:00Z</dcterms:created>
  <dcterms:modified xsi:type="dcterms:W3CDTF">2022-04-19T16:45:00Z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0x0101009F2599095067194580E4C3F16A1AA5C5</vt:lpwstr>
  </property>
</Properties>
</file>