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EA2" w:rsidR="005645B8" w:rsidP="007A01E7" w:rsidRDefault="005645B8" w14:paraId="6D881B66" w14:textId="645396D7">
      <w:pPr>
        <w:pStyle w:val="Title"/>
      </w:pPr>
      <w:bookmarkStart w:name="_Toc49148152" w:id="0"/>
      <w:r w:rsidRPr="00C12EA2">
        <w:t>Supporting Statement for a</w:t>
      </w:r>
      <w:r w:rsidR="009505AD">
        <w:t>n</w:t>
      </w:r>
      <w:r w:rsidRPr="00C12EA2">
        <w:t xml:space="preserve"> Information Collection Request (ICR) </w:t>
      </w:r>
    </w:p>
    <w:p w:rsidR="005645B8" w:rsidP="007A01E7" w:rsidRDefault="005645B8" w14:paraId="19900C7F" w14:textId="48571761">
      <w:pPr>
        <w:pStyle w:val="Title"/>
      </w:pPr>
      <w:r w:rsidRPr="00C12EA2">
        <w:t>Under the Paperwork Reduction Act (PRA)</w:t>
      </w:r>
    </w:p>
    <w:p w:rsidRPr="00534AA1" w:rsidR="005645B8" w:rsidP="007A01E7" w:rsidRDefault="005645B8" w14:paraId="0BF5219B" w14:textId="77777777">
      <w:pPr>
        <w:pStyle w:val="Heading1"/>
      </w:pPr>
      <w:r w:rsidRPr="00534AA1">
        <w:t>EXECUTIVE SUMMARY</w:t>
      </w:r>
      <w:bookmarkEnd w:id="0"/>
    </w:p>
    <w:p w:rsidRPr="002059F4" w:rsidR="005645B8" w:rsidP="002059F4" w:rsidRDefault="005645B8" w14:paraId="5616E8D6" w14:textId="03BDFD68">
      <w:pPr>
        <w:pStyle w:val="Heading3"/>
        <w:numPr>
          <w:ilvl w:val="0"/>
          <w:numId w:val="0"/>
        </w:numPr>
      </w:pPr>
      <w:bookmarkStart w:name="_Toc49148153" w:id="1"/>
      <w:r w:rsidRPr="002059F4">
        <w:t>Identification of the Information Collection – Title and Numbers</w:t>
      </w:r>
      <w:bookmarkEnd w:id="1"/>
    </w:p>
    <w:p w:rsidR="005645B8" w:rsidP="00CA316B" w:rsidRDefault="005645B8" w14:paraId="47EF360E" w14:textId="2189C6CD">
      <w:pPr>
        <w:pStyle w:val="NoSpacing"/>
        <w:spacing w:after="120"/>
        <w:ind w:left="720"/>
        <w:rPr>
          <w:rFonts w:ascii="Arial" w:hAnsi="Arial" w:cs="Arial"/>
          <w:sz w:val="24"/>
          <w:szCs w:val="24"/>
        </w:rPr>
      </w:pPr>
      <w:r>
        <w:rPr>
          <w:rFonts w:ascii="Arial" w:hAnsi="Arial" w:cs="Arial"/>
          <w:b/>
          <w:sz w:val="24"/>
          <w:szCs w:val="24"/>
        </w:rPr>
        <w:t>Title</w:t>
      </w:r>
      <w:r w:rsidRPr="00D50157">
        <w:rPr>
          <w:rFonts w:ascii="Arial" w:hAnsi="Arial" w:cs="Arial"/>
          <w:b/>
          <w:sz w:val="24"/>
          <w:szCs w:val="24"/>
        </w:rPr>
        <w:t xml:space="preserve">: </w:t>
      </w:r>
      <w:r w:rsidRPr="00D50157" w:rsidR="00CA316B">
        <w:rPr>
          <w:rFonts w:ascii="Arial" w:hAnsi="Arial" w:cs="Arial"/>
          <w:sz w:val="24"/>
          <w:szCs w:val="24"/>
          <w:lang w:bidi="en-US"/>
        </w:rPr>
        <w:t>Asbestos; Regulation of Certain Uses under TSCA §6(a) (Proposed Rule; RIN 2070-AK</w:t>
      </w:r>
      <w:r w:rsidR="00F8547F">
        <w:rPr>
          <w:rFonts w:ascii="Arial" w:hAnsi="Arial" w:cs="Arial"/>
          <w:sz w:val="24"/>
          <w:szCs w:val="24"/>
          <w:lang w:bidi="en-US"/>
        </w:rPr>
        <w:t>86</w:t>
      </w:r>
      <w:r w:rsidRPr="00D50157" w:rsidR="00CA316B">
        <w:rPr>
          <w:rFonts w:ascii="Arial" w:hAnsi="Arial" w:cs="Arial"/>
          <w:sz w:val="24"/>
          <w:szCs w:val="24"/>
          <w:lang w:bidi="en-US"/>
        </w:rPr>
        <w:t>)</w:t>
      </w:r>
    </w:p>
    <w:p w:rsidR="009505AD" w:rsidP="005645B8" w:rsidRDefault="005645B8" w14:paraId="1968D082" w14:textId="33427A27">
      <w:pPr>
        <w:pStyle w:val="NoSpacing"/>
        <w:spacing w:after="120"/>
        <w:rPr>
          <w:rFonts w:ascii="Arial" w:hAnsi="Arial" w:cs="Arial"/>
          <w:sz w:val="24"/>
          <w:szCs w:val="24"/>
        </w:rPr>
      </w:pPr>
      <w:r>
        <w:rPr>
          <w:rFonts w:ascii="Arial" w:hAnsi="Arial" w:cs="Arial"/>
          <w:sz w:val="24"/>
          <w:szCs w:val="24"/>
        </w:rPr>
        <w:tab/>
      </w:r>
      <w:r w:rsidRPr="009505AD" w:rsidR="009505AD">
        <w:rPr>
          <w:rFonts w:ascii="Arial" w:hAnsi="Arial" w:cs="Arial"/>
          <w:b/>
          <w:bCs/>
          <w:sz w:val="24"/>
          <w:szCs w:val="24"/>
        </w:rPr>
        <w:t xml:space="preserve">EPA </w:t>
      </w:r>
      <w:r w:rsidRPr="009505AD">
        <w:rPr>
          <w:rFonts w:ascii="Arial" w:hAnsi="Arial" w:cs="Arial"/>
          <w:b/>
          <w:bCs/>
          <w:sz w:val="24"/>
          <w:szCs w:val="24"/>
        </w:rPr>
        <w:t>ICR N</w:t>
      </w:r>
      <w:r w:rsidRPr="009505AD" w:rsidR="009505AD">
        <w:rPr>
          <w:rFonts w:ascii="Arial" w:hAnsi="Arial" w:cs="Arial"/>
          <w:b/>
          <w:bCs/>
          <w:sz w:val="24"/>
          <w:szCs w:val="24"/>
        </w:rPr>
        <w:t>o</w:t>
      </w:r>
      <w:r w:rsidR="009505AD">
        <w:rPr>
          <w:rFonts w:ascii="Arial" w:hAnsi="Arial" w:cs="Arial"/>
          <w:b/>
          <w:bCs/>
          <w:sz w:val="24"/>
          <w:szCs w:val="24"/>
        </w:rPr>
        <w:t>.</w:t>
      </w:r>
      <w:r w:rsidRPr="009505AD">
        <w:rPr>
          <w:rFonts w:ascii="Arial" w:hAnsi="Arial" w:cs="Arial"/>
          <w:b/>
          <w:bCs/>
          <w:sz w:val="24"/>
          <w:szCs w:val="24"/>
        </w:rPr>
        <w:t>:</w:t>
      </w:r>
      <w:r>
        <w:rPr>
          <w:rFonts w:ascii="Arial" w:hAnsi="Arial" w:cs="Arial"/>
          <w:b/>
          <w:sz w:val="24"/>
          <w:szCs w:val="24"/>
        </w:rPr>
        <w:t xml:space="preserve"> </w:t>
      </w:r>
      <w:r w:rsidRPr="00895FDB" w:rsidR="00895FDB">
        <w:rPr>
          <w:rFonts w:ascii="Arial" w:hAnsi="Arial" w:cs="Arial"/>
          <w:sz w:val="24"/>
          <w:szCs w:val="24"/>
        </w:rPr>
        <w:t>2707.01</w:t>
      </w:r>
    </w:p>
    <w:p w:rsidR="005645B8" w:rsidP="005645B8" w:rsidRDefault="009505AD" w14:paraId="3EF98889" w14:textId="1854F732">
      <w:pPr>
        <w:pStyle w:val="NoSpacing"/>
        <w:spacing w:after="120"/>
        <w:rPr>
          <w:rFonts w:ascii="Arial" w:hAnsi="Arial" w:cs="Arial"/>
          <w:sz w:val="24"/>
          <w:szCs w:val="24"/>
        </w:rPr>
      </w:pPr>
      <w:r>
        <w:rPr>
          <w:rFonts w:ascii="Arial" w:hAnsi="Arial" w:cs="Arial"/>
          <w:sz w:val="24"/>
          <w:szCs w:val="24"/>
        </w:rPr>
        <w:tab/>
      </w:r>
      <w:r w:rsidRPr="009505AD" w:rsidR="005645B8">
        <w:rPr>
          <w:rFonts w:ascii="Arial" w:hAnsi="Arial" w:cs="Arial"/>
          <w:b/>
          <w:bCs/>
          <w:sz w:val="24"/>
          <w:szCs w:val="24"/>
        </w:rPr>
        <w:t>OMB Control No.:</w:t>
      </w:r>
      <w:r w:rsidR="005645B8">
        <w:rPr>
          <w:rFonts w:ascii="Arial" w:hAnsi="Arial" w:cs="Arial"/>
          <w:sz w:val="24"/>
          <w:szCs w:val="24"/>
        </w:rPr>
        <w:t xml:space="preserve"> </w:t>
      </w:r>
      <w:r w:rsidR="004C794C">
        <w:rPr>
          <w:rFonts w:ascii="Arial" w:hAnsi="Arial" w:cs="Arial"/>
          <w:sz w:val="24"/>
          <w:szCs w:val="24"/>
        </w:rPr>
        <w:t>2070-NEW</w:t>
      </w:r>
    </w:p>
    <w:p w:rsidRPr="00C12EA2" w:rsidR="005645B8" w:rsidP="005645B8" w:rsidRDefault="005645B8" w14:paraId="05F7B442" w14:textId="0477B65E">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w:t>
      </w:r>
      <w:r w:rsidR="004C794C">
        <w:rPr>
          <w:rFonts w:ascii="Arial" w:hAnsi="Arial" w:cs="Arial"/>
          <w:sz w:val="24"/>
          <w:szCs w:val="24"/>
        </w:rPr>
        <w:t>OPPT-</w:t>
      </w:r>
      <w:r w:rsidR="009E3438">
        <w:rPr>
          <w:rFonts w:ascii="Arial" w:hAnsi="Arial" w:cs="Arial"/>
          <w:sz w:val="24"/>
          <w:szCs w:val="24"/>
        </w:rPr>
        <w:t>2021-</w:t>
      </w:r>
      <w:r w:rsidR="004C3291">
        <w:rPr>
          <w:rFonts w:ascii="Arial" w:hAnsi="Arial" w:cs="Arial"/>
          <w:sz w:val="24"/>
          <w:szCs w:val="24"/>
        </w:rPr>
        <w:t>0057</w:t>
      </w:r>
    </w:p>
    <w:p w:rsidR="004C3291" w:rsidP="002059F4" w:rsidRDefault="005645B8" w14:paraId="2BCEFA3C" w14:textId="48412380">
      <w:pPr>
        <w:pStyle w:val="Heading3"/>
        <w:numPr>
          <w:ilvl w:val="0"/>
          <w:numId w:val="0"/>
        </w:numPr>
      </w:pPr>
      <w:bookmarkStart w:name="_Toc49148156" w:id="2"/>
      <w:r w:rsidRPr="00483711">
        <w:t>Abstract</w:t>
      </w:r>
      <w:bookmarkEnd w:id="2"/>
      <w:r w:rsidR="004C3291">
        <w:t xml:space="preserve"> </w:t>
      </w:r>
    </w:p>
    <w:p w:rsidRPr="00886D80" w:rsidR="002D10B1" w:rsidP="00886D80" w:rsidRDefault="002D10B1" w14:paraId="69F0BF2E" w14:textId="37048982">
      <w:pPr>
        <w:ind w:firstLine="720"/>
        <w:rPr>
          <w:lang w:val="en"/>
        </w:rPr>
      </w:pPr>
      <w:r w:rsidRPr="005753C8">
        <w:t xml:space="preserve">The Environmental Protection Agency (EPA) is developing </w:t>
      </w:r>
      <w:r>
        <w:t>a</w:t>
      </w:r>
      <w:r w:rsidRPr="005753C8">
        <w:t xml:space="preserve"> proposed rule </w:t>
      </w:r>
      <w:r w:rsidR="008C09F0">
        <w:t xml:space="preserve">to address unreasonable risks to human health from chrysotile asbestos </w:t>
      </w:r>
      <w:r w:rsidRPr="005753C8">
        <w:t xml:space="preserve">under section 6 of the Toxic Substances Control Act (TSCA). The proposed rule </w:t>
      </w:r>
      <w:r w:rsidR="008C09F0">
        <w:t>would prohibit</w:t>
      </w:r>
      <w:r w:rsidR="00001535">
        <w:t xml:space="preserve"> certain uses of chrysotile asbestos</w:t>
      </w:r>
      <w:r w:rsidR="00143E7C">
        <w:t xml:space="preserve">. </w:t>
      </w:r>
      <w:r w:rsidR="00FA4914">
        <w:t xml:space="preserve">It also </w:t>
      </w:r>
      <w:r w:rsidR="008C09F0">
        <w:t>would</w:t>
      </w:r>
      <w:r w:rsidR="00FA4914">
        <w:t xml:space="preserve"> </w:t>
      </w:r>
      <w:r w:rsidRPr="005753C8">
        <w:t xml:space="preserve">require each person who </w:t>
      </w:r>
      <w:r w:rsidR="00436872">
        <w:t xml:space="preserve">disposes of </w:t>
      </w:r>
      <w:r w:rsidR="00643C14">
        <w:t>c</w:t>
      </w:r>
      <w:r w:rsidR="00436872">
        <w:t xml:space="preserve">hrysotile asbestos and any </w:t>
      </w:r>
      <w:r>
        <w:t>chrysotile asbestos</w:t>
      </w:r>
      <w:r w:rsidR="0015784C">
        <w:t xml:space="preserve"> containing articles </w:t>
      </w:r>
      <w:r w:rsidR="00786C24">
        <w:t xml:space="preserve">related to those uses </w:t>
      </w:r>
      <w:r w:rsidR="008C09F0">
        <w:t>to</w:t>
      </w:r>
      <w:r w:rsidR="00DC7B0C">
        <w:rPr>
          <w:lang w:val="en"/>
        </w:rPr>
        <w:t xml:space="preserve"> adhere to requirements described in the OSHA Asbestos General Standard in 29 CFR 1910.1001(k) regarding asbestos waste disposal. Additionally, EPA is proposing to cross-reference the disposal requirements of Asbestos National Emission Standards for Hazardous Air Pollutants (NESHAP) (</w:t>
      </w:r>
      <w:r w:rsidRPr="00011561" w:rsidR="00DC7B0C">
        <w:rPr>
          <w:lang w:val="en"/>
        </w:rPr>
        <w:t>40 CFR Part 61, Subpart M)</w:t>
      </w:r>
      <w:r w:rsidR="00DC7B0C">
        <w:rPr>
          <w:lang w:val="en"/>
        </w:rPr>
        <w:t xml:space="preserve"> at 40 CFR section 61.150</w:t>
      </w:r>
      <w:r w:rsidR="00DC7B0C">
        <w:t xml:space="preserve"> </w:t>
      </w:r>
      <w:r w:rsidR="00DC7B0C">
        <w:rPr>
          <w:lang w:val="en"/>
        </w:rPr>
        <w:t xml:space="preserve">for the </w:t>
      </w:r>
      <w:r w:rsidR="008C09F0">
        <w:rPr>
          <w:lang w:val="en"/>
        </w:rPr>
        <w:t xml:space="preserve">following conditions of use: </w:t>
      </w:r>
      <w:r w:rsidR="00DC7B0C">
        <w:rPr>
          <w:lang w:val="en"/>
        </w:rPr>
        <w:t xml:space="preserve">chrysotile asbestos diaphragm </w:t>
      </w:r>
      <w:r w:rsidR="008C09F0">
        <w:rPr>
          <w:lang w:val="en"/>
        </w:rPr>
        <w:t>for use in chlor alkali facilities;</w:t>
      </w:r>
      <w:r w:rsidR="00DC7B0C">
        <w:rPr>
          <w:lang w:val="en"/>
        </w:rPr>
        <w:t xml:space="preserve"> </w:t>
      </w:r>
      <w:r w:rsidR="00DC7B0C">
        <w:t>oilfield brake blocks</w:t>
      </w:r>
      <w:r w:rsidR="008C09F0">
        <w:t>;</w:t>
      </w:r>
      <w:r w:rsidR="00DC7B0C">
        <w:t xml:space="preserve"> other vehicle friction products</w:t>
      </w:r>
      <w:r w:rsidR="008C09F0">
        <w:t>;</w:t>
      </w:r>
      <w:r w:rsidR="00DC7B0C">
        <w:t xml:space="preserve"> and</w:t>
      </w:r>
      <w:r w:rsidRPr="003D3397" w:rsidR="00DC7B0C">
        <w:t xml:space="preserve"> </w:t>
      </w:r>
      <w:r w:rsidR="00DC7B0C">
        <w:t>any non-consumer use of other gaskets and aftermarket automotive brakes and linings</w:t>
      </w:r>
      <w:r w:rsidR="008C09F0">
        <w:t>.</w:t>
      </w:r>
      <w:r w:rsidR="00DC7B0C">
        <w:rPr>
          <w:lang w:val="en"/>
        </w:rPr>
        <w:t xml:space="preserve"> </w:t>
      </w:r>
      <w:r w:rsidR="00AB088A">
        <w:t xml:space="preserve">The proposed rule also requires each person who disposes of </w:t>
      </w:r>
      <w:r w:rsidR="00D65C91">
        <w:t xml:space="preserve">chrysotile asbestos or any chrysotile asbestos containing </w:t>
      </w:r>
      <w:r w:rsidR="00B02B76">
        <w:t>articles</w:t>
      </w:r>
      <w:r w:rsidR="00643C14">
        <w:t xml:space="preserve"> </w:t>
      </w:r>
      <w:r w:rsidR="00B51CC8">
        <w:t>subject to the</w:t>
      </w:r>
      <w:r w:rsidR="00643C14">
        <w:t xml:space="preserve"> rule to </w:t>
      </w:r>
      <w:r w:rsidR="007F220B">
        <w:t>retain</w:t>
      </w:r>
      <w:r w:rsidR="00ED7306">
        <w:t xml:space="preserve"> at the headquarters of the company, or at the facility for which the records</w:t>
      </w:r>
      <w:r w:rsidR="00705808">
        <w:t xml:space="preserve"> were generated, documentation</w:t>
      </w:r>
      <w:r>
        <w:t xml:space="preserve"> </w:t>
      </w:r>
      <w:r w:rsidR="006319F8">
        <w:t>showing compliance with the</w:t>
      </w:r>
      <w:r w:rsidR="00B51CC8">
        <w:t xml:space="preserve"> disposal </w:t>
      </w:r>
      <w:r w:rsidR="00C02E32">
        <w:t xml:space="preserve">requirements as well as any </w:t>
      </w:r>
      <w:r w:rsidR="00F80943">
        <w:t xml:space="preserve">documentation, </w:t>
      </w:r>
      <w:r w:rsidR="00D52F27">
        <w:t>such as invoices or bills of lading, related to compl</w:t>
      </w:r>
      <w:r w:rsidR="00B80DAF">
        <w:t>iance with</w:t>
      </w:r>
      <w:r w:rsidR="006B22AF">
        <w:t xml:space="preserve"> the </w:t>
      </w:r>
      <w:r w:rsidR="00C02E32">
        <w:t>prohibitions in the rule</w:t>
      </w:r>
      <w:r w:rsidR="006B22AF">
        <w:t xml:space="preserve">. </w:t>
      </w:r>
    </w:p>
    <w:p w:rsidR="00BE120A" w:rsidP="002D10B1" w:rsidRDefault="002D10B1" w14:paraId="21C646DF" w14:textId="5D09E18D">
      <w:pPr>
        <w:pStyle w:val="NoSpacing"/>
        <w:rPr>
          <w:rFonts w:ascii="Arial" w:hAnsi="Arial" w:cs="Arial"/>
          <w:sz w:val="24"/>
          <w:szCs w:val="24"/>
        </w:rPr>
      </w:pPr>
      <w:r w:rsidRPr="002D10B1">
        <w:rPr>
          <w:rFonts w:ascii="Arial" w:hAnsi="Arial" w:cs="Arial"/>
          <w:sz w:val="24"/>
          <w:szCs w:val="24"/>
        </w:rPr>
        <w:t xml:space="preserve">EPA is proposing this rule under section 6(a) of TSCA in response to a finding </w:t>
      </w:r>
      <w:r w:rsidRPr="002D10B1">
        <w:rPr>
          <w:rFonts w:ascii="Arial" w:hAnsi="Arial" w:eastAsia="Arial Unicode MS" w:cs="Arial"/>
          <w:sz w:val="24"/>
          <w:szCs w:val="24"/>
        </w:rPr>
        <w:t xml:space="preserve">that chrysotile asbestos presents an unreasonable risk to human health when used in certain ways. </w:t>
      </w:r>
      <w:r w:rsidRPr="002D10B1">
        <w:rPr>
          <w:rFonts w:ascii="Arial" w:hAnsi="Arial" w:cs="Arial"/>
          <w:sz w:val="24"/>
          <w:szCs w:val="24"/>
        </w:rPr>
        <w:t xml:space="preserve">The portions of the proposed rule that trigger this Information Collection Request (ICR) </w:t>
      </w:r>
      <w:r w:rsidR="004F0098">
        <w:rPr>
          <w:rFonts w:ascii="Arial" w:hAnsi="Arial" w:cs="Arial"/>
          <w:sz w:val="24"/>
          <w:szCs w:val="24"/>
        </w:rPr>
        <w:t>are</w:t>
      </w:r>
      <w:r w:rsidRPr="002D10B1">
        <w:rPr>
          <w:rFonts w:ascii="Arial" w:hAnsi="Arial" w:cs="Arial"/>
          <w:sz w:val="24"/>
          <w:szCs w:val="24"/>
        </w:rPr>
        <w:t xml:space="preserve"> </w:t>
      </w:r>
      <w:r w:rsidR="004F0098">
        <w:rPr>
          <w:rFonts w:ascii="Arial" w:hAnsi="Arial" w:cs="Arial"/>
          <w:sz w:val="24"/>
          <w:szCs w:val="24"/>
        </w:rPr>
        <w:t>the</w:t>
      </w:r>
      <w:r w:rsidRPr="002D10B1">
        <w:rPr>
          <w:rFonts w:ascii="Arial" w:hAnsi="Arial" w:cs="Arial"/>
          <w:sz w:val="24"/>
          <w:szCs w:val="24"/>
        </w:rPr>
        <w:t xml:space="preserve"> recordkeeping requirement.</w:t>
      </w:r>
      <w:r w:rsidRPr="001C7B49">
        <w:rPr>
          <w:rFonts w:ascii="Arial" w:hAnsi="Arial" w:cs="Arial"/>
          <w:sz w:val="24"/>
          <w:szCs w:val="24"/>
        </w:rPr>
        <w:t xml:space="preserve"> </w:t>
      </w:r>
      <w:r w:rsidRPr="001C7B49" w:rsidR="001C7B49">
        <w:rPr>
          <w:rFonts w:ascii="Arial" w:hAnsi="Arial" w:cs="Arial"/>
          <w:sz w:val="24"/>
          <w:szCs w:val="24"/>
        </w:rPr>
        <w:t>The records must be retained for 5 years from the date of generation.</w:t>
      </w:r>
    </w:p>
    <w:p w:rsidR="0015719F" w:rsidP="001A32BE" w:rsidRDefault="0015719F" w14:paraId="2EDF9337" w14:textId="5F1ECE9D">
      <w:pPr>
        <w:pStyle w:val="NoSpacing"/>
        <w:rPr>
          <w:rFonts w:cs="Arial"/>
          <w:szCs w:val="24"/>
        </w:rPr>
      </w:pPr>
    </w:p>
    <w:p w:rsidR="00E97790" w:rsidP="0015719F" w:rsidRDefault="00E97790" w14:paraId="5D03673D" w14:textId="77777777">
      <w:pPr>
        <w:keepNext/>
        <w:keepLines/>
        <w:outlineLvl w:val="2"/>
        <w:rPr>
          <w:rFonts w:eastAsiaTheme="majorEastAsia" w:cstheme="majorBidi"/>
          <w:b/>
          <w:bCs/>
        </w:rPr>
        <w:sectPr w:rsidR="00E97790" w:rsidSect="002059F4">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Pr="001478D6" w:rsidR="0015719F" w:rsidP="0015719F" w:rsidRDefault="0015719F" w14:paraId="73F686FC" w14:textId="2DF64D62">
      <w:pPr>
        <w:keepNext/>
        <w:keepLines/>
        <w:outlineLvl w:val="2"/>
        <w:rPr>
          <w:rFonts w:eastAsiaTheme="majorEastAsia" w:cstheme="majorBidi"/>
          <w:b/>
          <w:bCs/>
        </w:rPr>
      </w:pPr>
      <w:r w:rsidRPr="001478D6">
        <w:rPr>
          <w:rFonts w:eastAsiaTheme="majorEastAsia" w:cstheme="majorBidi"/>
          <w:b/>
          <w:bCs/>
        </w:rPr>
        <w:lastRenderedPageBreak/>
        <w:t>Summary Total Burden and Costs</w:t>
      </w:r>
    </w:p>
    <w:tbl>
      <w:tblPr>
        <w:tblStyle w:val="TableGrid2"/>
        <w:tblW w:w="10075" w:type="dxa"/>
        <w:tblLayout w:type="fixed"/>
        <w:tblLook w:val="04A0" w:firstRow="1" w:lastRow="0" w:firstColumn="1" w:lastColumn="0" w:noHBand="0" w:noVBand="1"/>
      </w:tblPr>
      <w:tblGrid>
        <w:gridCol w:w="1435"/>
        <w:gridCol w:w="1800"/>
        <w:gridCol w:w="1710"/>
        <w:gridCol w:w="1800"/>
        <w:gridCol w:w="1710"/>
        <w:gridCol w:w="1620"/>
      </w:tblGrid>
      <w:tr w:rsidRPr="001478D6" w:rsidR="0015719F" w:rsidTr="0015719F" w14:paraId="12FA158A" w14:textId="77777777">
        <w:tc>
          <w:tcPr>
            <w:tcW w:w="1435" w:type="dxa"/>
          </w:tcPr>
          <w:p w:rsidRPr="00A16D11" w:rsidR="0015719F" w:rsidP="00A16D11" w:rsidRDefault="0015719F" w14:paraId="0AB0DF9B" w14:textId="77777777">
            <w:pPr>
              <w:widowControl/>
              <w:autoSpaceDE/>
              <w:autoSpaceDN/>
              <w:adjustRightInd/>
              <w:spacing w:after="0" w:line="240" w:lineRule="auto"/>
              <w:rPr>
                <w:rFonts w:eastAsia="Times New Roman" w:cs="Arial"/>
                <w:b/>
                <w:bCs/>
                <w:color w:val="000000"/>
                <w:sz w:val="20"/>
                <w:szCs w:val="20"/>
              </w:rPr>
            </w:pPr>
          </w:p>
        </w:tc>
        <w:tc>
          <w:tcPr>
            <w:tcW w:w="1800" w:type="dxa"/>
            <w:shd w:val="clear" w:color="000000" w:fill="BFBFBF"/>
            <w:vAlign w:val="center"/>
          </w:tcPr>
          <w:p w:rsidRPr="00A16D11" w:rsidR="0015719F" w:rsidP="00A16D11" w:rsidRDefault="0015719F" w14:paraId="3E7EE938" w14:textId="77777777">
            <w:pPr>
              <w:widowControl/>
              <w:autoSpaceDE/>
              <w:autoSpaceDN/>
              <w:adjustRightInd/>
              <w:spacing w:after="0" w:line="240" w:lineRule="auto"/>
              <w:jc w:val="center"/>
              <w:rPr>
                <w:rFonts w:eastAsia="Times New Roman" w:cs="Arial"/>
                <w:b/>
                <w:bCs/>
                <w:color w:val="000000"/>
                <w:sz w:val="20"/>
                <w:szCs w:val="20"/>
              </w:rPr>
            </w:pPr>
            <w:r w:rsidRPr="00A16D11">
              <w:rPr>
                <w:rFonts w:eastAsia="Times New Roman" w:cs="Arial"/>
                <w:b/>
                <w:bCs/>
                <w:color w:val="000000"/>
                <w:sz w:val="20"/>
                <w:szCs w:val="20"/>
              </w:rPr>
              <w:t>Number of Respondents</w:t>
            </w:r>
          </w:p>
        </w:tc>
        <w:tc>
          <w:tcPr>
            <w:tcW w:w="1710" w:type="dxa"/>
            <w:shd w:val="clear" w:color="000000" w:fill="BFBFBF"/>
            <w:vAlign w:val="center"/>
          </w:tcPr>
          <w:p w:rsidRPr="00A16D11" w:rsidR="0015719F" w:rsidP="00A16D11" w:rsidRDefault="002A1D3B" w14:paraId="25C5CDC1" w14:textId="519CD445">
            <w:pPr>
              <w:keepNext/>
              <w:keepLines/>
              <w:widowControl/>
              <w:autoSpaceDE/>
              <w:autoSpaceDN/>
              <w:adjustRightInd/>
              <w:spacing w:after="0" w:line="240" w:lineRule="auto"/>
              <w:jc w:val="center"/>
              <w:rPr>
                <w:rFonts w:eastAsia="Times New Roman" w:cs="Arial"/>
                <w:b/>
                <w:bCs/>
                <w:color w:val="000000"/>
                <w:sz w:val="20"/>
                <w:szCs w:val="20"/>
              </w:rPr>
            </w:pPr>
            <w:r w:rsidRPr="00A16D11">
              <w:rPr>
                <w:rFonts w:eastAsia="Times New Roman" w:cs="Arial"/>
                <w:b/>
                <w:bCs/>
                <w:color w:val="000000"/>
                <w:sz w:val="20"/>
                <w:szCs w:val="20"/>
              </w:rPr>
              <w:t xml:space="preserve">Average </w:t>
            </w:r>
            <w:r w:rsidRPr="00A16D11" w:rsidR="0015719F">
              <w:rPr>
                <w:rFonts w:eastAsia="Times New Roman" w:cs="Arial"/>
                <w:b/>
                <w:bCs/>
                <w:color w:val="000000"/>
                <w:sz w:val="20"/>
                <w:szCs w:val="20"/>
              </w:rPr>
              <w:t>Burden per Response (hours)</w:t>
            </w:r>
          </w:p>
        </w:tc>
        <w:tc>
          <w:tcPr>
            <w:tcW w:w="1800" w:type="dxa"/>
            <w:shd w:val="clear" w:color="000000" w:fill="BFBFBF"/>
            <w:vAlign w:val="center"/>
          </w:tcPr>
          <w:p w:rsidRPr="00A16D11" w:rsidR="0015719F" w:rsidP="00A16D11" w:rsidRDefault="0015719F" w14:paraId="307338BC" w14:textId="77777777">
            <w:pPr>
              <w:widowControl/>
              <w:autoSpaceDE/>
              <w:autoSpaceDN/>
              <w:adjustRightInd/>
              <w:spacing w:after="0" w:line="240" w:lineRule="auto"/>
              <w:jc w:val="center"/>
              <w:rPr>
                <w:rFonts w:eastAsia="Times New Roman" w:cs="Arial"/>
                <w:b/>
                <w:bCs/>
                <w:color w:val="000000"/>
                <w:sz w:val="20"/>
                <w:szCs w:val="20"/>
              </w:rPr>
            </w:pPr>
            <w:r w:rsidRPr="00A16D11">
              <w:rPr>
                <w:rFonts w:eastAsia="Times New Roman" w:cs="Arial"/>
                <w:b/>
                <w:bCs/>
                <w:color w:val="000000"/>
                <w:sz w:val="20"/>
                <w:szCs w:val="20"/>
              </w:rPr>
              <w:t>Total Burden (hours)</w:t>
            </w:r>
          </w:p>
        </w:tc>
        <w:tc>
          <w:tcPr>
            <w:tcW w:w="1710" w:type="dxa"/>
            <w:shd w:val="clear" w:color="000000" w:fill="BFBFBF"/>
            <w:vAlign w:val="center"/>
          </w:tcPr>
          <w:p w:rsidRPr="00A16D11" w:rsidR="0015719F" w:rsidP="00A16D11" w:rsidRDefault="0079174C" w14:paraId="4F54530C" w14:textId="4D3A3E61">
            <w:pPr>
              <w:widowControl/>
              <w:autoSpaceDE/>
              <w:autoSpaceDN/>
              <w:adjustRightInd/>
              <w:spacing w:after="0" w:line="240" w:lineRule="auto"/>
              <w:jc w:val="center"/>
              <w:rPr>
                <w:rFonts w:eastAsia="Times New Roman" w:cs="Arial"/>
                <w:b/>
                <w:bCs/>
                <w:color w:val="000000"/>
                <w:sz w:val="20"/>
                <w:szCs w:val="20"/>
              </w:rPr>
            </w:pPr>
            <w:r w:rsidRPr="00A16D11">
              <w:rPr>
                <w:rFonts w:eastAsia="Times New Roman" w:cs="Arial"/>
                <w:b/>
                <w:bCs/>
                <w:color w:val="000000"/>
                <w:sz w:val="20"/>
                <w:szCs w:val="20"/>
              </w:rPr>
              <w:t xml:space="preserve">Average </w:t>
            </w:r>
            <w:r w:rsidRPr="00A16D11" w:rsidR="0015719F">
              <w:rPr>
                <w:rFonts w:eastAsia="Times New Roman" w:cs="Arial"/>
                <w:b/>
                <w:bCs/>
                <w:color w:val="000000"/>
                <w:sz w:val="20"/>
                <w:szCs w:val="20"/>
              </w:rPr>
              <w:t>Cost per Respondent</w:t>
            </w:r>
          </w:p>
        </w:tc>
        <w:tc>
          <w:tcPr>
            <w:tcW w:w="1620" w:type="dxa"/>
            <w:shd w:val="clear" w:color="000000" w:fill="BFBFBF"/>
            <w:vAlign w:val="center"/>
          </w:tcPr>
          <w:p w:rsidRPr="00A16D11" w:rsidR="0015719F" w:rsidP="00A16D11" w:rsidRDefault="0015719F" w14:paraId="7102C986" w14:textId="77777777">
            <w:pPr>
              <w:widowControl/>
              <w:autoSpaceDE/>
              <w:autoSpaceDN/>
              <w:adjustRightInd/>
              <w:spacing w:after="0" w:line="240" w:lineRule="auto"/>
              <w:jc w:val="center"/>
              <w:rPr>
                <w:rFonts w:eastAsia="Times New Roman" w:cs="Arial"/>
                <w:b/>
                <w:bCs/>
                <w:color w:val="000000"/>
                <w:sz w:val="20"/>
                <w:szCs w:val="20"/>
              </w:rPr>
            </w:pPr>
            <w:r w:rsidRPr="00A16D11">
              <w:rPr>
                <w:rFonts w:eastAsia="Times New Roman" w:cs="Arial"/>
                <w:b/>
                <w:bCs/>
                <w:color w:val="000000"/>
                <w:sz w:val="20"/>
                <w:szCs w:val="20"/>
              </w:rPr>
              <w:t>Total Costs</w:t>
            </w:r>
          </w:p>
        </w:tc>
      </w:tr>
      <w:tr w:rsidRPr="001478D6" w:rsidR="00413636" w:rsidTr="00BE120A" w14:paraId="32F89D8F" w14:textId="77777777">
        <w:tc>
          <w:tcPr>
            <w:tcW w:w="1435" w:type="dxa"/>
          </w:tcPr>
          <w:p w:rsidRPr="00A16D11" w:rsidR="00413636" w:rsidP="00A16D11" w:rsidRDefault="00413636" w14:paraId="1F190C5A" w14:textId="77777777">
            <w:pPr>
              <w:widowControl/>
              <w:autoSpaceDE/>
              <w:autoSpaceDN/>
              <w:adjustRightInd/>
              <w:spacing w:after="0" w:line="240" w:lineRule="auto"/>
              <w:rPr>
                <w:rFonts w:eastAsia="Times New Roman" w:asciiTheme="minorBidi" w:hAnsiTheme="minorBidi"/>
                <w:color w:val="000000"/>
                <w:sz w:val="20"/>
                <w:szCs w:val="20"/>
              </w:rPr>
            </w:pPr>
            <w:r w:rsidRPr="00A16D11">
              <w:rPr>
                <w:rFonts w:eastAsia="Times New Roman" w:asciiTheme="minorBidi" w:hAnsiTheme="minorBidi"/>
                <w:color w:val="000000"/>
                <w:sz w:val="20"/>
                <w:szCs w:val="20"/>
              </w:rPr>
              <w:t xml:space="preserve">Agency </w:t>
            </w:r>
          </w:p>
        </w:tc>
        <w:tc>
          <w:tcPr>
            <w:tcW w:w="1800" w:type="dxa"/>
            <w:vAlign w:val="center"/>
          </w:tcPr>
          <w:p w:rsidRPr="00A16D11" w:rsidR="00413636" w:rsidP="00BE120A" w:rsidRDefault="00413636" w14:paraId="1EFB9B89" w14:textId="65316FD7">
            <w:pPr>
              <w:widowControl/>
              <w:autoSpaceDE/>
              <w:autoSpaceDN/>
              <w:adjustRightInd/>
              <w:spacing w:after="0" w:line="240" w:lineRule="auto"/>
              <w:jc w:val="right"/>
              <w:rPr>
                <w:rFonts w:eastAsia="Times New Roman" w:asciiTheme="minorBidi" w:hAnsiTheme="minorBidi"/>
                <w:color w:val="000000"/>
                <w:sz w:val="20"/>
                <w:szCs w:val="20"/>
              </w:rPr>
            </w:pPr>
            <w:r w:rsidRPr="00A16D11">
              <w:rPr>
                <w:rFonts w:eastAsia="Times New Roman" w:asciiTheme="minorBidi" w:hAnsiTheme="minorBidi"/>
                <w:color w:val="000000"/>
                <w:sz w:val="20"/>
                <w:szCs w:val="20"/>
              </w:rPr>
              <w:t>0</w:t>
            </w:r>
          </w:p>
        </w:tc>
        <w:tc>
          <w:tcPr>
            <w:tcW w:w="1710" w:type="dxa"/>
            <w:vAlign w:val="center"/>
          </w:tcPr>
          <w:p w:rsidRPr="00A16D11" w:rsidR="00413636" w:rsidP="00BE120A" w:rsidRDefault="00413636" w14:paraId="358A8B25" w14:textId="72DE7B49">
            <w:pPr>
              <w:widowControl/>
              <w:autoSpaceDE/>
              <w:autoSpaceDN/>
              <w:adjustRightInd/>
              <w:spacing w:after="0" w:line="240" w:lineRule="auto"/>
              <w:jc w:val="right"/>
              <w:rPr>
                <w:rFonts w:eastAsia="Times New Roman" w:asciiTheme="minorBidi" w:hAnsiTheme="minorBidi"/>
                <w:color w:val="000000"/>
                <w:sz w:val="20"/>
                <w:szCs w:val="20"/>
              </w:rPr>
            </w:pPr>
            <w:r w:rsidRPr="00A16D11">
              <w:rPr>
                <w:rFonts w:eastAsia="Times New Roman" w:asciiTheme="minorBidi" w:hAnsiTheme="minorBidi"/>
                <w:color w:val="000000"/>
                <w:sz w:val="20"/>
                <w:szCs w:val="20"/>
              </w:rPr>
              <w:t>0</w:t>
            </w:r>
          </w:p>
        </w:tc>
        <w:tc>
          <w:tcPr>
            <w:tcW w:w="1800" w:type="dxa"/>
            <w:vAlign w:val="center"/>
          </w:tcPr>
          <w:p w:rsidRPr="00A16D11" w:rsidR="00413636" w:rsidP="00BE120A" w:rsidRDefault="00413636" w14:paraId="1F08E302" w14:textId="34466CFE">
            <w:pPr>
              <w:widowControl/>
              <w:autoSpaceDE/>
              <w:autoSpaceDN/>
              <w:adjustRightInd/>
              <w:spacing w:after="0" w:line="240" w:lineRule="auto"/>
              <w:jc w:val="right"/>
              <w:rPr>
                <w:rFonts w:eastAsia="Times New Roman" w:asciiTheme="minorBidi" w:hAnsiTheme="minorBidi"/>
                <w:color w:val="000000"/>
                <w:sz w:val="20"/>
                <w:szCs w:val="20"/>
              </w:rPr>
            </w:pPr>
            <w:r w:rsidRPr="00A16D11">
              <w:rPr>
                <w:rFonts w:eastAsia="Times New Roman" w:asciiTheme="minorBidi" w:hAnsiTheme="minorBidi"/>
                <w:color w:val="000000"/>
                <w:sz w:val="20"/>
                <w:szCs w:val="20"/>
              </w:rPr>
              <w:t>0</w:t>
            </w:r>
          </w:p>
        </w:tc>
        <w:tc>
          <w:tcPr>
            <w:tcW w:w="1710" w:type="dxa"/>
            <w:vAlign w:val="center"/>
          </w:tcPr>
          <w:p w:rsidRPr="00A16D11" w:rsidR="00413636" w:rsidP="00BE120A" w:rsidRDefault="00413636" w14:paraId="32F99207" w14:textId="280B1B71">
            <w:pPr>
              <w:widowControl/>
              <w:autoSpaceDE/>
              <w:autoSpaceDN/>
              <w:adjustRightInd/>
              <w:spacing w:after="0" w:line="240" w:lineRule="auto"/>
              <w:jc w:val="right"/>
              <w:rPr>
                <w:rFonts w:eastAsia="Times New Roman" w:asciiTheme="minorBidi" w:hAnsiTheme="minorBidi"/>
                <w:color w:val="000000"/>
                <w:sz w:val="20"/>
                <w:szCs w:val="20"/>
              </w:rPr>
            </w:pPr>
            <w:r w:rsidRPr="00A16D11">
              <w:rPr>
                <w:rFonts w:eastAsia="Times New Roman" w:asciiTheme="minorBidi" w:hAnsiTheme="minorBidi"/>
                <w:color w:val="000000"/>
                <w:sz w:val="20"/>
                <w:szCs w:val="20"/>
              </w:rPr>
              <w:t>0</w:t>
            </w:r>
          </w:p>
        </w:tc>
        <w:tc>
          <w:tcPr>
            <w:tcW w:w="1620" w:type="dxa"/>
            <w:vAlign w:val="center"/>
          </w:tcPr>
          <w:p w:rsidRPr="00A16D11" w:rsidR="00413636" w:rsidP="00BE120A" w:rsidRDefault="00413636" w14:paraId="2B63E944" w14:textId="2777CD19">
            <w:pPr>
              <w:widowControl/>
              <w:autoSpaceDE/>
              <w:autoSpaceDN/>
              <w:adjustRightInd/>
              <w:spacing w:after="0" w:line="240" w:lineRule="auto"/>
              <w:jc w:val="right"/>
              <w:rPr>
                <w:rFonts w:eastAsia="Times New Roman" w:asciiTheme="minorBidi" w:hAnsiTheme="minorBidi"/>
                <w:color w:val="000000"/>
                <w:sz w:val="20"/>
                <w:szCs w:val="20"/>
              </w:rPr>
            </w:pPr>
            <w:r w:rsidRPr="00A16D11">
              <w:rPr>
                <w:rFonts w:eastAsia="Times New Roman" w:asciiTheme="minorBidi" w:hAnsiTheme="minorBidi"/>
                <w:color w:val="000000"/>
                <w:sz w:val="20"/>
                <w:szCs w:val="20"/>
              </w:rPr>
              <w:t>0</w:t>
            </w:r>
          </w:p>
        </w:tc>
      </w:tr>
      <w:tr w:rsidRPr="001478D6" w:rsidR="00413636" w:rsidTr="00BE120A" w14:paraId="16AF0131" w14:textId="77777777">
        <w:tc>
          <w:tcPr>
            <w:tcW w:w="1435" w:type="dxa"/>
            <w:vAlign w:val="center"/>
          </w:tcPr>
          <w:p w:rsidRPr="00A16D11" w:rsidR="00413636" w:rsidP="00A16D11" w:rsidRDefault="00413636" w14:paraId="06C15836" w14:textId="77777777">
            <w:pPr>
              <w:widowControl/>
              <w:autoSpaceDE/>
              <w:autoSpaceDN/>
              <w:adjustRightInd/>
              <w:spacing w:after="0" w:line="240" w:lineRule="auto"/>
              <w:rPr>
                <w:rFonts w:eastAsia="Times New Roman" w:asciiTheme="minorBidi" w:hAnsiTheme="minorBidi"/>
                <w:color w:val="000000"/>
                <w:sz w:val="20"/>
                <w:szCs w:val="20"/>
              </w:rPr>
            </w:pPr>
            <w:r w:rsidRPr="00A16D11">
              <w:rPr>
                <w:rFonts w:eastAsia="Times New Roman" w:asciiTheme="minorBidi" w:hAnsiTheme="minorBidi"/>
                <w:color w:val="000000"/>
                <w:sz w:val="20"/>
                <w:szCs w:val="20"/>
              </w:rPr>
              <w:t>Respondents</w:t>
            </w:r>
          </w:p>
        </w:tc>
        <w:tc>
          <w:tcPr>
            <w:tcW w:w="1800" w:type="dxa"/>
            <w:vAlign w:val="center"/>
          </w:tcPr>
          <w:p w:rsidRPr="00A16D11" w:rsidR="00413636" w:rsidP="00BE120A" w:rsidRDefault="004B02D4" w14:paraId="4261BA40" w14:textId="655F6B81">
            <w:pPr>
              <w:widowControl/>
              <w:autoSpaceDE/>
              <w:autoSpaceDN/>
              <w:adjustRightInd/>
              <w:spacing w:after="0" w:line="240" w:lineRule="auto"/>
              <w:jc w:val="right"/>
              <w:rPr>
                <w:rFonts w:eastAsia="Times New Roman" w:asciiTheme="minorBidi" w:hAnsiTheme="minorBidi"/>
                <w:color w:val="000000"/>
                <w:sz w:val="20"/>
                <w:szCs w:val="20"/>
              </w:rPr>
            </w:pPr>
            <w:r>
              <w:rPr>
                <w:rFonts w:eastAsia="Times New Roman" w:asciiTheme="minorBidi" w:hAnsiTheme="minorBidi"/>
                <w:color w:val="000000"/>
                <w:sz w:val="20"/>
                <w:szCs w:val="20"/>
              </w:rPr>
              <w:t>16</w:t>
            </w:r>
          </w:p>
        </w:tc>
        <w:tc>
          <w:tcPr>
            <w:tcW w:w="1710" w:type="dxa"/>
            <w:vAlign w:val="center"/>
          </w:tcPr>
          <w:p w:rsidRPr="00A16D11" w:rsidR="00413636" w:rsidP="00BE120A" w:rsidRDefault="00EA4B59" w14:paraId="5412A39E" w14:textId="206A8C74">
            <w:pPr>
              <w:widowControl/>
              <w:autoSpaceDE/>
              <w:autoSpaceDN/>
              <w:adjustRightInd/>
              <w:spacing w:after="0" w:line="240" w:lineRule="auto"/>
              <w:jc w:val="right"/>
              <w:rPr>
                <w:rFonts w:eastAsia="Times New Roman" w:asciiTheme="minorBidi" w:hAnsiTheme="minorBidi"/>
                <w:color w:val="000000"/>
                <w:sz w:val="20"/>
                <w:szCs w:val="20"/>
              </w:rPr>
            </w:pPr>
            <w:r>
              <w:rPr>
                <w:rFonts w:eastAsia="Times New Roman" w:asciiTheme="minorBidi" w:hAnsiTheme="minorBidi"/>
                <w:color w:val="000000"/>
                <w:sz w:val="20"/>
                <w:szCs w:val="20"/>
              </w:rPr>
              <w:t>1.</w:t>
            </w:r>
            <w:r w:rsidR="00DB1714">
              <w:rPr>
                <w:rFonts w:eastAsia="Times New Roman" w:asciiTheme="minorBidi" w:hAnsiTheme="minorBidi"/>
                <w:color w:val="000000"/>
                <w:sz w:val="20"/>
                <w:szCs w:val="20"/>
              </w:rPr>
              <w:t>9</w:t>
            </w:r>
          </w:p>
        </w:tc>
        <w:tc>
          <w:tcPr>
            <w:tcW w:w="1800" w:type="dxa"/>
            <w:vAlign w:val="center"/>
          </w:tcPr>
          <w:p w:rsidRPr="00A16D11" w:rsidR="00413636" w:rsidP="00BE120A" w:rsidRDefault="00EA4B59" w14:paraId="487FF7C0" w14:textId="329B1030">
            <w:pPr>
              <w:pStyle w:val="NoSpacing"/>
              <w:widowControl/>
              <w:autoSpaceDE/>
              <w:autoSpaceDN/>
              <w:adjustRightInd/>
              <w:jc w:val="right"/>
              <w:rPr>
                <w:rFonts w:eastAsia="Times New Roman" w:asciiTheme="minorBidi" w:hAnsiTheme="minorBidi"/>
                <w:color w:val="000000"/>
                <w:sz w:val="20"/>
                <w:szCs w:val="20"/>
              </w:rPr>
            </w:pPr>
            <w:r>
              <w:rPr>
                <w:rFonts w:eastAsia="Times New Roman" w:asciiTheme="minorBidi" w:hAnsiTheme="minorBidi"/>
                <w:color w:val="000000"/>
                <w:sz w:val="20"/>
                <w:szCs w:val="20"/>
              </w:rPr>
              <w:t>29</w:t>
            </w:r>
          </w:p>
        </w:tc>
        <w:tc>
          <w:tcPr>
            <w:tcW w:w="1710" w:type="dxa"/>
            <w:vAlign w:val="center"/>
          </w:tcPr>
          <w:p w:rsidRPr="00A16D11" w:rsidR="00413636" w:rsidP="00BE120A" w:rsidRDefault="00413636" w14:paraId="55CA035D" w14:textId="01C8D74F">
            <w:pPr>
              <w:widowControl/>
              <w:autoSpaceDE/>
              <w:autoSpaceDN/>
              <w:adjustRightInd/>
              <w:spacing w:after="0" w:line="240" w:lineRule="auto"/>
              <w:jc w:val="right"/>
              <w:rPr>
                <w:rFonts w:eastAsia="Times New Roman" w:asciiTheme="minorBidi" w:hAnsiTheme="minorBidi"/>
                <w:color w:val="000000"/>
                <w:sz w:val="20"/>
                <w:szCs w:val="20"/>
              </w:rPr>
            </w:pPr>
            <w:r w:rsidRPr="00A16D11">
              <w:rPr>
                <w:rFonts w:eastAsia="Times New Roman" w:asciiTheme="minorBidi" w:hAnsiTheme="minorBidi"/>
                <w:color w:val="000000"/>
                <w:sz w:val="20"/>
                <w:szCs w:val="20"/>
              </w:rPr>
              <w:t>$</w:t>
            </w:r>
            <w:r w:rsidR="00EA4B59">
              <w:rPr>
                <w:rFonts w:eastAsia="Times New Roman" w:asciiTheme="minorBidi" w:hAnsiTheme="minorBidi"/>
                <w:color w:val="000000"/>
                <w:sz w:val="20"/>
                <w:szCs w:val="20"/>
              </w:rPr>
              <w:t>7</w:t>
            </w:r>
            <w:r w:rsidR="0056209B">
              <w:rPr>
                <w:rFonts w:eastAsia="Times New Roman" w:asciiTheme="minorBidi" w:hAnsiTheme="minorBidi"/>
                <w:color w:val="000000"/>
                <w:sz w:val="20"/>
                <w:szCs w:val="20"/>
              </w:rPr>
              <w:t>4</w:t>
            </w:r>
          </w:p>
        </w:tc>
        <w:tc>
          <w:tcPr>
            <w:tcW w:w="1620" w:type="dxa"/>
            <w:vAlign w:val="center"/>
          </w:tcPr>
          <w:p w:rsidRPr="00A16D11" w:rsidR="00413636" w:rsidP="00BE120A" w:rsidRDefault="00413636" w14:paraId="2AABAA3F" w14:textId="2ED1366B">
            <w:pPr>
              <w:widowControl/>
              <w:autoSpaceDE/>
              <w:autoSpaceDN/>
              <w:adjustRightInd/>
              <w:spacing w:after="0" w:line="240" w:lineRule="auto"/>
              <w:jc w:val="right"/>
              <w:rPr>
                <w:rFonts w:eastAsia="Times New Roman" w:asciiTheme="minorBidi" w:hAnsiTheme="minorBidi"/>
                <w:color w:val="000000"/>
                <w:sz w:val="20"/>
                <w:szCs w:val="20"/>
              </w:rPr>
            </w:pPr>
            <w:r w:rsidRPr="00A16D11">
              <w:rPr>
                <w:rFonts w:eastAsia="Times New Roman" w:asciiTheme="minorBidi" w:hAnsiTheme="minorBidi"/>
                <w:color w:val="000000"/>
                <w:sz w:val="20"/>
                <w:szCs w:val="20"/>
              </w:rPr>
              <w:t>$</w:t>
            </w:r>
            <w:r w:rsidR="00EA4B59">
              <w:rPr>
                <w:rFonts w:eastAsia="Times New Roman" w:asciiTheme="minorBidi" w:hAnsiTheme="minorBidi"/>
                <w:color w:val="000000"/>
                <w:sz w:val="20"/>
                <w:szCs w:val="20"/>
              </w:rPr>
              <w:t>1,166</w:t>
            </w:r>
          </w:p>
        </w:tc>
      </w:tr>
    </w:tbl>
    <w:p w:rsidRPr="002D10B1" w:rsidR="002D10B1" w:rsidP="002D10B1" w:rsidRDefault="002D10B1" w14:paraId="64211135" w14:textId="52FB53C8">
      <w:pPr>
        <w:pStyle w:val="NoSpacing"/>
        <w:rPr>
          <w:rFonts w:ascii="Arial" w:hAnsi="Arial" w:cs="Arial"/>
        </w:rPr>
      </w:pPr>
    </w:p>
    <w:p w:rsidR="004C3291" w:rsidP="002059F4" w:rsidRDefault="004C3291" w14:paraId="0858CD1D" w14:textId="0ECA0F01">
      <w:pPr>
        <w:pStyle w:val="Heading3"/>
        <w:numPr>
          <w:ilvl w:val="0"/>
          <w:numId w:val="0"/>
        </w:numPr>
      </w:pPr>
      <w:r>
        <w:t xml:space="preserve">Summary </w:t>
      </w:r>
    </w:p>
    <w:p w:rsidR="004C3291" w:rsidP="004C3291" w:rsidRDefault="004C3291" w14:paraId="5348E67D" w14:textId="077DA0F3">
      <w:r w:rsidRPr="00207C1F">
        <w:t xml:space="preserve">The Environmental Protection Agency (EPA) is proposing a rule under section 6 of the Toxic Substances Control Act (TSCA) to address unreasonable risk of injury to health it has identified for </w:t>
      </w:r>
      <w:r w:rsidR="00160FD4">
        <w:t xml:space="preserve">certain </w:t>
      </w:r>
      <w:r w:rsidRPr="00207C1F">
        <w:t>uses of chrysotile asbestos</w:t>
      </w:r>
      <w:r>
        <w:t xml:space="preserve"> following completion of the Risk Evaluation for Asbestos, Part 1: Chrysotile Asbestos</w:t>
      </w:r>
      <w:r w:rsidRPr="00207C1F">
        <w:t xml:space="preserve">. While chrysotile asbestos is used primarily in the chlor-alkali industry, EPA is also addressing </w:t>
      </w:r>
      <w:r w:rsidRPr="00207C1F" w:rsidDel="00986949">
        <w:t>other</w:t>
      </w:r>
      <w:r w:rsidRPr="00207C1F">
        <w:t xml:space="preserve"> identified categories of use. EPA has determined that chrysotile asbestos presents an unreasonable risks of injury to health for the following conditions of use: processing and industrial use of chrysotile asbestos diaphragms in the chlor-alkali industry; processing and industrial use of chrysotile asbestos-containing sheet gaskets in chemical production; industrial use and disposal of chrysotile asbestos-containing brake blocks in</w:t>
      </w:r>
      <w:r w:rsidR="00CB0CF3">
        <w:t xml:space="preserve"> the</w:t>
      </w:r>
      <w:r w:rsidRPr="00207C1F">
        <w:t xml:space="preserve"> oil industry; commercial use, consumer use, and disposal of aftermarket automotive chrysotile asbestos-containing brakes/linings; commercial use and disposal of other chrysotile asbestos-containing vehicle friction products</w:t>
      </w:r>
      <w:r w:rsidR="00A10E05">
        <w:t xml:space="preserve">, </w:t>
      </w:r>
      <w:r w:rsidR="00D04A2D">
        <w:t>excluding for use on the NASA Super Guppy</w:t>
      </w:r>
      <w:r w:rsidRPr="00207C1F">
        <w:t xml:space="preserve">; commercial use, consumer use, and disposal of other asbestos-containing gaskets. To address these unreasonable risks, EPA is proposing under TSCA </w:t>
      </w:r>
      <w:r w:rsidRPr="00207C1F">
        <w:rPr>
          <w:rFonts w:eastAsia="Arial Unicode MS"/>
        </w:rPr>
        <w:t xml:space="preserve">section </w:t>
      </w:r>
      <w:r w:rsidRPr="00207C1F">
        <w:t xml:space="preserve">6 to prohibit manufacture (import), processing, distribution-in-commerce and </w:t>
      </w:r>
      <w:r w:rsidR="008C09F0">
        <w:t xml:space="preserve">commercial </w:t>
      </w:r>
      <w:r w:rsidRPr="00207C1F">
        <w:t>use of chrysotile asbestos, including products or articles containing chrysotile asbestos, pursuant to TSCA section 6(d)(1). EPA is also proposing disposal and recordkeeping requirements for these conditions of use.</w:t>
      </w:r>
    </w:p>
    <w:p w:rsidRPr="005753C8" w:rsidR="006D35C6" w:rsidP="006D35C6" w:rsidRDefault="006D35C6" w14:paraId="7A2E2AEB" w14:textId="77777777">
      <w:pPr>
        <w:rPr>
          <w:lang w:bidi="en-US"/>
        </w:rPr>
      </w:pPr>
      <w:r w:rsidRPr="005753C8">
        <w:rPr>
          <w:i/>
        </w:rPr>
        <w:t>Legal authority:</w:t>
      </w:r>
      <w:r w:rsidRPr="005753C8">
        <w:t xml:space="preserve"> The Toxic Substances Control Act (TSCA), 15 U.S.C. </w:t>
      </w:r>
      <w:r w:rsidRPr="005753C8">
        <w:rPr>
          <w:rFonts w:cs="Arial"/>
        </w:rPr>
        <w:t xml:space="preserve">§ </w:t>
      </w:r>
      <w:r w:rsidRPr="005753C8">
        <w:t>2605(a)</w:t>
      </w:r>
      <w:r w:rsidRPr="005753C8">
        <w:rPr>
          <w:rStyle w:val="Hyperlink"/>
        </w:rPr>
        <w:t>.</w:t>
      </w:r>
    </w:p>
    <w:p w:rsidRPr="005753C8" w:rsidR="006D35C6" w:rsidP="006D35C6" w:rsidRDefault="006D35C6" w14:paraId="4E4C530D" w14:textId="7A2B0B39">
      <w:pPr>
        <w:rPr>
          <w:rFonts w:eastAsia="Times New Roman" w:cs="Arial"/>
          <w:szCs w:val="24"/>
        </w:rPr>
      </w:pPr>
      <w:r w:rsidRPr="005753C8">
        <w:rPr>
          <w:rFonts w:eastAsia="Times New Roman" w:cs="Arial"/>
          <w:i/>
          <w:iCs/>
          <w:szCs w:val="24"/>
        </w:rPr>
        <w:t>Respondents/affected entities</w:t>
      </w:r>
      <w:r w:rsidRPr="005753C8">
        <w:rPr>
          <w:rFonts w:eastAsia="Times New Roman" w:cs="Arial"/>
          <w:szCs w:val="24"/>
        </w:rPr>
        <w:t xml:space="preserve">: Entities potentially affected by this ICR </w:t>
      </w:r>
      <w:r w:rsidRPr="005753C8">
        <w:t xml:space="preserve">include </w:t>
      </w:r>
      <w:r w:rsidRPr="005753C8">
        <w:rPr>
          <w:bCs/>
        </w:rPr>
        <w:t xml:space="preserve">persons that manufacture, process, or distributes in commerce </w:t>
      </w:r>
      <w:r w:rsidR="002D10B1">
        <w:rPr>
          <w:bCs/>
        </w:rPr>
        <w:t>chrysotile asbestos or products or articles containing chrysotile asbestos</w:t>
      </w:r>
      <w:r w:rsidRPr="005753C8">
        <w:rPr>
          <w:lang w:bidi="en-US"/>
        </w:rPr>
        <w:t>.</w:t>
      </w:r>
    </w:p>
    <w:p w:rsidRPr="006D35C6" w:rsidR="006D35C6" w:rsidP="006D35C6" w:rsidRDefault="006D35C6" w14:paraId="60D3BA6F" w14:textId="5DFC0500">
      <w:pPr>
        <w:spacing w:after="240" w:line="240" w:lineRule="auto"/>
        <w:rPr>
          <w:rFonts w:eastAsia="Times New Roman" w:cs="Arial"/>
          <w:bCs/>
          <w:szCs w:val="24"/>
        </w:rPr>
      </w:pPr>
      <w:r w:rsidRPr="006D35C6">
        <w:rPr>
          <w:rFonts w:eastAsia="Times New Roman" w:cs="Arial"/>
          <w:i/>
          <w:szCs w:val="24"/>
        </w:rPr>
        <w:t>Respondent’s obligation to respond</w:t>
      </w:r>
      <w:r w:rsidRPr="006D35C6">
        <w:rPr>
          <w:rFonts w:eastAsia="Times New Roman" w:cs="Arial"/>
          <w:szCs w:val="24"/>
        </w:rPr>
        <w:t xml:space="preserve">: </w:t>
      </w:r>
      <w:r w:rsidRPr="006D35C6">
        <w:rPr>
          <w:rFonts w:cs="Arial"/>
          <w:bCs/>
          <w:szCs w:val="24"/>
        </w:rPr>
        <w:t>Respondents are not obligated to respond or report to EPA.</w:t>
      </w:r>
    </w:p>
    <w:p w:rsidRPr="006D35C6" w:rsidR="006D35C6" w:rsidP="006D35C6" w:rsidRDefault="006D35C6" w14:paraId="35A4144F" w14:textId="0268A447">
      <w:pPr>
        <w:spacing w:after="240" w:line="240" w:lineRule="auto"/>
        <w:rPr>
          <w:rFonts w:eastAsia="Times New Roman" w:cs="Arial"/>
          <w:szCs w:val="24"/>
        </w:rPr>
      </w:pPr>
      <w:r w:rsidRPr="006D35C6">
        <w:rPr>
          <w:rFonts w:eastAsia="Times New Roman" w:cs="Arial"/>
          <w:bCs/>
          <w:i/>
          <w:szCs w:val="24"/>
        </w:rPr>
        <w:t>Confidentiality of responses:</w:t>
      </w:r>
      <w:r w:rsidRPr="006D35C6">
        <w:rPr>
          <w:rFonts w:eastAsia="Times New Roman" w:cs="Arial"/>
          <w:bCs/>
          <w:szCs w:val="24"/>
        </w:rPr>
        <w:t xml:space="preserve"> </w:t>
      </w:r>
      <w:r w:rsidRPr="006D35C6">
        <w:rPr>
          <w:rFonts w:cs="Arial"/>
          <w:bCs/>
          <w:color w:val="000000" w:themeColor="text1"/>
          <w:szCs w:val="24"/>
        </w:rPr>
        <w:t xml:space="preserve">Not applicable. </w:t>
      </w:r>
      <w:r w:rsidRPr="006D35C6">
        <w:rPr>
          <w:rFonts w:eastAsia="Times New Roman" w:cs="Arial"/>
          <w:szCs w:val="24"/>
          <w:lang w:val="en-CA"/>
        </w:rPr>
        <w:fldChar w:fldCharType="begin"/>
      </w:r>
      <w:r w:rsidRPr="006D35C6">
        <w:rPr>
          <w:rFonts w:eastAsia="Times New Roman" w:cs="Arial"/>
          <w:szCs w:val="24"/>
          <w:lang w:val="en-CA"/>
        </w:rPr>
        <w:instrText xml:space="preserve"> SEQ CHAPTER \h \r 1</w:instrText>
      </w:r>
      <w:r w:rsidRPr="006D35C6">
        <w:rPr>
          <w:rFonts w:eastAsia="Times New Roman" w:cs="Arial"/>
          <w:szCs w:val="24"/>
          <w:lang w:val="en-CA"/>
        </w:rPr>
        <w:fldChar w:fldCharType="end"/>
      </w:r>
      <w:r w:rsidRPr="006D35C6">
        <w:rPr>
          <w:rFonts w:eastAsia="Times New Roman" w:cs="Arial"/>
          <w:szCs w:val="24"/>
          <w:lang w:val="en-CA"/>
        </w:rPr>
        <w:fldChar w:fldCharType="begin"/>
      </w:r>
      <w:r w:rsidRPr="006D35C6">
        <w:rPr>
          <w:rFonts w:eastAsia="Times New Roman" w:cs="Arial"/>
          <w:szCs w:val="24"/>
          <w:lang w:val="en-CA"/>
        </w:rPr>
        <w:instrText xml:space="preserve"> SEQ CHAPTER \h \r 1</w:instrText>
      </w:r>
      <w:r w:rsidRPr="006D35C6">
        <w:rPr>
          <w:rFonts w:eastAsia="Times New Roman" w:cs="Arial"/>
          <w:szCs w:val="24"/>
          <w:lang w:val="en-CA"/>
        </w:rPr>
        <w:fldChar w:fldCharType="end"/>
      </w:r>
    </w:p>
    <w:p w:rsidRPr="004C3291" w:rsidR="006D35C6" w:rsidP="004C3291" w:rsidRDefault="006D35C6" w14:paraId="7F6FAC33" w14:textId="77777777"/>
    <w:p w:rsidR="00E85861" w:rsidRDefault="00E85861" w14:paraId="60D469A9" w14:textId="77777777">
      <w:pPr>
        <w:spacing w:after="160" w:line="259" w:lineRule="auto"/>
        <w:rPr>
          <w:rFonts w:cs="Times New Roman"/>
          <w:b/>
          <w:bCs/>
          <w:szCs w:val="24"/>
        </w:rPr>
      </w:pPr>
      <w:r>
        <w:br w:type="page"/>
      </w:r>
    </w:p>
    <w:p w:rsidR="007A01E7" w:rsidP="002059F4" w:rsidRDefault="007A01E7" w14:paraId="61F105B4" w14:textId="6690ECAC">
      <w:pPr>
        <w:pStyle w:val="Heading3"/>
        <w:numPr>
          <w:ilvl w:val="0"/>
          <w:numId w:val="0"/>
        </w:numPr>
      </w:pPr>
      <w:r>
        <w:lastRenderedPageBreak/>
        <w:t>Total Burden and Costs</w:t>
      </w:r>
    </w:p>
    <w:p w:rsidRPr="006D35C6" w:rsidR="006D35C6" w:rsidP="006D35C6" w:rsidRDefault="006D35C6" w14:paraId="1A73294B" w14:textId="3E0EC667">
      <w:pPr>
        <w:spacing w:after="240" w:line="240" w:lineRule="auto"/>
        <w:rPr>
          <w:rFonts w:eastAsia="Times New Roman" w:cs="Arial"/>
          <w:szCs w:val="24"/>
        </w:rPr>
      </w:pPr>
      <w:r w:rsidRPr="006D35C6">
        <w:rPr>
          <w:rFonts w:eastAsia="Times New Roman" w:cs="Arial"/>
          <w:i/>
          <w:iCs/>
          <w:szCs w:val="24"/>
        </w:rPr>
        <w:t>Estimated total number of potential respondents</w:t>
      </w:r>
      <w:r w:rsidRPr="006D35C6">
        <w:rPr>
          <w:rFonts w:eastAsia="Times New Roman" w:cs="Arial"/>
          <w:szCs w:val="24"/>
        </w:rPr>
        <w:t>:</w:t>
      </w:r>
      <w:r w:rsidRPr="006D35C6">
        <w:rPr>
          <w:rFonts w:eastAsia="Times New Roman" w:cs="Arial"/>
          <w:color w:val="000000" w:themeColor="text1"/>
          <w:szCs w:val="24"/>
        </w:rPr>
        <w:t xml:space="preserve"> </w:t>
      </w:r>
      <w:r w:rsidR="00EC07ED">
        <w:rPr>
          <w:rFonts w:eastAsia="Times New Roman" w:cs="Arial"/>
          <w:color w:val="000000" w:themeColor="text1"/>
          <w:szCs w:val="24"/>
        </w:rPr>
        <w:t>1</w:t>
      </w:r>
      <w:r w:rsidR="00B119D2">
        <w:rPr>
          <w:rFonts w:eastAsia="Times New Roman" w:cs="Arial"/>
          <w:color w:val="000000" w:themeColor="text1"/>
          <w:szCs w:val="24"/>
        </w:rPr>
        <w:t>6</w:t>
      </w:r>
    </w:p>
    <w:p w:rsidRPr="006D35C6" w:rsidR="006D35C6" w:rsidP="006D35C6" w:rsidRDefault="006D35C6" w14:paraId="4F03E2FC" w14:textId="57DE3C20">
      <w:pPr>
        <w:spacing w:after="240" w:line="240" w:lineRule="auto"/>
        <w:rPr>
          <w:rFonts w:eastAsia="Times New Roman" w:cs="Arial"/>
          <w:szCs w:val="24"/>
        </w:rPr>
      </w:pPr>
      <w:r w:rsidRPr="006D35C6">
        <w:rPr>
          <w:rFonts w:eastAsia="Times New Roman" w:cs="Arial"/>
          <w:i/>
          <w:iCs/>
          <w:szCs w:val="24"/>
        </w:rPr>
        <w:t>Frequency of response</w:t>
      </w:r>
      <w:r w:rsidRPr="006D35C6">
        <w:rPr>
          <w:rFonts w:eastAsia="Times New Roman" w:cs="Arial"/>
          <w:szCs w:val="24"/>
        </w:rPr>
        <w:t xml:space="preserve">: </w:t>
      </w:r>
      <w:r w:rsidR="00031D59">
        <w:rPr>
          <w:rFonts w:eastAsia="Times New Roman" w:cs="Arial"/>
          <w:szCs w:val="24"/>
        </w:rPr>
        <w:t>Once per year for recordkeeping for disposal activities (16 respondents</w:t>
      </w:r>
      <w:r w:rsidR="002E6D41">
        <w:rPr>
          <w:rFonts w:eastAsia="Times New Roman" w:cs="Arial"/>
          <w:szCs w:val="24"/>
        </w:rPr>
        <w:t xml:space="preserve"> as estimated in the economic analysis</w:t>
      </w:r>
      <w:r w:rsidR="00031D59">
        <w:rPr>
          <w:rFonts w:eastAsia="Times New Roman" w:cs="Arial"/>
          <w:szCs w:val="24"/>
        </w:rPr>
        <w:t>)</w:t>
      </w:r>
      <w:r w:rsidR="002E6D41">
        <w:rPr>
          <w:rFonts w:eastAsia="Times New Roman" w:cs="Arial"/>
          <w:szCs w:val="24"/>
        </w:rPr>
        <w:t>.</w:t>
      </w:r>
    </w:p>
    <w:p w:rsidRPr="006D35C6" w:rsidR="006D35C6" w:rsidP="006D35C6" w:rsidRDefault="006D35C6" w14:paraId="6327B4FD" w14:textId="66388C96">
      <w:pPr>
        <w:pStyle w:val="NoSpacing"/>
        <w:spacing w:after="240"/>
        <w:rPr>
          <w:rFonts w:ascii="Arial" w:hAnsi="Arial" w:eastAsia="Times New Roman" w:cs="Arial"/>
          <w:sz w:val="24"/>
          <w:szCs w:val="24"/>
        </w:rPr>
      </w:pPr>
      <w:r w:rsidRPr="006D35C6">
        <w:rPr>
          <w:rFonts w:ascii="Arial" w:hAnsi="Arial" w:eastAsia="Times New Roman" w:cs="Arial"/>
          <w:i/>
          <w:iCs/>
          <w:sz w:val="24"/>
          <w:szCs w:val="24"/>
        </w:rPr>
        <w:t>Estimated total annual burden</w:t>
      </w:r>
      <w:r w:rsidRPr="006D35C6">
        <w:rPr>
          <w:rFonts w:ascii="Arial" w:hAnsi="Arial" w:eastAsia="Times New Roman" w:cs="Arial"/>
          <w:sz w:val="24"/>
          <w:szCs w:val="24"/>
        </w:rPr>
        <w:t>:</w:t>
      </w:r>
      <w:r w:rsidRPr="006D35C6">
        <w:rPr>
          <w:rFonts w:ascii="Arial" w:hAnsi="Arial" w:eastAsia="Times New Roman" w:cs="Arial"/>
          <w:color w:val="000000" w:themeColor="text1"/>
          <w:sz w:val="24"/>
          <w:szCs w:val="24"/>
        </w:rPr>
        <w:t xml:space="preserve"> </w:t>
      </w:r>
      <w:r w:rsidR="00791605">
        <w:rPr>
          <w:rFonts w:ascii="Arial" w:hAnsi="Arial" w:cs="Arial"/>
          <w:bCs/>
          <w:color w:val="000000" w:themeColor="text1"/>
          <w:sz w:val="24"/>
          <w:szCs w:val="24"/>
        </w:rPr>
        <w:t>29</w:t>
      </w:r>
      <w:r w:rsidRPr="006D35C6" w:rsidR="00791605">
        <w:rPr>
          <w:rFonts w:ascii="Arial" w:hAnsi="Arial" w:cs="Arial"/>
          <w:bCs/>
          <w:color w:val="000000" w:themeColor="text1"/>
          <w:sz w:val="24"/>
          <w:szCs w:val="24"/>
        </w:rPr>
        <w:t xml:space="preserve"> </w:t>
      </w:r>
      <w:r w:rsidRPr="006D35C6">
        <w:rPr>
          <w:rFonts w:ascii="Arial" w:hAnsi="Arial" w:eastAsia="Times New Roman" w:cs="Arial"/>
          <w:sz w:val="24"/>
          <w:szCs w:val="24"/>
        </w:rPr>
        <w:t>hours. Burden is defined at 5 CFR 1320.3(b).</w:t>
      </w:r>
    </w:p>
    <w:p w:rsidRPr="005753C8" w:rsidR="006D35C6" w:rsidP="006D35C6" w:rsidRDefault="006D35C6" w14:paraId="055726C7" w14:textId="22763D12">
      <w:pPr>
        <w:spacing w:after="240" w:line="240" w:lineRule="auto"/>
      </w:pPr>
      <w:r w:rsidRPr="006D35C6">
        <w:rPr>
          <w:rFonts w:eastAsia="Times New Roman" w:cs="Arial"/>
          <w:i/>
          <w:iCs/>
          <w:szCs w:val="24"/>
        </w:rPr>
        <w:t>Estimated total annual costs</w:t>
      </w:r>
      <w:r w:rsidRPr="006D35C6">
        <w:rPr>
          <w:rFonts w:eastAsia="Times New Roman" w:cs="Arial"/>
          <w:szCs w:val="24"/>
        </w:rPr>
        <w:t xml:space="preserve">: </w:t>
      </w:r>
      <w:r w:rsidRPr="006D35C6">
        <w:rPr>
          <w:rFonts w:eastAsia="Times New Roman" w:cs="Arial"/>
          <w:color w:val="000000" w:themeColor="text1"/>
          <w:szCs w:val="24"/>
        </w:rPr>
        <w:t>$</w:t>
      </w:r>
      <w:r w:rsidRPr="000D541F" w:rsidR="000D541F">
        <w:rPr>
          <w:rFonts w:eastAsia="Times New Roman" w:cs="Arial"/>
          <w:color w:val="000000" w:themeColor="text1"/>
          <w:szCs w:val="24"/>
        </w:rPr>
        <w:t>1,</w:t>
      </w:r>
      <w:r w:rsidR="00791605">
        <w:rPr>
          <w:rFonts w:eastAsia="Times New Roman" w:cs="Arial"/>
          <w:color w:val="000000" w:themeColor="text1"/>
          <w:szCs w:val="24"/>
        </w:rPr>
        <w:t>166</w:t>
      </w:r>
    </w:p>
    <w:p w:rsidRPr="005753C8" w:rsidR="006D35C6" w:rsidP="006D35C6" w:rsidRDefault="006D35C6" w14:paraId="7B77641A" w14:textId="77777777">
      <w:pPr>
        <w:spacing w:after="240" w:line="240" w:lineRule="auto"/>
      </w:pPr>
      <w:r w:rsidRPr="005753C8">
        <w:rPr>
          <w:rFonts w:eastAsia="Times New Roman" w:cs="Arial"/>
          <w:i/>
          <w:szCs w:val="24"/>
        </w:rPr>
        <w:t>Changes in the estimates</w:t>
      </w:r>
      <w:r w:rsidRPr="005753C8">
        <w:rPr>
          <w:rFonts w:eastAsia="Times New Roman" w:cs="Arial"/>
          <w:szCs w:val="24"/>
        </w:rPr>
        <w:t xml:space="preserve">: </w:t>
      </w:r>
      <w:r w:rsidRPr="005753C8">
        <w:rPr>
          <w:bCs/>
          <w:color w:val="000000" w:themeColor="text1"/>
        </w:rPr>
        <w:t>Not applicable. This is a request for a new OMB Control Number.</w:t>
      </w:r>
    </w:p>
    <w:p w:rsidRPr="00A640A9" w:rsidR="00B262D4" w:rsidP="002059F4" w:rsidRDefault="003041B0" w14:paraId="526A56DE" w14:textId="26ABA31A">
      <w:pPr>
        <w:pStyle w:val="Heading1"/>
      </w:pPr>
      <w:r w:rsidRPr="00A640A9">
        <w:t>Supporting Statement</w:t>
      </w:r>
    </w:p>
    <w:p w:rsidR="00897D7E" w:rsidP="002059F4" w:rsidRDefault="00B1352E" w14:paraId="163FE936" w14:textId="320A7C2A">
      <w:pPr>
        <w:pStyle w:val="Heading2"/>
        <w:ind w:left="360"/>
      </w:pPr>
      <w:bookmarkStart w:name="_Toc49148160" w:id="3"/>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753C8" w:rsidR="006D35C6" w:rsidP="006D35C6" w:rsidRDefault="006D35C6" w14:paraId="53280AD1" w14:textId="77777777">
      <w:pPr>
        <w:pStyle w:val="NormalWeb"/>
        <w:rPr>
          <w:rFonts w:ascii="Arial" w:hAnsi="Arial" w:cs="Arial"/>
          <w:lang w:val="en"/>
        </w:rPr>
      </w:pPr>
      <w:r w:rsidRPr="005753C8">
        <w:rPr>
          <w:rFonts w:ascii="Arial" w:hAnsi="Arial" w:cs="Arial"/>
        </w:rPr>
        <w:t xml:space="preserve">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 to the extent necessary so that the chemical substance or mixture no longer presents such risk. </w:t>
      </w:r>
      <w:r w:rsidRPr="005753C8">
        <w:rPr>
          <w:rFonts w:ascii="Arial" w:hAnsi="Arial" w:cs="Arial"/>
          <w:lang w:val="en"/>
        </w:rPr>
        <w:t>Section 6(a) authorizes EPA to:</w:t>
      </w:r>
    </w:p>
    <w:p w:rsidRPr="005753C8" w:rsidR="006D35C6" w:rsidP="006D35C6" w:rsidRDefault="006D35C6" w14:paraId="4233C78C" w14:textId="1B0DD22C">
      <w:pPr>
        <w:pStyle w:val="ListParagraph"/>
        <w:numPr>
          <w:ilvl w:val="0"/>
          <w:numId w:val="38"/>
        </w:numPr>
        <w:autoSpaceDE w:val="0"/>
        <w:autoSpaceDN w:val="0"/>
        <w:adjustRightInd w:val="0"/>
        <w:spacing w:before="100" w:beforeAutospacing="1" w:after="100" w:afterAutospacing="1" w:line="240" w:lineRule="auto"/>
        <w:rPr>
          <w:rFonts w:cs="Arial"/>
          <w:lang w:val="en"/>
        </w:rPr>
      </w:pPr>
      <w:r w:rsidRPr="005753C8">
        <w:rPr>
          <w:rFonts w:cs="Arial"/>
          <w:lang w:val="en"/>
        </w:rPr>
        <w:t>Prohibit or restrict manufacture, processing, or distribution in commerce</w:t>
      </w:r>
      <w:r w:rsidR="00590649">
        <w:rPr>
          <w:rFonts w:cs="Arial"/>
          <w:lang w:val="en"/>
        </w:rPr>
        <w:t>,</w:t>
      </w:r>
    </w:p>
    <w:p w:rsidRPr="005753C8" w:rsidR="006D35C6" w:rsidP="006D35C6" w:rsidRDefault="006D35C6" w14:paraId="577B149C" w14:textId="7C4493CF">
      <w:pPr>
        <w:numPr>
          <w:ilvl w:val="0"/>
          <w:numId w:val="38"/>
        </w:numPr>
        <w:spacing w:before="100" w:beforeAutospacing="1" w:after="100" w:afterAutospacing="1" w:line="240" w:lineRule="auto"/>
        <w:rPr>
          <w:rFonts w:cs="Arial"/>
          <w:szCs w:val="24"/>
          <w:lang w:val="en"/>
        </w:rPr>
      </w:pPr>
      <w:r w:rsidRPr="005753C8">
        <w:rPr>
          <w:rFonts w:cs="Arial"/>
          <w:szCs w:val="24"/>
          <w:lang w:val="en"/>
        </w:rPr>
        <w:t>Prohibit or restrict the manufacture, processing, or distribution in commerce of the chemical substance above a specified concentration</w:t>
      </w:r>
      <w:r w:rsidR="00590649">
        <w:rPr>
          <w:rFonts w:cs="Arial"/>
          <w:szCs w:val="24"/>
          <w:lang w:val="en"/>
        </w:rPr>
        <w:t>,</w:t>
      </w:r>
    </w:p>
    <w:p w:rsidRPr="005753C8" w:rsidR="006D35C6" w:rsidP="006D35C6" w:rsidRDefault="006D35C6" w14:paraId="27D27AD7" w14:textId="6102EAED">
      <w:pPr>
        <w:numPr>
          <w:ilvl w:val="0"/>
          <w:numId w:val="38"/>
        </w:numPr>
        <w:spacing w:before="100" w:beforeAutospacing="1" w:after="100" w:afterAutospacing="1" w:line="240" w:lineRule="auto"/>
        <w:rPr>
          <w:rFonts w:cs="Arial"/>
          <w:szCs w:val="24"/>
          <w:lang w:val="en"/>
        </w:rPr>
      </w:pPr>
      <w:r w:rsidRPr="005753C8">
        <w:rPr>
          <w:rFonts w:cs="Arial"/>
          <w:szCs w:val="24"/>
          <w:lang w:val="en"/>
        </w:rPr>
        <w:t>Require minimum warnings or instructions with respect to use, distribution, or disposal</w:t>
      </w:r>
      <w:r w:rsidR="00590649">
        <w:rPr>
          <w:rFonts w:cs="Arial"/>
          <w:szCs w:val="24"/>
          <w:lang w:val="en"/>
        </w:rPr>
        <w:t>,</w:t>
      </w:r>
    </w:p>
    <w:p w:rsidRPr="005753C8" w:rsidR="006D35C6" w:rsidP="006D35C6" w:rsidRDefault="006D35C6" w14:paraId="50BF5F99" w14:textId="14652BCA">
      <w:pPr>
        <w:numPr>
          <w:ilvl w:val="0"/>
          <w:numId w:val="38"/>
        </w:numPr>
        <w:spacing w:before="100" w:beforeAutospacing="1" w:after="100" w:afterAutospacing="1" w:line="240" w:lineRule="auto"/>
        <w:rPr>
          <w:rFonts w:cs="Arial"/>
          <w:szCs w:val="24"/>
          <w:lang w:val="en"/>
        </w:rPr>
      </w:pPr>
      <w:r w:rsidRPr="005753C8">
        <w:rPr>
          <w:rFonts w:cs="Arial"/>
          <w:szCs w:val="24"/>
          <w:lang w:val="en"/>
        </w:rPr>
        <w:t>Require manufacturers or processors to make and retain records</w:t>
      </w:r>
      <w:r w:rsidR="00590649">
        <w:rPr>
          <w:rFonts w:cs="Arial"/>
          <w:szCs w:val="24"/>
          <w:lang w:val="en"/>
        </w:rPr>
        <w:t>,</w:t>
      </w:r>
    </w:p>
    <w:p w:rsidRPr="005753C8" w:rsidR="006D35C6" w:rsidP="006D35C6" w:rsidRDefault="006D35C6" w14:paraId="58C35416" w14:textId="25C74D93">
      <w:pPr>
        <w:numPr>
          <w:ilvl w:val="0"/>
          <w:numId w:val="38"/>
        </w:numPr>
        <w:spacing w:before="100" w:beforeAutospacing="1" w:after="100" w:afterAutospacing="1" w:line="240" w:lineRule="auto"/>
        <w:rPr>
          <w:rFonts w:cs="Arial"/>
          <w:szCs w:val="24"/>
          <w:lang w:val="en"/>
        </w:rPr>
      </w:pPr>
      <w:r w:rsidRPr="005753C8">
        <w:rPr>
          <w:rFonts w:cs="Arial"/>
          <w:szCs w:val="24"/>
          <w:lang w:val="en"/>
        </w:rPr>
        <w:t>Prohibit or regulate any manner of commercial use</w:t>
      </w:r>
      <w:r w:rsidR="00590649">
        <w:rPr>
          <w:rFonts w:cs="Arial"/>
          <w:szCs w:val="24"/>
          <w:lang w:val="en"/>
        </w:rPr>
        <w:t>,</w:t>
      </w:r>
    </w:p>
    <w:p w:rsidRPr="005753C8" w:rsidR="006D35C6" w:rsidP="006D35C6" w:rsidRDefault="006D35C6" w14:paraId="587DB239" w14:textId="63B8D6FD">
      <w:pPr>
        <w:numPr>
          <w:ilvl w:val="0"/>
          <w:numId w:val="38"/>
        </w:numPr>
        <w:spacing w:before="100" w:beforeAutospacing="1" w:after="100" w:afterAutospacing="1" w:line="240" w:lineRule="auto"/>
        <w:rPr>
          <w:rFonts w:cs="Arial"/>
          <w:szCs w:val="24"/>
          <w:lang w:val="en"/>
        </w:rPr>
      </w:pPr>
      <w:r w:rsidRPr="005753C8">
        <w:rPr>
          <w:rFonts w:cs="Arial"/>
          <w:szCs w:val="24"/>
          <w:lang w:val="en"/>
        </w:rPr>
        <w:t>Prohibit or regulate any manner of disposal</w:t>
      </w:r>
      <w:r w:rsidR="00590649">
        <w:rPr>
          <w:rFonts w:cs="Arial"/>
          <w:szCs w:val="24"/>
          <w:lang w:val="en"/>
        </w:rPr>
        <w:t>,</w:t>
      </w:r>
      <w:r w:rsidRPr="005753C8">
        <w:rPr>
          <w:rFonts w:cs="Arial"/>
          <w:szCs w:val="24"/>
          <w:lang w:val="en"/>
        </w:rPr>
        <w:t xml:space="preserve"> and/or</w:t>
      </w:r>
    </w:p>
    <w:p w:rsidRPr="005753C8" w:rsidR="006D35C6" w:rsidP="006D35C6" w:rsidRDefault="006D35C6" w14:paraId="692B1390" w14:textId="77777777">
      <w:pPr>
        <w:numPr>
          <w:ilvl w:val="0"/>
          <w:numId w:val="38"/>
        </w:numPr>
        <w:spacing w:before="100" w:beforeAutospacing="1" w:after="100" w:afterAutospacing="1" w:line="240" w:lineRule="auto"/>
        <w:rPr>
          <w:rFonts w:cs="Arial"/>
        </w:rPr>
      </w:pPr>
      <w:r w:rsidRPr="1A95BB67">
        <w:rPr>
          <w:rFonts w:cs="Arial"/>
          <w:lang w:val="en"/>
        </w:rPr>
        <w:t>Require manufacturers or processors to give notice of the unreasonable risk of injury, and to recall products if required.</w:t>
      </w:r>
    </w:p>
    <w:p w:rsidRPr="005753C8" w:rsidR="00F76984" w:rsidP="00F76984" w:rsidRDefault="00F76984" w14:paraId="39AA4156" w14:textId="3EB73D8F">
      <w:pPr>
        <w:rPr>
          <w:rFonts w:cs="Arial"/>
        </w:rPr>
      </w:pPr>
      <w:r w:rsidRPr="005753C8">
        <w:rPr>
          <w:rFonts w:cs="Arial"/>
        </w:rPr>
        <w:t>This proposed rule</w:t>
      </w:r>
      <w:r w:rsidR="00110330">
        <w:rPr>
          <w:rFonts w:cs="Arial"/>
        </w:rPr>
        <w:t xml:space="preserve"> would</w:t>
      </w:r>
      <w:r w:rsidRPr="005753C8">
        <w:rPr>
          <w:rFonts w:cs="Arial"/>
        </w:rPr>
        <w:t xml:space="preserve">: </w:t>
      </w:r>
    </w:p>
    <w:p w:rsidR="00F76984" w:rsidP="00F76984" w:rsidRDefault="00F76984" w14:paraId="6760FFFB" w14:textId="7EFCD8C6">
      <w:pPr>
        <w:pStyle w:val="ListParagraph"/>
        <w:numPr>
          <w:ilvl w:val="0"/>
          <w:numId w:val="39"/>
        </w:numPr>
        <w:spacing w:after="0" w:line="240" w:lineRule="auto"/>
        <w:rPr>
          <w:rFonts w:cs="Arial"/>
        </w:rPr>
      </w:pPr>
      <w:r w:rsidRPr="005753C8">
        <w:rPr>
          <w:rFonts w:cs="Arial"/>
        </w:rPr>
        <w:t>Prohibit all persons from manufacturing, processing, distributing in commerce, and commercial use of</w:t>
      </w:r>
      <w:r>
        <w:rPr>
          <w:rFonts w:cs="Arial"/>
        </w:rPr>
        <w:t xml:space="preserve"> chrysotile asbestos after 2 years from </w:t>
      </w:r>
      <w:r w:rsidR="00E360D7">
        <w:rPr>
          <w:rFonts w:cs="Arial"/>
        </w:rPr>
        <w:t xml:space="preserve">the effective date </w:t>
      </w:r>
      <w:r>
        <w:rPr>
          <w:rFonts w:cs="Arial"/>
        </w:rPr>
        <w:t>of this rule for the following conditions of use:</w:t>
      </w:r>
    </w:p>
    <w:p w:rsidRPr="00F76984" w:rsidR="00F76984" w:rsidP="00F76984" w:rsidRDefault="00F76984" w14:paraId="54079B80" w14:textId="77777777">
      <w:pPr>
        <w:pStyle w:val="ListParagraph"/>
        <w:numPr>
          <w:ilvl w:val="1"/>
          <w:numId w:val="39"/>
        </w:numPr>
        <w:spacing w:after="0" w:line="240" w:lineRule="auto"/>
        <w:rPr>
          <w:rFonts w:cs="Arial"/>
        </w:rPr>
      </w:pPr>
      <w:r w:rsidRPr="00F76984">
        <w:rPr>
          <w:shd w:val="clear" w:color="auto" w:fill="FFFFFF"/>
        </w:rPr>
        <w:t>Processing and industrial use of diaphragms in the chlor-alkali industry.</w:t>
      </w:r>
    </w:p>
    <w:p w:rsidRPr="00F76984" w:rsidR="00F76984" w:rsidP="00F76984" w:rsidRDefault="00F76984" w14:paraId="53995582" w14:textId="66ED813D">
      <w:pPr>
        <w:pStyle w:val="ListParagraph"/>
        <w:numPr>
          <w:ilvl w:val="1"/>
          <w:numId w:val="39"/>
        </w:numPr>
        <w:spacing w:after="0" w:line="240" w:lineRule="auto"/>
        <w:rPr>
          <w:rFonts w:cs="Arial"/>
        </w:rPr>
      </w:pPr>
      <w:r w:rsidRPr="00F76984">
        <w:rPr>
          <w:shd w:val="clear" w:color="auto" w:fill="FFFFFF"/>
        </w:rPr>
        <w:t>Processing and industrial use of sheet gaskets in chemical production.</w:t>
      </w:r>
    </w:p>
    <w:p w:rsidR="00ED7488" w:rsidP="00ED7488" w:rsidRDefault="00F76984" w14:paraId="6DA302C8" w14:textId="10C13D58">
      <w:pPr>
        <w:pStyle w:val="ListParagraph"/>
        <w:numPr>
          <w:ilvl w:val="0"/>
          <w:numId w:val="39"/>
        </w:numPr>
        <w:spacing w:after="0" w:line="240" w:lineRule="auto"/>
        <w:rPr>
          <w:rFonts w:cs="Arial"/>
        </w:rPr>
      </w:pPr>
      <w:r w:rsidRPr="005753C8">
        <w:rPr>
          <w:rFonts w:cs="Arial"/>
        </w:rPr>
        <w:lastRenderedPageBreak/>
        <w:t>Prohibit all persons from manufacturing, processing, distributing in commerce, and commercial use of</w:t>
      </w:r>
      <w:r>
        <w:rPr>
          <w:rFonts w:cs="Arial"/>
        </w:rPr>
        <w:t xml:space="preserve"> chrysotile asbestos after 180 days from </w:t>
      </w:r>
      <w:r w:rsidR="00E360D7">
        <w:rPr>
          <w:rFonts w:cs="Arial"/>
        </w:rPr>
        <w:t xml:space="preserve">the effective date </w:t>
      </w:r>
      <w:r>
        <w:rPr>
          <w:rFonts w:cs="Arial"/>
        </w:rPr>
        <w:t>of this rule for the following conditions of use:</w:t>
      </w:r>
    </w:p>
    <w:p w:rsidRPr="00ED7488" w:rsidR="00ED7488" w:rsidP="00ED7488" w:rsidRDefault="00ED7488" w14:paraId="6B0C68FB" w14:textId="77777777">
      <w:pPr>
        <w:pStyle w:val="ListParagraph"/>
        <w:numPr>
          <w:ilvl w:val="1"/>
          <w:numId w:val="39"/>
        </w:numPr>
        <w:spacing w:after="0" w:line="240" w:lineRule="auto"/>
        <w:rPr>
          <w:rFonts w:cs="Arial"/>
        </w:rPr>
      </w:pPr>
      <w:r w:rsidRPr="00850096">
        <w:t>Industrial use and disposal of Oilfield Brake Blocks.</w:t>
      </w:r>
    </w:p>
    <w:p w:rsidRPr="00ED7488" w:rsidR="00ED7488" w:rsidP="00ED7488" w:rsidRDefault="00ED7488" w14:paraId="00655602" w14:textId="74B20619">
      <w:pPr>
        <w:pStyle w:val="ListParagraph"/>
        <w:numPr>
          <w:ilvl w:val="1"/>
          <w:numId w:val="39"/>
        </w:numPr>
        <w:spacing w:after="0" w:line="240" w:lineRule="auto"/>
        <w:rPr>
          <w:rFonts w:cs="Arial"/>
        </w:rPr>
      </w:pPr>
      <w:r w:rsidRPr="00850096">
        <w:t xml:space="preserve">Commercial </w:t>
      </w:r>
      <w:r w:rsidR="00F25F17">
        <w:t xml:space="preserve">and consumer </w:t>
      </w:r>
      <w:r w:rsidRPr="00850096">
        <w:t>use and disposal of Aftermarket Automotive Brakes and Linings.</w:t>
      </w:r>
    </w:p>
    <w:p w:rsidRPr="00ED7488" w:rsidR="00ED7488" w:rsidP="00ED7488" w:rsidRDefault="00ED7488" w14:paraId="2E2DF362" w14:textId="12BE5A29">
      <w:pPr>
        <w:pStyle w:val="ListParagraph"/>
        <w:numPr>
          <w:ilvl w:val="1"/>
          <w:numId w:val="39"/>
        </w:numPr>
        <w:spacing w:after="0" w:line="240" w:lineRule="auto"/>
        <w:rPr>
          <w:rFonts w:cs="Arial"/>
        </w:rPr>
      </w:pPr>
      <w:r w:rsidRPr="00850096">
        <w:t xml:space="preserve">Commercial use and disposal of Other Vehicle Friction Products, excluding brake system components used on the NASA </w:t>
      </w:r>
      <w:r w:rsidRPr="00BD00A4" w:rsidR="00BB12A4">
        <w:rPr>
          <w:bCs/>
        </w:rPr>
        <w:t xml:space="preserve">“Super-Guppy” Turbine </w:t>
      </w:r>
      <w:r w:rsidR="00BB12A4">
        <w:rPr>
          <w:bCs/>
        </w:rPr>
        <w:t>(</w:t>
      </w:r>
      <w:r w:rsidRPr="00850096">
        <w:t>SGT</w:t>
      </w:r>
      <w:r w:rsidR="00BB12A4">
        <w:t>)</w:t>
      </w:r>
      <w:r w:rsidRPr="00850096">
        <w:t xml:space="preserve"> aircraft.</w:t>
      </w:r>
    </w:p>
    <w:p w:rsidRPr="00EA3923" w:rsidR="009666EE" w:rsidP="00EA3923" w:rsidRDefault="00ED7488" w14:paraId="0951BBC5" w14:textId="4A135B58">
      <w:pPr>
        <w:pStyle w:val="ListParagraph"/>
        <w:numPr>
          <w:ilvl w:val="1"/>
          <w:numId w:val="39"/>
        </w:numPr>
        <w:spacing w:after="0" w:line="240" w:lineRule="auto"/>
        <w:rPr>
          <w:rFonts w:cs="Arial"/>
        </w:rPr>
      </w:pPr>
      <w:r w:rsidRPr="00850096">
        <w:t xml:space="preserve">Commercial </w:t>
      </w:r>
      <w:r w:rsidR="00F25F17">
        <w:t xml:space="preserve">and consumer </w:t>
      </w:r>
      <w:r w:rsidRPr="00850096">
        <w:t xml:space="preserve">use and disposal of </w:t>
      </w:r>
      <w:r w:rsidR="00E15B80">
        <w:t>o</w:t>
      </w:r>
      <w:r w:rsidRPr="00850096">
        <w:t>ther Gaskets</w:t>
      </w:r>
      <w:r>
        <w:t>.</w:t>
      </w:r>
      <w:r w:rsidRPr="00ED7488" w:rsidDel="00BB12A4" w:rsidR="00BB12A4">
        <w:rPr>
          <w:rFonts w:cs="Arial"/>
        </w:rPr>
        <w:t xml:space="preserve"> </w:t>
      </w:r>
    </w:p>
    <w:p w:rsidRPr="005753C8" w:rsidR="00F76984" w:rsidP="00BB12A4" w:rsidRDefault="009666EE" w14:paraId="3C725131" w14:textId="06CCB1DA">
      <w:pPr>
        <w:pStyle w:val="ListParagraph"/>
        <w:numPr>
          <w:ilvl w:val="0"/>
          <w:numId w:val="39"/>
        </w:numPr>
        <w:spacing w:after="0" w:line="240" w:lineRule="auto"/>
        <w:rPr>
          <w:rFonts w:cs="Arial"/>
        </w:rPr>
      </w:pPr>
      <w:r>
        <w:rPr>
          <w:rFonts w:cs="Arial"/>
        </w:rPr>
        <w:t>Requires</w:t>
      </w:r>
      <w:r w:rsidRPr="009666EE">
        <w:rPr>
          <w:rFonts w:cs="Arial"/>
        </w:rPr>
        <w:t xml:space="preserve"> person</w:t>
      </w:r>
      <w:r>
        <w:rPr>
          <w:rFonts w:cs="Arial"/>
        </w:rPr>
        <w:t>s</w:t>
      </w:r>
      <w:r w:rsidRPr="009666EE">
        <w:rPr>
          <w:rFonts w:cs="Arial"/>
        </w:rPr>
        <w:t xml:space="preserve"> who disposes of any chrysotile asbestos and any chrysotile asbestos-containing products or articles subject to the disposal provisions must retain any records generated pursuant to, or otherwise documenting compliance with specified disposal regulations. These records must be retained in one location at the headquarters of the company, or at the facility for which the records were generated, and they must be retained for five years from the date of generation.</w:t>
      </w:r>
    </w:p>
    <w:p w:rsidRPr="005753C8" w:rsidR="00F76984" w:rsidP="00BE120A" w:rsidRDefault="00764269" w14:paraId="08A18D09" w14:textId="10D1B2DA">
      <w:pPr>
        <w:pStyle w:val="ListParagraph"/>
        <w:numPr>
          <w:ilvl w:val="0"/>
          <w:numId w:val="39"/>
        </w:numPr>
        <w:spacing w:line="240" w:lineRule="auto"/>
        <w:rPr>
          <w:rFonts w:cs="Arial"/>
        </w:rPr>
      </w:pPr>
      <w:r>
        <w:rPr>
          <w:rFonts w:cs="Arial"/>
        </w:rPr>
        <w:t>Require that d</w:t>
      </w:r>
      <w:r w:rsidR="00144DFA">
        <w:rPr>
          <w:rFonts w:cs="Arial"/>
        </w:rPr>
        <w:t xml:space="preserve">isposal </w:t>
      </w:r>
      <w:r w:rsidR="00DC7B0C">
        <w:rPr>
          <w:lang w:val="en"/>
        </w:rPr>
        <w:t xml:space="preserve">adhere to requirements described in the OSHA Asbestos General Standard in 29 CFR 1910.1001(k) regarding asbestos waste disposal. Additionally, for the chrysotile asbestos diaphragm condition of use, </w:t>
      </w:r>
      <w:r w:rsidR="00DC7B0C">
        <w:t>as well as oilfield brake blocks, other vehicle friction products, and</w:t>
      </w:r>
      <w:r w:rsidRPr="003D3397" w:rsidR="00DC7B0C">
        <w:t xml:space="preserve"> </w:t>
      </w:r>
      <w:r w:rsidR="00DC7B0C">
        <w:t>any non-consumer use of other gaskets and aftermarket automotive brakes and linings,</w:t>
      </w:r>
      <w:r w:rsidR="00DC7B0C">
        <w:rPr>
          <w:lang w:val="en"/>
        </w:rPr>
        <w:t xml:space="preserve"> EPA is proposing to cross-reference the disposal requirements of Asbestos National Emission Standards for Hazardous Air Pollutants (NESHAP) (</w:t>
      </w:r>
      <w:r w:rsidRPr="00011561" w:rsidR="00DC7B0C">
        <w:rPr>
          <w:lang w:val="en"/>
        </w:rPr>
        <w:t>40 CFR Part 61, Subpart M)</w:t>
      </w:r>
      <w:r w:rsidR="00DC7B0C">
        <w:rPr>
          <w:lang w:val="en"/>
        </w:rPr>
        <w:t xml:space="preserve"> at 40 CFR section 61.150</w:t>
      </w:r>
      <w:r w:rsidR="00004C9B">
        <w:rPr>
          <w:rFonts w:cs="Arial"/>
        </w:rPr>
        <w:t>.</w:t>
      </w:r>
    </w:p>
    <w:p w:rsidR="000D5E31" w:rsidP="002059F4" w:rsidRDefault="00B262D4" w14:paraId="36FA8BB3" w14:textId="0BAE8E5C">
      <w:pPr>
        <w:pStyle w:val="Heading2"/>
        <w:ind w:left="360"/>
      </w:pPr>
      <w:r w:rsidRPr="00E00E93">
        <w:t>Indicate how, by whom, and for what purpose the information is to be used.  Except for a new collection, indicate the actual use the Agency has made of the information received from the current collection</w:t>
      </w:r>
      <w:bookmarkEnd w:id="3"/>
      <w:r w:rsidR="00583031">
        <w:t>.</w:t>
      </w:r>
    </w:p>
    <w:p w:rsidRPr="005753C8" w:rsidR="00C87A2A" w:rsidP="007535EC" w:rsidRDefault="00C87A2A" w14:paraId="1F683427" w14:textId="44A2BC11">
      <w:pPr>
        <w:spacing w:line="240" w:lineRule="auto"/>
      </w:pPr>
      <w:r w:rsidRPr="005753C8">
        <w:rPr>
          <w:u w:val="single"/>
        </w:rPr>
        <w:t>EPA.</w:t>
      </w:r>
      <w:r w:rsidRPr="005753C8">
        <w:t xml:space="preserve"> This information collection will provide EPA with information only upon inspection of such materials. There are no reporting requirements to submit information to EPA under th</w:t>
      </w:r>
      <w:r w:rsidR="006E07E5">
        <w:t>is</w:t>
      </w:r>
      <w:r w:rsidRPr="005753C8">
        <w:t xml:space="preserve"> information collection activit</w:t>
      </w:r>
      <w:r w:rsidR="006E07E5">
        <w:t>y</w:t>
      </w:r>
      <w:r w:rsidRPr="005753C8">
        <w:t xml:space="preserve">.  </w:t>
      </w:r>
    </w:p>
    <w:p w:rsidRPr="00583031" w:rsidR="00583031" w:rsidP="00583031" w:rsidRDefault="006B0DB9" w14:paraId="5ABABCAC" w14:textId="24BA916A">
      <w:r w:rsidRPr="006B0DB9">
        <w:rPr>
          <w:u w:val="single"/>
        </w:rPr>
        <w:t>Regulated Entities.</w:t>
      </w:r>
      <w:r>
        <w:t xml:space="preserve"> </w:t>
      </w:r>
      <w:r w:rsidRPr="005753C8" w:rsidR="00C87A2A">
        <w:t xml:space="preserve">The regulated entities will compile and retain records that are necessary as a reference for EPA or authorized entities. These records demonstrate that </w:t>
      </w:r>
      <w:r w:rsidR="004A0F87">
        <w:t>regulated</w:t>
      </w:r>
      <w:r w:rsidRPr="005753C8" w:rsidR="00C87A2A">
        <w:t xml:space="preserve"> entities</w:t>
      </w:r>
      <w:r w:rsidR="004A0F87">
        <w:t xml:space="preserve"> </w:t>
      </w:r>
      <w:proofErr w:type="gramStart"/>
      <w:r w:rsidR="004A0F87">
        <w:t>are in compliance with</w:t>
      </w:r>
      <w:proofErr w:type="gramEnd"/>
      <w:r w:rsidR="004A0F87">
        <w:t xml:space="preserve"> </w:t>
      </w:r>
      <w:r w:rsidR="009D5C62">
        <w:t>the</w:t>
      </w:r>
      <w:r w:rsidR="009D3C67">
        <w:t xml:space="preserve"> disposal requirements </w:t>
      </w:r>
      <w:r w:rsidR="009D5C62">
        <w:t xml:space="preserve">in </w:t>
      </w:r>
      <w:r w:rsidR="00E8356E">
        <w:t>this rule</w:t>
      </w:r>
      <w:r w:rsidR="00C3223F">
        <w:t xml:space="preserve">. Compliance </w:t>
      </w:r>
      <w:r w:rsidR="007A1568">
        <w:t xml:space="preserve">with the rule is required to mitigate the unreasonable risks to human health identified in EPA’s risk evaluation for chrysotile asbestos. </w:t>
      </w:r>
      <w:r w:rsidRPr="005753C8" w:rsidR="00C87A2A">
        <w:t>These recordkeeping requirements are also necessary to permit the EPA to conduct its enforcement activities and to ensure compliance within the regulated community.</w:t>
      </w:r>
    </w:p>
    <w:p w:rsidR="000D5E31" w:rsidP="002059F4" w:rsidRDefault="000D5E31" w14:paraId="44CE1C5B" w14:textId="603B04C4">
      <w:pPr>
        <w:pStyle w:val="Heading2"/>
        <w:ind w:left="360"/>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xml:space="preserve">, and the basis for the decision for </w:t>
      </w:r>
      <w:r w:rsidRPr="00E00E93" w:rsidR="00103B2E">
        <w:lastRenderedPageBreak/>
        <w:t>adopting this means of collection. Also describe any consideration of using information technology to reduce burden.</w:t>
      </w:r>
    </w:p>
    <w:p w:rsidRPr="00317CC7" w:rsidR="00317CC7" w:rsidP="007B49BA" w:rsidRDefault="003A16DA" w14:paraId="599DDC27" w14:textId="7D7BC59E">
      <w:pPr>
        <w:tabs>
          <w:tab w:val="left" w:pos="720"/>
          <w:tab w:val="left" w:pos="1080"/>
        </w:tabs>
      </w:pPr>
      <w:r w:rsidRPr="005753C8">
        <w:t xml:space="preserve">There will be no information collection by EPA. Therefore, there is no need for any technology facilitation under the proposed rule related to </w:t>
      </w:r>
      <w:r w:rsidR="00C60C00">
        <w:t xml:space="preserve">the </w:t>
      </w:r>
      <w:r w:rsidRPr="005753C8">
        <w:t>information collection activities. The recordkeeping requirement does not specify a particular technology or method of retaining the required information.</w:t>
      </w:r>
    </w:p>
    <w:p w:rsidR="000D5E31" w:rsidP="002059F4" w:rsidRDefault="003041B0" w14:paraId="3222B018" w14:textId="18FEC450">
      <w:pPr>
        <w:pStyle w:val="Heading2"/>
        <w:ind w:left="360"/>
      </w:pPr>
      <w:r w:rsidRPr="00E00E93">
        <w:t>D</w:t>
      </w:r>
      <w:r w:rsidRPr="00E00E93" w:rsidR="000D5E31">
        <w:t>escribe efforts to identify duplication.</w:t>
      </w:r>
      <w:r w:rsidRPr="00E00E93" w:rsidR="0093316B">
        <w:t xml:space="preserve"> Show specifically why any similar information already available cannot be used or modified for use for the purposes described in Item 2 above.</w:t>
      </w:r>
    </w:p>
    <w:p w:rsidRPr="001852FC" w:rsidR="001852FC" w:rsidP="000722DD" w:rsidRDefault="0048563A" w14:paraId="68D38569" w14:textId="20E03997">
      <w:pPr>
        <w:numPr>
          <w:ilvl w:val="12"/>
          <w:numId w:val="0"/>
        </w:numPr>
      </w:pPr>
      <w:r w:rsidRPr="005753C8">
        <w:t xml:space="preserve">The EPA’s collection pursuant to the TSCA section 6(a) regulations do not duplicate any other collection. There is no other Federal program that requires the information collection activities related to the prohibitions </w:t>
      </w:r>
      <w:r w:rsidR="00C949A2">
        <w:t xml:space="preserve">and disposal requirements </w:t>
      </w:r>
      <w:r w:rsidRPr="005753C8">
        <w:t xml:space="preserve">under the proposed rule. </w:t>
      </w:r>
    </w:p>
    <w:p w:rsidR="000D5E31" w:rsidP="002059F4" w:rsidRDefault="000D5E31" w14:paraId="318B9393" w14:textId="3C249955">
      <w:pPr>
        <w:pStyle w:val="Heading2"/>
        <w:ind w:left="360"/>
      </w:pPr>
      <w:r w:rsidRPr="00E00E93">
        <w:t>If the collection of information impacts small businesses or other small entities, describe the methods used to minimize burden.</w:t>
      </w:r>
    </w:p>
    <w:p w:rsidR="000722DD" w:rsidP="00FD04D9" w:rsidRDefault="00523250" w14:paraId="5AF6EC8E" w14:textId="337A456B">
      <w:pPr>
        <w:numPr>
          <w:ilvl w:val="12"/>
          <w:numId w:val="0"/>
        </w:numPr>
      </w:pPr>
      <w:r>
        <w:t xml:space="preserve">Cost-revenue impact ratios are only estimated for the aftermarket automotive brakes use category. Brakes containing asbestos are estimated to have a very small share of the total market, and the cost impact of the rule is modest (estimated </w:t>
      </w:r>
      <w:r w:rsidR="00A969E1">
        <w:t>uni</w:t>
      </w:r>
      <w:r w:rsidR="00471765">
        <w:t xml:space="preserve">t </w:t>
      </w:r>
      <w:r w:rsidR="00A969E1">
        <w:t>cost of</w:t>
      </w:r>
      <w:r w:rsidR="00471765">
        <w:t xml:space="preserve"> </w:t>
      </w:r>
      <w:r>
        <w:t>$</w:t>
      </w:r>
      <w:r w:rsidR="00471765">
        <w:t>1</w:t>
      </w:r>
      <w:r w:rsidR="00A969E1">
        <w:t>78</w:t>
      </w:r>
      <w:r>
        <w:t xml:space="preserve"> per establishment</w:t>
      </w:r>
      <w:r w:rsidR="00A969E1">
        <w:t xml:space="preserve"> for annual recordkeeping costs</w:t>
      </w:r>
      <w:r>
        <w:t xml:space="preserve">). It is expected that the affected firms would pass the higher cost of non-asbestos brakes </w:t>
      </w:r>
      <w:r w:rsidR="00A969E1">
        <w:t>(estimated unit cost of $4)</w:t>
      </w:r>
      <w:r>
        <w:t xml:space="preserve"> on to their customers.</w:t>
      </w:r>
    </w:p>
    <w:p w:rsidR="00897D7E" w:rsidP="002059F4" w:rsidRDefault="00BE461C" w14:paraId="5F088A3E" w14:textId="4D12E31D">
      <w:pPr>
        <w:pStyle w:val="Heading2"/>
        <w:ind w:left="360"/>
      </w:pPr>
      <w:r w:rsidRPr="00E00E93">
        <w:t>Describe the consequence to Federal program or policy activities if the collection is not conducted or is conducted less frequently, as well as any technical or legal obstacles to reducing burden.</w:t>
      </w:r>
    </w:p>
    <w:p w:rsidRPr="005753C8" w:rsidR="00B46F41" w:rsidP="00B46F41" w:rsidRDefault="00B46F41" w14:paraId="43090175" w14:textId="776C7B83">
      <w:pPr>
        <w:rPr>
          <w:rFonts w:cs="Arial"/>
        </w:rPr>
      </w:pPr>
      <w:r w:rsidRPr="005753C8">
        <w:rPr>
          <w:rFonts w:cs="Arial"/>
        </w:rPr>
        <w:t>The information collection activities covered by this ICR are necessary in order to enhance the mitigation of unreasonable risks identified in certain uses of</w:t>
      </w:r>
      <w:r w:rsidR="00A71AAB">
        <w:rPr>
          <w:rFonts w:cs="Arial"/>
        </w:rPr>
        <w:t xml:space="preserve"> chryso</w:t>
      </w:r>
      <w:r w:rsidR="008C55C2">
        <w:rPr>
          <w:rFonts w:cs="Arial"/>
        </w:rPr>
        <w:t>tile asbestos</w:t>
      </w:r>
      <w:r w:rsidRPr="005753C8">
        <w:rPr>
          <w:rFonts w:cs="Arial"/>
        </w:rPr>
        <w:t>. Due to EPA’s finding that</w:t>
      </w:r>
      <w:r w:rsidR="003A05DF">
        <w:rPr>
          <w:rFonts w:cs="Arial"/>
        </w:rPr>
        <w:t xml:space="preserve"> </w:t>
      </w:r>
      <w:r w:rsidR="001824F9">
        <w:rPr>
          <w:rFonts w:cs="Arial"/>
        </w:rPr>
        <w:t xml:space="preserve">chrysotile asbestos </w:t>
      </w:r>
      <w:r w:rsidRPr="005753C8">
        <w:rPr>
          <w:rFonts w:cs="Arial"/>
        </w:rPr>
        <w:t>present</w:t>
      </w:r>
      <w:r w:rsidR="0028714D">
        <w:rPr>
          <w:rFonts w:cs="Arial"/>
        </w:rPr>
        <w:t>s</w:t>
      </w:r>
      <w:r w:rsidRPr="005753C8">
        <w:rPr>
          <w:rFonts w:cs="Arial"/>
        </w:rPr>
        <w:t xml:space="preserve"> an unreasonable health risk</w:t>
      </w:r>
      <w:r w:rsidR="0028714D">
        <w:rPr>
          <w:rFonts w:cs="Arial"/>
        </w:rPr>
        <w:t xml:space="preserve"> under the specifi</w:t>
      </w:r>
      <w:r w:rsidR="003D3635">
        <w:rPr>
          <w:rFonts w:cs="Arial"/>
        </w:rPr>
        <w:t>ed conditions of use</w:t>
      </w:r>
      <w:r w:rsidRPr="005753C8">
        <w:rPr>
          <w:rFonts w:cs="Arial"/>
        </w:rPr>
        <w:t>, EPA is proposing a rule that involves information collection activities that mitigate the unreasonable health risks and do not present unreasonable burdens to the regulated entities.</w:t>
      </w:r>
    </w:p>
    <w:p w:rsidRPr="006B0DB9" w:rsidR="00B46F41" w:rsidP="00B46F41" w:rsidRDefault="00B46F41" w14:paraId="547C74EE" w14:textId="15390FB6">
      <w:pPr>
        <w:rPr>
          <w:rFonts w:ascii="Times New Roman" w:hAnsi="Times New Roman"/>
        </w:rPr>
      </w:pPr>
      <w:r w:rsidRPr="005753C8">
        <w:rPr>
          <w:rFonts w:cs="Arial"/>
        </w:rPr>
        <w:t>EPA has authority under section 6 of TSCA to require recordkeeping related to the regulatory requirements imposed by EPA. This is important where, as here, such records and reports are necessary for effective enforcement of the section 6 rule and would apply to persons who are not covered by section 8(a) of TSCA, i.e., those who are not manufacturers or processors.</w:t>
      </w:r>
    </w:p>
    <w:p w:rsidRPr="005753C8" w:rsidR="009F6A74" w:rsidP="009F6A74" w:rsidRDefault="009F6A74" w14:paraId="3741EA56" w14:textId="3E6BCB78">
      <w:pPr>
        <w:numPr>
          <w:ilvl w:val="12"/>
          <w:numId w:val="0"/>
        </w:numPr>
      </w:pPr>
      <w:r w:rsidRPr="005753C8">
        <w:lastRenderedPageBreak/>
        <w:t xml:space="preserve">Due to the nature of the triggering events that initiate information collection activities under the proposed rule, less frequent collection is not feasible. The proposed rule does not require reporting information to EPA. </w:t>
      </w:r>
    </w:p>
    <w:p w:rsidRPr="005753C8" w:rsidR="00367B01" w:rsidP="001A32BE" w:rsidRDefault="00367B01" w14:paraId="2CD02848" w14:textId="7864D00B">
      <w:pPr>
        <w:pStyle w:val="NormalWeb"/>
      </w:pPr>
      <w:r w:rsidRPr="005753C8">
        <w:rPr>
          <w:rFonts w:ascii="Arial" w:hAnsi="Arial" w:cs="Arial"/>
        </w:rPr>
        <w:t>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w:t>
      </w:r>
      <w:r w:rsidR="006B0DB9">
        <w:rPr>
          <w:rFonts w:ascii="Arial" w:hAnsi="Arial" w:cs="Arial"/>
        </w:rPr>
        <w:t>, (see #1 above)</w:t>
      </w:r>
      <w:r w:rsidRPr="005753C8">
        <w:rPr>
          <w:rFonts w:ascii="Arial" w:hAnsi="Arial" w:cs="Arial"/>
        </w:rPr>
        <w:t xml:space="preserve"> to the extent necessary so that the chemical substance or mixture no longer presents such risk. </w:t>
      </w:r>
    </w:p>
    <w:p w:rsidR="004B19BB" w:rsidP="00614FFA" w:rsidRDefault="004B19BB" w14:paraId="6AAB7545" w14:textId="77777777">
      <w:pPr>
        <w:pStyle w:val="NoSpacing"/>
        <w:rPr>
          <w:rFonts w:ascii="Arial" w:hAnsi="Arial" w:cs="Arial"/>
          <w:sz w:val="24"/>
          <w:szCs w:val="24"/>
        </w:rPr>
      </w:pPr>
    </w:p>
    <w:p w:rsidR="00614FFA" w:rsidP="00614FFA" w:rsidRDefault="00367B01" w14:paraId="37610E09" w14:textId="3FFE9D12">
      <w:pPr>
        <w:pStyle w:val="NoSpacing"/>
        <w:rPr>
          <w:rFonts w:ascii="Segoe UI" w:hAnsi="Segoe UI" w:cs="Segoe UI"/>
          <w:sz w:val="18"/>
          <w:szCs w:val="18"/>
        </w:rPr>
      </w:pPr>
      <w:r w:rsidRPr="006B0DB9">
        <w:rPr>
          <w:rFonts w:ascii="Arial" w:hAnsi="Arial" w:cs="Arial"/>
          <w:sz w:val="24"/>
          <w:szCs w:val="24"/>
        </w:rPr>
        <w:t xml:space="preserve">The recordkeeping requirement under the proposed rule mandates that each person who </w:t>
      </w:r>
      <w:r w:rsidR="006B0DB9">
        <w:rPr>
          <w:rFonts w:ascii="Arial" w:hAnsi="Arial" w:cs="Arial"/>
          <w:sz w:val="24"/>
          <w:szCs w:val="24"/>
        </w:rPr>
        <w:t>disposes of</w:t>
      </w:r>
      <w:r w:rsidRPr="006B0DB9">
        <w:rPr>
          <w:rFonts w:ascii="Arial" w:hAnsi="Arial" w:cs="Arial"/>
          <w:sz w:val="24"/>
          <w:szCs w:val="24"/>
        </w:rPr>
        <w:t xml:space="preserve"> any </w:t>
      </w:r>
      <w:r w:rsidR="006B0DB9">
        <w:rPr>
          <w:rFonts w:ascii="Arial" w:hAnsi="Arial" w:cs="Arial"/>
          <w:sz w:val="24"/>
          <w:szCs w:val="24"/>
        </w:rPr>
        <w:t>chrysotile asbestos or chrysotile asbestos containing articles</w:t>
      </w:r>
      <w:r w:rsidRPr="006B0DB9">
        <w:rPr>
          <w:rFonts w:ascii="Arial" w:hAnsi="Arial" w:cs="Arial"/>
          <w:sz w:val="24"/>
          <w:szCs w:val="24"/>
        </w:rPr>
        <w:t xml:space="preserve"> must retain in one location at the headquarters of the company documentation</w:t>
      </w:r>
      <w:r w:rsidR="00614FFA">
        <w:rPr>
          <w:rFonts w:ascii="Arial" w:hAnsi="Arial" w:cs="Arial"/>
          <w:sz w:val="24"/>
          <w:szCs w:val="24"/>
        </w:rPr>
        <w:t>,</w:t>
      </w:r>
      <w:r w:rsidRPr="006B0DB9">
        <w:rPr>
          <w:rFonts w:ascii="Arial" w:hAnsi="Arial" w:cs="Arial"/>
          <w:sz w:val="24"/>
          <w:szCs w:val="24"/>
        </w:rPr>
        <w:t xml:space="preserve"> </w:t>
      </w:r>
      <w:r w:rsidR="00614FFA">
        <w:rPr>
          <w:rFonts w:ascii="Arial" w:hAnsi="Arial" w:cs="Arial"/>
          <w:sz w:val="24"/>
          <w:szCs w:val="24"/>
        </w:rPr>
        <w:t xml:space="preserve">for which the records were generation, documentation of compliance with the prohibition, </w:t>
      </w:r>
      <w:r w:rsidRPr="00614FFA" w:rsidR="00614FFA">
        <w:rPr>
          <w:rStyle w:val="normaltextrun"/>
          <w:rFonts w:ascii="Arial" w:hAnsi="Arial" w:cs="Arial"/>
          <w:sz w:val="24"/>
          <w:szCs w:val="24"/>
        </w:rPr>
        <w:t>and any ordinary business records, such as invoices or bills of lading related to compliance with the prohibition.</w:t>
      </w:r>
    </w:p>
    <w:p w:rsidRPr="009F6A74" w:rsidR="009F6A74" w:rsidP="009F6A74" w:rsidRDefault="009F6A74" w14:paraId="2FE31FA6" w14:textId="77777777">
      <w:pPr>
        <w:rPr>
          <w:lang w:bidi="en-US"/>
        </w:rPr>
      </w:pPr>
    </w:p>
    <w:p w:rsidRPr="00E00E93" w:rsidR="0093316B" w:rsidP="0093316B" w:rsidRDefault="009A7738" w14:paraId="6B8F0DD0" w14:textId="3B129352">
      <w:pPr>
        <w:pStyle w:val="Heading2"/>
        <w:ind w:left="360"/>
      </w:pPr>
      <w:r w:rsidRPr="00E00E93">
        <w:t>Explain any special circumstances that require the collection to be conducted in a manner</w:t>
      </w:r>
      <w:r w:rsidRPr="00E00E93" w:rsidR="0093316B">
        <w:t xml:space="preserve">: </w:t>
      </w:r>
    </w:p>
    <w:p w:rsidRPr="00E00E93" w:rsidR="0093316B" w:rsidP="0093316B" w:rsidRDefault="0093316B" w14:paraId="6A11E7D6" w14:textId="77777777">
      <w:pPr>
        <w:pStyle w:val="Heading3"/>
      </w:pPr>
      <w:r w:rsidRPr="00E00E93">
        <w:t xml:space="preserve">requiring respondents to report information to the agency more often than quarterly; </w:t>
      </w:r>
    </w:p>
    <w:p w:rsidRPr="00E00E93" w:rsidR="0093316B" w:rsidP="0093316B" w:rsidRDefault="0093316B" w14:paraId="4BF7DF92" w14:textId="77777777">
      <w:pPr>
        <w:pStyle w:val="Heading3"/>
      </w:pPr>
      <w:r w:rsidRPr="00E00E93">
        <w:t xml:space="preserve">requiring respondents to prepare a written response to a collection of information in fewer than 30 days after receipt of it; </w:t>
      </w:r>
    </w:p>
    <w:p w:rsidRPr="00E00E93" w:rsidR="0093316B" w:rsidP="0093316B" w:rsidRDefault="0093316B" w14:paraId="7F48D447" w14:textId="77777777">
      <w:pPr>
        <w:pStyle w:val="Heading3"/>
      </w:pPr>
      <w:r w:rsidRPr="00E00E93">
        <w:t xml:space="preserve">requiring respondents to submit more than an original and two copies of any document; </w:t>
      </w:r>
    </w:p>
    <w:p w:rsidRPr="00E00E93" w:rsidR="0093316B" w:rsidP="0093316B" w:rsidRDefault="0093316B" w14:paraId="2804ABBE" w14:textId="77777777">
      <w:pPr>
        <w:pStyle w:val="Heading3"/>
      </w:pPr>
      <w:r w:rsidRPr="00E00E93">
        <w:t xml:space="preserve">requiring respondents to retain records, other than health, medical, government contract, grant-in-aid, or tax records, for more than three years; </w:t>
      </w:r>
    </w:p>
    <w:p w:rsidRPr="00E00E93" w:rsidR="0093316B" w:rsidP="0093316B" w:rsidRDefault="0093316B" w14:paraId="563D6CEB" w14:textId="77777777">
      <w:pPr>
        <w:pStyle w:val="Heading3"/>
      </w:pPr>
      <w:r w:rsidRPr="00E00E93">
        <w:t>in connection with a statistical survey, that is not designed to produce valid and reliable results that can be generalized to the universe of study;</w:t>
      </w:r>
    </w:p>
    <w:p w:rsidRPr="00E00E93" w:rsidR="0093316B" w:rsidP="0093316B" w:rsidRDefault="0093316B" w14:paraId="0D88457F" w14:textId="77777777">
      <w:pPr>
        <w:pStyle w:val="Heading3"/>
      </w:pPr>
      <w:r w:rsidRPr="00E00E93">
        <w:t xml:space="preserve">requiring the use of a statistical data classification that has not been reviewed and approved by OMB; </w:t>
      </w:r>
    </w:p>
    <w:p w:rsidRPr="00E00E93" w:rsidR="0093316B" w:rsidP="0093316B" w:rsidRDefault="0093316B" w14:paraId="3FDECF9C" w14:textId="77777777">
      <w:pPr>
        <w:pStyle w:val="Heading3"/>
      </w:pPr>
      <w:r w:rsidRPr="00E00E9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P="0093316B" w:rsidRDefault="0093316B" w14:paraId="61CF6F88" w14:textId="77777777">
      <w:pPr>
        <w:pStyle w:val="Heading3"/>
      </w:pPr>
      <w:r w:rsidRPr="00E00E93">
        <w:lastRenderedPageBreak/>
        <w:t xml:space="preserve">requiring respondents to submit proprietary trade secrets, or other confidential information unless the agency can demonstrate that it has instituted procedures to protect the information's confidentiality to the extent permitted by law.  </w:t>
      </w:r>
    </w:p>
    <w:p w:rsidRPr="00135E26" w:rsidR="00135E26" w:rsidP="00135E26" w:rsidRDefault="00A72826" w14:paraId="531FD268" w14:textId="6607229C">
      <w:r>
        <w:t xml:space="preserve">This rule proposes to require entities to </w:t>
      </w:r>
      <w:r w:rsidR="001878AE">
        <w:t xml:space="preserve">retain certain records for </w:t>
      </w:r>
      <w:r w:rsidR="00336A5E">
        <w:t>five years. These r</w:t>
      </w:r>
      <w:r w:rsidR="00225DFA">
        <w:t xml:space="preserve">ecords are required </w:t>
      </w:r>
      <w:r>
        <w:t xml:space="preserve">to mitigate unreasonable risks to human </w:t>
      </w:r>
      <w:r w:rsidR="009F413F">
        <w:t>health</w:t>
      </w:r>
      <w:r>
        <w:t>.</w:t>
      </w:r>
    </w:p>
    <w:p w:rsidR="00E00E93" w:rsidP="002059F4" w:rsidRDefault="009A7738" w14:paraId="0102AF12" w14:textId="77777777">
      <w:pPr>
        <w:pStyle w:val="Heading2"/>
        <w:ind w:left="360"/>
      </w:pPr>
      <w:r w:rsidRPr="003041B0">
        <w:t>If applicable, provide a copy and identify the date and page number of publication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P="00E00E93" w:rsidRDefault="009A7738" w14:paraId="4DF9935E" w14:textId="04B2BCAD">
      <w:pPr>
        <w:pStyle w:val="Heading2"/>
        <w:numPr>
          <w:ilvl w:val="0"/>
          <w:numId w:val="0"/>
        </w:numPr>
        <w:ind w:left="360"/>
      </w:pPr>
      <w:r w:rsidRPr="003041B0">
        <w:t xml:space="preserve">Describe efforts to consult with persons outside </w:t>
      </w:r>
      <w:r w:rsidR="002059F4">
        <w:t>EPA</w:t>
      </w:r>
      <w:r w:rsidRPr="003041B0">
        <w:t xml:space="preserve"> to obtain their views on the availability of data, frequency of collection, the clarity of instructions and recordkeeping, disclosure, or reporting format (if any), and on the data elements to be recorded, disclosed, or report</w:t>
      </w:r>
      <w:r w:rsidR="00E00E93">
        <w:t>ed</w:t>
      </w:r>
      <w:r w:rsidRPr="003041B0">
        <w:t>.</w:t>
      </w:r>
    </w:p>
    <w:p w:rsidR="00E00E93" w:rsidP="00E00E93" w:rsidRDefault="00E00E93" w14:paraId="57FCDACA" w14:textId="36B2B672">
      <w:pPr>
        <w:pStyle w:val="Heading2"/>
        <w:numPr>
          <w:ilvl w:val="0"/>
          <w:numId w:val="0"/>
        </w:numPr>
        <w:ind w:left="360"/>
      </w:pPr>
      <w:r w:rsidRPr="00A20E41">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25C63" w:rsidR="00C418F1" w:rsidP="00BE120A" w:rsidRDefault="00C418F1" w14:paraId="11535866" w14:textId="2696979E">
      <w:pPr>
        <w:pStyle w:val="NoSpacing"/>
        <w:spacing w:after="200"/>
        <w:ind w:left="360"/>
        <w:rPr>
          <w:rFonts w:ascii="Arial" w:hAnsi="Arial" w:cs="Arial"/>
          <w:b/>
          <w:sz w:val="24"/>
          <w:szCs w:val="24"/>
        </w:rPr>
      </w:pPr>
      <w:r w:rsidRPr="00F25C63">
        <w:rPr>
          <w:rFonts w:ascii="Arial" w:hAnsi="Arial" w:cs="Arial"/>
          <w:sz w:val="24"/>
          <w:szCs w:val="24"/>
        </w:rPr>
        <w:t>The proposed rulemaking serves as the public notice for this ICR amendment. Interested parties should submit comments referencing Docket ID No. EPA-HQ-OPPT</w:t>
      </w:r>
      <w:r w:rsidR="00523250">
        <w:rPr>
          <w:rFonts w:ascii="Arial" w:hAnsi="Arial" w:cs="Arial"/>
          <w:sz w:val="24"/>
          <w:szCs w:val="24"/>
        </w:rPr>
        <w:t>-2021-0057</w:t>
      </w:r>
      <w:r w:rsidRPr="00F25C63">
        <w:rPr>
          <w:rFonts w:ascii="Arial" w:hAnsi="Arial" w:cs="Arial"/>
          <w:sz w:val="24"/>
          <w:szCs w:val="24"/>
        </w:rPr>
        <w:t xml:space="preserve"> to the address listed at the end of this document. Responses will be </w:t>
      </w:r>
      <w:proofErr w:type="gramStart"/>
      <w:r w:rsidRPr="00F25C63">
        <w:rPr>
          <w:rFonts w:ascii="Arial" w:hAnsi="Arial" w:cs="Arial"/>
          <w:sz w:val="24"/>
          <w:szCs w:val="24"/>
        </w:rPr>
        <w:t>taken into account</w:t>
      </w:r>
      <w:proofErr w:type="gramEnd"/>
      <w:r w:rsidRPr="00F25C63">
        <w:rPr>
          <w:rFonts w:ascii="Arial" w:hAnsi="Arial" w:cs="Arial"/>
          <w:sz w:val="24"/>
          <w:szCs w:val="24"/>
        </w:rPr>
        <w:t xml:space="preserve"> in developing the final rulemaking. </w:t>
      </w:r>
    </w:p>
    <w:p w:rsidR="009A7738" w:rsidP="002059F4" w:rsidRDefault="009A7738" w14:paraId="68CD10BA" w14:textId="7E18C8CD">
      <w:pPr>
        <w:pStyle w:val="Heading2"/>
        <w:ind w:left="360"/>
      </w:pPr>
      <w:r>
        <w:t>Explain any decision to provide any payment or gift to respondents, other than remuneration of contractors or grantees.</w:t>
      </w:r>
    </w:p>
    <w:p w:rsidRPr="00C418F1" w:rsidR="00C418F1" w:rsidP="00C418F1" w:rsidRDefault="00C418F1" w14:paraId="17DC6639" w14:textId="485D63CE">
      <w:pPr>
        <w:ind w:left="360"/>
        <w:rPr>
          <w:lang w:bidi="en-US"/>
        </w:rPr>
      </w:pPr>
      <w:r>
        <w:rPr>
          <w:lang w:bidi="en-US"/>
        </w:rPr>
        <w:t>This collection does not provide any payment or gift to respondents.</w:t>
      </w:r>
    </w:p>
    <w:p w:rsidR="009A7738" w:rsidP="002059F4" w:rsidRDefault="009A7738" w14:paraId="1E0798B2" w14:textId="3E56BF54">
      <w:pPr>
        <w:pStyle w:val="Heading2"/>
        <w:ind w:left="360"/>
      </w:pPr>
      <w:r w:rsidRPr="003041B0">
        <w:t>Describe any assurance of confidentiality provided to respondents and the basis for the assurance in statute, regulation, or agency policy.</w:t>
      </w:r>
      <w:r w:rsidR="00E00E93">
        <w:t xml:space="preserve"> </w:t>
      </w:r>
      <w:r w:rsidRPr="00CB6A40" w:rsidR="00E00E93">
        <w:t>If the collection requires a systems of records notice (SORN) or privacy impact assessment (PIA), those should be cited and described here.</w:t>
      </w:r>
    </w:p>
    <w:p w:rsidRPr="00C418F1" w:rsidR="00C418F1" w:rsidP="00C418F1" w:rsidRDefault="00C418F1" w14:paraId="7B686189" w14:textId="4EF4CEE3">
      <w:pPr>
        <w:ind w:left="360"/>
        <w:rPr>
          <w:lang w:bidi="en-US"/>
        </w:rPr>
      </w:pPr>
      <w:r>
        <w:rPr>
          <w:lang w:bidi="en-US"/>
        </w:rPr>
        <w:t>EPA will not be collecting any information. Therefore, confidential information will not be submitted to EPA.</w:t>
      </w:r>
    </w:p>
    <w:p w:rsidR="00575DC0" w:rsidP="002059F4" w:rsidRDefault="009A7738" w14:paraId="675D5854" w14:textId="20B1AAB7">
      <w:pPr>
        <w:pStyle w:val="Heading2"/>
        <w:ind w:left="360"/>
      </w:pPr>
      <w:r w:rsidRPr="00C42EF5">
        <w:t xml:space="preserve">Provide additional justification for any questions of a sensitive nature, </w:t>
      </w:r>
      <w:r w:rsidR="00575DC0">
        <w:t>such as sexual behavior and attitudes, religious beliefs, and other</w:t>
      </w:r>
      <w:r w:rsidRPr="00C42EF5">
        <w:t xml:space="preserve"> matters that are commonly considered private.</w:t>
      </w:r>
      <w:r w:rsidR="00E00E93">
        <w:t xml:space="preserve"> </w:t>
      </w:r>
      <w:r w:rsidRPr="00E00E93" w:rsidR="00E00E93">
        <w:t xml:space="preserve">This justification should include the reasons why the agency considers the questions necessary, the specific uses to be </w:t>
      </w:r>
      <w:r w:rsidRPr="00E00E93" w:rsidR="00E00E93">
        <w:lastRenderedPageBreak/>
        <w:t>made of the information, the explanation to be given to persons from whom the information is requested, and any steps to be taken to obtain their consent.</w:t>
      </w:r>
    </w:p>
    <w:p w:rsidRPr="00C418F1" w:rsidR="00C418F1" w:rsidP="00C418F1" w:rsidRDefault="00C418F1" w14:paraId="5AEEF68F" w14:textId="3217E627">
      <w:pPr>
        <w:ind w:left="360"/>
        <w:rPr>
          <w:lang w:bidi="en-US"/>
        </w:rPr>
      </w:pPr>
      <w:r>
        <w:rPr>
          <w:lang w:bidi="en-US"/>
        </w:rPr>
        <w:t>The information collection activities do not include questions of a sensitive nature.</w:t>
      </w:r>
    </w:p>
    <w:p w:rsidR="00E00E93" w:rsidP="00E00E93" w:rsidRDefault="00294EAC" w14:paraId="29AD7DEB" w14:textId="5EB0E3BA">
      <w:pPr>
        <w:pStyle w:val="Heading2"/>
        <w:ind w:left="360"/>
      </w:pPr>
      <w:r w:rsidRPr="00C42EF5">
        <w:t>Provide estimates of the hour burden of the collection of information.</w:t>
      </w:r>
      <w:r w:rsidR="00E00E93">
        <w:t xml:space="preserve"> The statement should: </w:t>
      </w:r>
    </w:p>
    <w:p w:rsidR="00E00E93" w:rsidP="00E00E93" w:rsidRDefault="00E00E93" w14:paraId="7FC47722" w14:textId="77777777">
      <w:pPr>
        <w:pStyle w:val="Heading3"/>
        <w:numPr>
          <w:ilvl w:val="0"/>
          <w:numId w:val="36"/>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E00E93" w:rsidRDefault="00E00E93" w14:paraId="2F1B6098" w14:textId="77777777">
      <w:pPr>
        <w:pStyle w:val="Heading3"/>
      </w:pPr>
      <w:r>
        <w:t xml:space="preserve">If this request for approval covers more than one form, provide separate hour burden estimates for each form and aggregate the hour burdens. </w:t>
      </w:r>
    </w:p>
    <w:p w:rsidR="00294EAC" w:rsidP="00E00E93" w:rsidRDefault="00E00E93" w14:paraId="2E905BB2" w14:textId="485569D4">
      <w:pPr>
        <w:pStyle w:val="Heading3"/>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614FFA" w:rsidP="00614FFA" w:rsidRDefault="00881E21" w14:paraId="6EEA30EA" w14:textId="1083E61C">
      <w:pPr>
        <w:pStyle w:val="ListParagraph"/>
        <w:ind w:left="0"/>
        <w:rPr>
          <w:noProof/>
        </w:rPr>
      </w:pPr>
      <w:r>
        <w:t xml:space="preserve">EPA’s </w:t>
      </w:r>
      <w:r w:rsidRPr="00881E21">
        <w:rPr>
          <w:i/>
          <w:iCs/>
        </w:rPr>
        <w:t>Economic Analysis of the Proposed Rule for Asbestos Part 1 Risk Management</w:t>
      </w:r>
      <w:r w:rsidRPr="00881E21">
        <w:t xml:space="preserve"> </w:t>
      </w:r>
      <w:r w:rsidR="00614FFA">
        <w:rPr>
          <w:noProof/>
        </w:rPr>
        <w:t>(U.S. EPA, 202</w:t>
      </w:r>
      <w:r>
        <w:rPr>
          <w:noProof/>
        </w:rPr>
        <w:t>2</w:t>
      </w:r>
      <w:r w:rsidRPr="000C2B62" w:rsidR="00614FFA">
        <w:rPr>
          <w:noProof/>
        </w:rPr>
        <w:t>) provides the detailed methodology for estimating the number of respondents.</w:t>
      </w:r>
      <w:r w:rsidR="00614FFA">
        <w:rPr>
          <w:noProof/>
        </w:rPr>
        <w:t xml:space="preserve"> </w:t>
      </w:r>
    </w:p>
    <w:p w:rsidR="00CB6148" w:rsidP="00CB6148" w:rsidRDefault="00614FFA" w14:paraId="2B999A37" w14:textId="1995BB04">
      <w:pPr>
        <w:pStyle w:val="BodyText"/>
        <w:spacing w:after="200" w:line="276" w:lineRule="auto"/>
        <w:rPr>
          <w:u w:val="single"/>
        </w:rPr>
      </w:pPr>
      <w:r w:rsidRPr="007D70B1">
        <w:rPr>
          <w:u w:val="single"/>
        </w:rPr>
        <w:t>Recordkeeping</w:t>
      </w:r>
    </w:p>
    <w:p w:rsidR="00C656FE" w:rsidP="00CB6148" w:rsidRDefault="00C656FE" w14:paraId="378C1B09" w14:textId="1C67EAE4">
      <w:pPr>
        <w:pStyle w:val="BodyText"/>
        <w:spacing w:after="200" w:line="276" w:lineRule="auto"/>
        <w:rPr>
          <w:bCs/>
        </w:rPr>
      </w:pPr>
      <w:r>
        <w:rPr>
          <w:bCs/>
        </w:rPr>
        <w:t>Under the proposed rule primary option, the</w:t>
      </w:r>
      <w:r w:rsidRPr="001B3139">
        <w:rPr>
          <w:bCs/>
        </w:rPr>
        <w:t xml:space="preserve"> recordkeeping requirement mandates companies that manufacture (import), process, distribute in commerce and use chrysotile asbestos to retain certain information at the company headquarters for five years from the date of shipment. These information collection activities are necessary to provide EPA with information upon inspection.</w:t>
      </w:r>
      <w:r>
        <w:rPr>
          <w:bCs/>
        </w:rPr>
        <w:t xml:space="preserve"> In the Economic Analysis, it is </w:t>
      </w:r>
      <w:r w:rsidR="00EB4C06">
        <w:rPr>
          <w:bCs/>
        </w:rPr>
        <w:t xml:space="preserve">generally </w:t>
      </w:r>
      <w:r>
        <w:rPr>
          <w:bCs/>
        </w:rPr>
        <w:t xml:space="preserve">assumed recordkeeping associated with maintaining ordinary business records is </w:t>
      </w:r>
      <w:r w:rsidR="00EB4C06">
        <w:rPr>
          <w:bCs/>
        </w:rPr>
        <w:t>performed</w:t>
      </w:r>
      <w:r>
        <w:rPr>
          <w:bCs/>
        </w:rPr>
        <w:t xml:space="preserve"> in the baseline</w:t>
      </w:r>
      <w:r w:rsidR="00D7531A">
        <w:rPr>
          <w:bCs/>
        </w:rPr>
        <w:t xml:space="preserve">. </w:t>
      </w:r>
      <w:r w:rsidR="00EB4C06">
        <w:rPr>
          <w:bCs/>
        </w:rPr>
        <w:t>However, there are two exceptions. E</w:t>
      </w:r>
      <w:r>
        <w:rPr>
          <w:bCs/>
        </w:rPr>
        <w:t xml:space="preserve">nd users of sheet gaskets and </w:t>
      </w:r>
      <w:r w:rsidR="00EB4C06">
        <w:rPr>
          <w:bCs/>
        </w:rPr>
        <w:t xml:space="preserve">end users of </w:t>
      </w:r>
      <w:r>
        <w:rPr>
          <w:bCs/>
        </w:rPr>
        <w:t>aftermarket automotive br</w:t>
      </w:r>
      <w:r w:rsidR="00A16D11">
        <w:rPr>
          <w:bCs/>
        </w:rPr>
        <w:t>a</w:t>
      </w:r>
      <w:r>
        <w:rPr>
          <w:bCs/>
        </w:rPr>
        <w:t>k</w:t>
      </w:r>
      <w:r w:rsidR="00A16D11">
        <w:rPr>
          <w:bCs/>
        </w:rPr>
        <w:t>e</w:t>
      </w:r>
      <w:r>
        <w:rPr>
          <w:bCs/>
        </w:rPr>
        <w:t xml:space="preserve">s will incur </w:t>
      </w:r>
      <w:r w:rsidR="00EB4C06">
        <w:rPr>
          <w:bCs/>
        </w:rPr>
        <w:t xml:space="preserve">additional </w:t>
      </w:r>
      <w:r>
        <w:rPr>
          <w:bCs/>
        </w:rPr>
        <w:t xml:space="preserve">recordkeeping costs associated with disposal activities. </w:t>
      </w:r>
    </w:p>
    <w:p w:rsidR="00E80182" w:rsidP="00CB6148" w:rsidRDefault="00E80182" w14:paraId="16007BBD" w14:textId="66B14B02">
      <w:pPr>
        <w:pStyle w:val="BodyText"/>
        <w:spacing w:after="200" w:line="276" w:lineRule="auto"/>
        <w:rPr>
          <w:bCs/>
        </w:rPr>
      </w:pPr>
      <w:r>
        <w:t>For recordkeeping</w:t>
      </w:r>
      <w:r w:rsidR="006A31B2">
        <w:t xml:space="preserve"> among these two groups of end users</w:t>
      </w:r>
      <w:r>
        <w:rPr>
          <w:bCs/>
        </w:rPr>
        <w:t xml:space="preserve">, 16 respondents </w:t>
      </w:r>
      <w:r w:rsidR="000B525C">
        <w:rPr>
          <w:bCs/>
        </w:rPr>
        <w:t xml:space="preserve">are estimated to </w:t>
      </w:r>
      <w:r>
        <w:rPr>
          <w:bCs/>
        </w:rPr>
        <w:t xml:space="preserve">incur an average burden over the first three years of the rule of </w:t>
      </w:r>
      <w:r w:rsidR="00EB4C06">
        <w:rPr>
          <w:bCs/>
        </w:rPr>
        <w:t>29</w:t>
      </w:r>
      <w:r>
        <w:rPr>
          <w:bCs/>
        </w:rPr>
        <w:t xml:space="preserve"> hours each, for a total annual burden of </w:t>
      </w:r>
      <w:r w:rsidR="00EB4C06">
        <w:rPr>
          <w:bCs/>
        </w:rPr>
        <w:t>87</w:t>
      </w:r>
      <w:r>
        <w:rPr>
          <w:bCs/>
        </w:rPr>
        <w:t xml:space="preserve"> hours. </w:t>
      </w:r>
      <w:r w:rsidR="006A31B2">
        <w:rPr>
          <w:bCs/>
        </w:rPr>
        <w:t xml:space="preserve">Each respondent is expected to complete this activity </w:t>
      </w:r>
      <w:r w:rsidR="006A31B2">
        <w:rPr>
          <w:bCs/>
        </w:rPr>
        <w:lastRenderedPageBreak/>
        <w:t>once per year</w:t>
      </w:r>
      <w:r w:rsidR="00A16D11">
        <w:rPr>
          <w:bCs/>
        </w:rPr>
        <w:t>. Sheet gasket end users are expected to complete this activity in Years 1 and 2, and end users of aftermarket automotive brakes are expected to complete this activity in Year 1 only</w:t>
      </w:r>
      <w:r w:rsidR="006A31B2">
        <w:rPr>
          <w:bCs/>
        </w:rPr>
        <w:t>.</w:t>
      </w:r>
    </w:p>
    <w:p w:rsidR="00F822AC" w:rsidP="00E80182" w:rsidRDefault="00F822AC" w14:paraId="7ED1D3A4" w14:textId="0A9E0A0B">
      <w:pPr>
        <w:rPr>
          <w:rFonts w:cs="Arial" w:eastAsiaTheme="minorEastAsia"/>
          <w:szCs w:val="24"/>
          <w:lang w:bidi="en-US"/>
        </w:rPr>
      </w:pPr>
    </w:p>
    <w:tbl>
      <w:tblPr>
        <w:tblW w:w="0" w:type="auto"/>
        <w:tblLayout w:type="fixed"/>
        <w:tblLook w:val="04A0" w:firstRow="1" w:lastRow="0" w:firstColumn="1" w:lastColumn="0" w:noHBand="0" w:noVBand="1"/>
      </w:tblPr>
      <w:tblGrid>
        <w:gridCol w:w="1768"/>
        <w:gridCol w:w="2226"/>
        <w:gridCol w:w="3021"/>
        <w:gridCol w:w="2335"/>
      </w:tblGrid>
      <w:tr w:rsidRPr="00EB4C06" w:rsidR="00EB4C06" w:rsidTr="00BE120A" w14:paraId="45BD6A89" w14:textId="77777777">
        <w:trPr>
          <w:trHeight w:val="280"/>
        </w:trPr>
        <w:tc>
          <w:tcPr>
            <w:tcW w:w="9350" w:type="dxa"/>
            <w:gridSpan w:val="4"/>
            <w:tcBorders>
              <w:top w:val="single" w:color="000000" w:sz="4" w:space="0"/>
              <w:left w:val="single" w:color="000000" w:sz="4" w:space="0"/>
              <w:bottom w:val="single" w:color="000000" w:sz="4" w:space="0"/>
              <w:right w:val="single" w:color="000000" w:sz="4" w:space="0"/>
            </w:tcBorders>
            <w:shd w:val="clear" w:color="000000" w:fill="BFBFBF"/>
            <w:noWrap/>
            <w:vAlign w:val="center"/>
            <w:hideMark/>
          </w:tcPr>
          <w:p w:rsidRPr="00BE120A" w:rsidR="00EB4C06" w:rsidRDefault="00EB4C06" w14:paraId="02BDC865" w14:textId="1046B075">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 xml:space="preserve">Summary of Three Year Average Incremental </w:t>
            </w:r>
            <w:r w:rsidRPr="00BE120A" w:rsidR="00983214">
              <w:rPr>
                <w:rFonts w:eastAsia="Times New Roman" w:asciiTheme="minorBidi" w:hAnsiTheme="minorBidi"/>
                <w:b/>
                <w:bCs/>
                <w:color w:val="000000"/>
                <w:sz w:val="20"/>
                <w:szCs w:val="20"/>
              </w:rPr>
              <w:t xml:space="preserve">Cost </w:t>
            </w:r>
            <w:r w:rsidRPr="00BE120A">
              <w:rPr>
                <w:rFonts w:eastAsia="Times New Roman" w:asciiTheme="minorBidi" w:hAnsiTheme="minorBidi"/>
                <w:b/>
                <w:bCs/>
                <w:color w:val="000000"/>
                <w:sz w:val="20"/>
                <w:szCs w:val="20"/>
              </w:rPr>
              <w:t>Burden for Primary Option</w:t>
            </w:r>
          </w:p>
        </w:tc>
      </w:tr>
      <w:tr w:rsidRPr="00A16D11" w:rsidR="00830AC1" w:rsidTr="00BE120A" w14:paraId="1E870B94" w14:textId="77777777">
        <w:trPr>
          <w:trHeight w:val="280"/>
        </w:trPr>
        <w:tc>
          <w:tcPr>
            <w:tcW w:w="1768" w:type="dxa"/>
            <w:tcBorders>
              <w:top w:val="nil"/>
              <w:left w:val="single" w:color="000000" w:sz="4" w:space="0"/>
              <w:bottom w:val="single" w:color="000000" w:sz="4" w:space="0"/>
              <w:right w:val="single" w:color="000000" w:sz="4" w:space="0"/>
            </w:tcBorders>
            <w:shd w:val="clear" w:color="000000" w:fill="BFBFBF"/>
            <w:noWrap/>
            <w:vAlign w:val="center"/>
            <w:hideMark/>
          </w:tcPr>
          <w:p w:rsidRPr="00BE120A" w:rsidR="00EB4C06" w:rsidRDefault="00EB4C06" w14:paraId="0EACEB2F" w14:textId="77777777">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Activity</w:t>
            </w:r>
          </w:p>
        </w:tc>
        <w:tc>
          <w:tcPr>
            <w:tcW w:w="2226" w:type="dxa"/>
            <w:tcBorders>
              <w:top w:val="nil"/>
              <w:left w:val="nil"/>
              <w:bottom w:val="single" w:color="000000" w:sz="4" w:space="0"/>
              <w:right w:val="single" w:color="000000" w:sz="4" w:space="0"/>
            </w:tcBorders>
            <w:shd w:val="clear" w:color="000000" w:fill="BFBFBF"/>
            <w:noWrap/>
            <w:vAlign w:val="center"/>
            <w:hideMark/>
          </w:tcPr>
          <w:p w:rsidRPr="00BE120A" w:rsidR="00EB4C06" w:rsidRDefault="00EB4C06" w14:paraId="1AC7134A" w14:textId="77777777">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Number of Respondents</w:t>
            </w:r>
          </w:p>
        </w:tc>
        <w:tc>
          <w:tcPr>
            <w:tcW w:w="3021" w:type="dxa"/>
            <w:tcBorders>
              <w:top w:val="nil"/>
              <w:left w:val="nil"/>
              <w:bottom w:val="single" w:color="000000" w:sz="4" w:space="0"/>
              <w:right w:val="single" w:color="000000" w:sz="4" w:space="0"/>
            </w:tcBorders>
            <w:shd w:val="clear" w:color="000000" w:fill="BFBFBF"/>
            <w:noWrap/>
            <w:vAlign w:val="center"/>
            <w:hideMark/>
          </w:tcPr>
          <w:p w:rsidRPr="00BE120A" w:rsidR="00EB4C06" w:rsidRDefault="00EB4C06" w14:paraId="623BAD9C" w14:textId="2504940E">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 xml:space="preserve">Average 3-Year Burden per Respondent </w:t>
            </w:r>
            <w:r w:rsidRPr="00BE120A" w:rsidR="00830AC1">
              <w:rPr>
                <w:rFonts w:eastAsia="Times New Roman" w:asciiTheme="minorBidi" w:hAnsiTheme="minorBidi"/>
                <w:b/>
                <w:bCs/>
                <w:color w:val="000000"/>
                <w:sz w:val="20"/>
                <w:szCs w:val="20"/>
              </w:rPr>
              <w:t xml:space="preserve">for Technical and </w:t>
            </w:r>
            <w:r w:rsidRPr="00BE120A" w:rsidR="00983214">
              <w:rPr>
                <w:rFonts w:eastAsia="Times New Roman" w:asciiTheme="minorBidi" w:hAnsiTheme="minorBidi"/>
                <w:b/>
                <w:bCs/>
                <w:color w:val="000000"/>
                <w:sz w:val="20"/>
                <w:szCs w:val="20"/>
              </w:rPr>
              <w:t>Clerical</w:t>
            </w:r>
            <w:r w:rsidRPr="00BE120A" w:rsidR="00830AC1">
              <w:rPr>
                <w:rFonts w:eastAsia="Times New Roman" w:asciiTheme="minorBidi" w:hAnsiTheme="minorBidi"/>
                <w:b/>
                <w:bCs/>
                <w:color w:val="000000"/>
                <w:sz w:val="20"/>
                <w:szCs w:val="20"/>
              </w:rPr>
              <w:t xml:space="preserve"> Staff</w:t>
            </w:r>
          </w:p>
        </w:tc>
        <w:tc>
          <w:tcPr>
            <w:tcW w:w="2335" w:type="dxa"/>
            <w:tcBorders>
              <w:top w:val="nil"/>
              <w:left w:val="nil"/>
              <w:bottom w:val="single" w:color="000000" w:sz="4" w:space="0"/>
              <w:right w:val="single" w:color="000000" w:sz="4" w:space="0"/>
            </w:tcBorders>
            <w:shd w:val="clear" w:color="000000" w:fill="BFBFBF"/>
            <w:noWrap/>
            <w:vAlign w:val="center"/>
            <w:hideMark/>
          </w:tcPr>
          <w:p w:rsidRPr="00BE120A" w:rsidR="00EB4C06" w:rsidRDefault="00EB4C06" w14:paraId="26802E90" w14:textId="4E6D0D88">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Total 3-Year Burden</w:t>
            </w:r>
            <w:r w:rsidRPr="00BE120A" w:rsidR="00830AC1">
              <w:rPr>
                <w:rFonts w:eastAsia="Times New Roman" w:asciiTheme="minorBidi" w:hAnsiTheme="minorBidi"/>
                <w:b/>
                <w:bCs/>
                <w:color w:val="000000"/>
                <w:sz w:val="20"/>
                <w:szCs w:val="20"/>
              </w:rPr>
              <w:t xml:space="preserve"> for Technical and </w:t>
            </w:r>
            <w:r w:rsidRPr="00BE120A" w:rsidR="00983214">
              <w:rPr>
                <w:rFonts w:eastAsia="Times New Roman" w:asciiTheme="minorBidi" w:hAnsiTheme="minorBidi"/>
                <w:b/>
                <w:bCs/>
                <w:color w:val="000000"/>
                <w:sz w:val="20"/>
                <w:szCs w:val="20"/>
              </w:rPr>
              <w:t xml:space="preserve">Clerical </w:t>
            </w:r>
            <w:r w:rsidRPr="00BE120A" w:rsidR="00830AC1">
              <w:rPr>
                <w:rFonts w:eastAsia="Times New Roman" w:asciiTheme="minorBidi" w:hAnsiTheme="minorBidi"/>
                <w:b/>
                <w:bCs/>
                <w:color w:val="000000"/>
                <w:sz w:val="20"/>
                <w:szCs w:val="20"/>
              </w:rPr>
              <w:t>Staff</w:t>
            </w:r>
          </w:p>
        </w:tc>
      </w:tr>
      <w:tr w:rsidRPr="00EB4C06" w:rsidR="00EB4C06" w:rsidTr="00BE120A" w14:paraId="47C019D1" w14:textId="77777777">
        <w:trPr>
          <w:trHeight w:val="280"/>
        </w:trPr>
        <w:tc>
          <w:tcPr>
            <w:tcW w:w="1768" w:type="dxa"/>
            <w:tcBorders>
              <w:top w:val="nil"/>
              <w:left w:val="single" w:color="000000" w:sz="4" w:space="0"/>
              <w:bottom w:val="single" w:color="000000" w:sz="4" w:space="0"/>
              <w:right w:val="single" w:color="000000" w:sz="4" w:space="0"/>
            </w:tcBorders>
            <w:shd w:val="clear" w:color="auto" w:fill="auto"/>
            <w:noWrap/>
            <w:vAlign w:val="center"/>
            <w:hideMark/>
          </w:tcPr>
          <w:p w:rsidRPr="00BE120A" w:rsidR="00EB4C06" w:rsidP="00EB4C06" w:rsidRDefault="00EB4C06" w14:paraId="1E120D65" w14:textId="77777777">
            <w:pPr>
              <w:spacing w:after="0" w:line="240" w:lineRule="auto"/>
              <w:rPr>
                <w:rFonts w:eastAsia="Times New Roman" w:asciiTheme="minorBidi" w:hAnsiTheme="minorBidi"/>
                <w:color w:val="000000"/>
                <w:sz w:val="20"/>
                <w:szCs w:val="20"/>
              </w:rPr>
            </w:pPr>
            <w:r w:rsidRPr="00BE120A">
              <w:rPr>
                <w:rFonts w:eastAsia="Times New Roman" w:asciiTheme="minorBidi" w:hAnsiTheme="minorBidi"/>
                <w:color w:val="000000"/>
                <w:sz w:val="20"/>
                <w:szCs w:val="20"/>
              </w:rPr>
              <w:t>Recordkeeping</w:t>
            </w:r>
          </w:p>
        </w:tc>
        <w:tc>
          <w:tcPr>
            <w:tcW w:w="2226" w:type="dxa"/>
            <w:tcBorders>
              <w:top w:val="nil"/>
              <w:left w:val="nil"/>
              <w:bottom w:val="single" w:color="000000" w:sz="4" w:space="0"/>
              <w:right w:val="single" w:color="000000" w:sz="4" w:space="0"/>
            </w:tcBorders>
            <w:shd w:val="clear" w:color="auto" w:fill="auto"/>
            <w:noWrap/>
            <w:vAlign w:val="center"/>
            <w:hideMark/>
          </w:tcPr>
          <w:p w:rsidRPr="00BE120A" w:rsidR="00EB4C06" w:rsidP="00EB4C06" w:rsidRDefault="00EB4C06" w14:paraId="35989ED4" w14:textId="77777777">
            <w:pPr>
              <w:spacing w:after="0" w:line="240" w:lineRule="auto"/>
              <w:jc w:val="right"/>
              <w:rPr>
                <w:rFonts w:eastAsia="Times New Roman" w:asciiTheme="minorBidi" w:hAnsiTheme="minorBidi"/>
                <w:color w:val="000000"/>
                <w:sz w:val="20"/>
                <w:szCs w:val="20"/>
              </w:rPr>
            </w:pPr>
            <w:r w:rsidRPr="00BE120A">
              <w:rPr>
                <w:rFonts w:eastAsia="Times New Roman" w:asciiTheme="minorBidi" w:hAnsiTheme="minorBidi"/>
                <w:color w:val="000000"/>
                <w:sz w:val="20"/>
                <w:szCs w:val="20"/>
              </w:rPr>
              <w:t>16</w:t>
            </w:r>
          </w:p>
        </w:tc>
        <w:tc>
          <w:tcPr>
            <w:tcW w:w="3021" w:type="dxa"/>
            <w:tcBorders>
              <w:top w:val="nil"/>
              <w:left w:val="nil"/>
              <w:bottom w:val="single" w:color="000000" w:sz="4" w:space="0"/>
              <w:right w:val="single" w:color="000000" w:sz="4" w:space="0"/>
            </w:tcBorders>
            <w:shd w:val="clear" w:color="auto" w:fill="auto"/>
            <w:noWrap/>
            <w:vAlign w:val="center"/>
            <w:hideMark/>
          </w:tcPr>
          <w:p w:rsidRPr="00BE120A" w:rsidR="00EB4C06" w:rsidP="00EB4C06" w:rsidRDefault="00EB4C06" w14:paraId="3B11FB44" w14:textId="77777777">
            <w:pPr>
              <w:spacing w:after="0" w:line="240" w:lineRule="auto"/>
              <w:jc w:val="right"/>
              <w:rPr>
                <w:rFonts w:eastAsia="Times New Roman" w:asciiTheme="minorBidi" w:hAnsiTheme="minorBidi"/>
                <w:color w:val="000000"/>
                <w:sz w:val="20"/>
                <w:szCs w:val="20"/>
              </w:rPr>
            </w:pPr>
            <w:r w:rsidRPr="00BE120A">
              <w:rPr>
                <w:rFonts w:eastAsia="Times New Roman" w:asciiTheme="minorBidi" w:hAnsiTheme="minorBidi"/>
                <w:color w:val="000000"/>
                <w:sz w:val="20"/>
                <w:szCs w:val="20"/>
              </w:rPr>
              <w:t>29</w:t>
            </w:r>
          </w:p>
        </w:tc>
        <w:tc>
          <w:tcPr>
            <w:tcW w:w="2335" w:type="dxa"/>
            <w:tcBorders>
              <w:top w:val="nil"/>
              <w:left w:val="nil"/>
              <w:bottom w:val="single" w:color="000000" w:sz="4" w:space="0"/>
              <w:right w:val="single" w:color="000000" w:sz="4" w:space="0"/>
            </w:tcBorders>
            <w:shd w:val="clear" w:color="auto" w:fill="auto"/>
            <w:noWrap/>
            <w:vAlign w:val="center"/>
            <w:hideMark/>
          </w:tcPr>
          <w:p w:rsidRPr="00BE120A" w:rsidR="00EB4C06" w:rsidP="00EB4C06" w:rsidRDefault="00EB4C06" w14:paraId="3BE127C9" w14:textId="3548BB30">
            <w:pPr>
              <w:spacing w:after="0" w:line="240" w:lineRule="auto"/>
              <w:jc w:val="right"/>
              <w:rPr>
                <w:rFonts w:eastAsia="Times New Roman" w:asciiTheme="minorBidi" w:hAnsiTheme="minorBidi"/>
                <w:color w:val="000000"/>
                <w:sz w:val="20"/>
                <w:szCs w:val="20"/>
              </w:rPr>
            </w:pPr>
            <w:r w:rsidRPr="00BE120A">
              <w:rPr>
                <w:rFonts w:eastAsia="Times New Roman" w:asciiTheme="minorBidi" w:hAnsiTheme="minorBidi"/>
                <w:color w:val="000000"/>
                <w:sz w:val="20"/>
                <w:szCs w:val="20"/>
              </w:rPr>
              <w:t>87</w:t>
            </w:r>
          </w:p>
        </w:tc>
      </w:tr>
    </w:tbl>
    <w:p w:rsidRPr="00614FFA" w:rsidR="00614FFA" w:rsidP="00614FFA" w:rsidRDefault="00614FFA" w14:paraId="20537064" w14:textId="77777777"/>
    <w:p w:rsidR="007F3A69" w:rsidP="007F3A69" w:rsidRDefault="004C3EE4" w14:paraId="13966A39" w14:textId="431D2D90">
      <w:pPr>
        <w:pStyle w:val="Heading2"/>
        <w:ind w:left="360"/>
      </w:pPr>
      <w:bookmarkStart w:name="_Toc49148207" w:id="4"/>
      <w:r>
        <w:t>Provide an estimate for the total annual cost burden to respondents or recordkeepers resulting from the collection of information.</w:t>
      </w:r>
      <w:r w:rsidR="007F3A69">
        <w:t xml:space="preserve"> (Do not include the cost of any hour burden already reflected on the burden worksheet).</w:t>
      </w:r>
    </w:p>
    <w:p w:rsidR="007F3A69" w:rsidP="007F3A69" w:rsidRDefault="007F3A69" w14:paraId="0C75D53E" w14:textId="77777777">
      <w:pPr>
        <w:pStyle w:val="Heading3"/>
        <w:numPr>
          <w:ilvl w:val="0"/>
          <w:numId w:val="37"/>
        </w:numPr>
      </w:pPr>
      <w: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P="007F3A69" w:rsidRDefault="007F3A69" w14:paraId="1F825868" w14:textId="77777777">
      <w:pPr>
        <w:pStyle w:val="Heading3"/>
      </w:pPr>
      <w: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P="007F3A69" w:rsidRDefault="007F3A69" w14:paraId="6686600D" w14:textId="2C425A7B">
      <w:pPr>
        <w:pStyle w:val="Heading3"/>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30297" w:rsidP="000C7978" w:rsidRDefault="006C6909" w14:paraId="19DA476E" w14:textId="4F8885F2">
      <w:pPr>
        <w:rPr>
          <w:bCs/>
        </w:rPr>
      </w:pPr>
      <w:r>
        <w:t>Among</w:t>
      </w:r>
      <w:r w:rsidR="000C7978">
        <w:rPr>
          <w:bCs/>
        </w:rPr>
        <w:t xml:space="preserve"> end users in the sheet gaskets and aftermarket automotive breaks industries, </w:t>
      </w:r>
      <w:r>
        <w:rPr>
          <w:bCs/>
        </w:rPr>
        <w:t xml:space="preserve">a total of </w:t>
      </w:r>
      <w:r w:rsidR="000C7978">
        <w:rPr>
          <w:bCs/>
        </w:rPr>
        <w:t xml:space="preserve">16 respondents </w:t>
      </w:r>
      <w:r w:rsidR="000B525C">
        <w:rPr>
          <w:bCs/>
        </w:rPr>
        <w:t xml:space="preserve">are estimated to </w:t>
      </w:r>
      <w:r w:rsidR="00B30297">
        <w:rPr>
          <w:bCs/>
        </w:rPr>
        <w:t xml:space="preserve">each </w:t>
      </w:r>
      <w:r w:rsidR="000C7978">
        <w:rPr>
          <w:bCs/>
        </w:rPr>
        <w:t>incur an average annual cost o</w:t>
      </w:r>
      <w:r w:rsidRPr="00830AC1" w:rsidR="000C7978">
        <w:rPr>
          <w:bCs/>
        </w:rPr>
        <w:t>f $</w:t>
      </w:r>
      <w:r w:rsidRPr="00830AC1" w:rsidR="00830AC1">
        <w:rPr>
          <w:bCs/>
        </w:rPr>
        <w:t>1,166</w:t>
      </w:r>
      <w:r w:rsidRPr="00BE120A" w:rsidR="00830AC1">
        <w:rPr>
          <w:bCs/>
        </w:rPr>
        <w:t xml:space="preserve"> </w:t>
      </w:r>
      <w:r w:rsidRPr="00830AC1" w:rsidR="000C7978">
        <w:rPr>
          <w:bCs/>
        </w:rPr>
        <w:lastRenderedPageBreak/>
        <w:t>per</w:t>
      </w:r>
      <w:r w:rsidR="000C7978">
        <w:rPr>
          <w:bCs/>
        </w:rPr>
        <w:t xml:space="preserve"> year over the first three years of the rule for a</w:t>
      </w:r>
      <w:r w:rsidR="00830AC1">
        <w:rPr>
          <w:bCs/>
        </w:rPr>
        <w:t xml:space="preserve"> total </w:t>
      </w:r>
      <w:r w:rsidR="00B30297">
        <w:rPr>
          <w:bCs/>
        </w:rPr>
        <w:t xml:space="preserve">cost </w:t>
      </w:r>
      <w:r w:rsidR="000C7978">
        <w:rPr>
          <w:bCs/>
        </w:rPr>
        <w:t xml:space="preserve">of </w:t>
      </w:r>
      <w:r w:rsidRPr="00830AC1" w:rsidR="00830AC1">
        <w:rPr>
          <w:bCs/>
        </w:rPr>
        <w:t>$3,498</w:t>
      </w:r>
      <w:r w:rsidR="000C7978">
        <w:rPr>
          <w:bCs/>
        </w:rPr>
        <w:t xml:space="preserve">. </w:t>
      </w:r>
      <w:r>
        <w:rPr>
          <w:bCs/>
        </w:rPr>
        <w:t>Sheet gasket end users are expected to incur these costs in Years 1 and 2, and end users of aftermarket automotive brakes are expected to incur these costs in Year 1 only.</w:t>
      </w:r>
    </w:p>
    <w:p w:rsidRPr="00A96A2C" w:rsidR="000C7978" w:rsidP="000C7978" w:rsidRDefault="000C7978" w14:paraId="09288C6A" w14:textId="6055115E"/>
    <w:tbl>
      <w:tblPr>
        <w:tblW w:w="0" w:type="auto"/>
        <w:tblLook w:val="04A0" w:firstRow="1" w:lastRow="0" w:firstColumn="1" w:lastColumn="0" w:noHBand="0" w:noVBand="1"/>
      </w:tblPr>
      <w:tblGrid>
        <w:gridCol w:w="1587"/>
        <w:gridCol w:w="1768"/>
        <w:gridCol w:w="2831"/>
        <w:gridCol w:w="1219"/>
        <w:gridCol w:w="1314"/>
      </w:tblGrid>
      <w:tr w:rsidRPr="00983214" w:rsidR="00983214" w:rsidTr="00BE120A" w14:paraId="5FAA27D3" w14:textId="77777777">
        <w:trPr>
          <w:trHeight w:val="280"/>
        </w:trPr>
        <w:tc>
          <w:tcPr>
            <w:tcW w:w="0" w:type="auto"/>
            <w:gridSpan w:val="5"/>
            <w:tcBorders>
              <w:top w:val="single" w:color="000000" w:sz="4" w:space="0"/>
              <w:left w:val="single" w:color="000000" w:sz="4" w:space="0"/>
              <w:bottom w:val="single" w:color="000000" w:sz="4" w:space="0"/>
              <w:right w:val="single" w:color="000000" w:sz="4" w:space="0"/>
            </w:tcBorders>
            <w:shd w:val="clear" w:color="000000" w:fill="BFBFBF"/>
            <w:noWrap/>
            <w:vAlign w:val="center"/>
            <w:hideMark/>
          </w:tcPr>
          <w:p w:rsidRPr="00BE120A" w:rsidR="00983214" w:rsidP="00983214" w:rsidRDefault="00983214" w14:paraId="0DAA7729" w14:textId="77777777">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Summary of Three Year Average Incremental Burden Hours and Costs for Primary Option</w:t>
            </w:r>
          </w:p>
        </w:tc>
      </w:tr>
      <w:tr w:rsidRPr="00A16D11" w:rsidR="00020DCF" w:rsidTr="00E97790" w14:paraId="38A81DB2" w14:textId="77777777">
        <w:trPr>
          <w:trHeight w:val="280"/>
        </w:trPr>
        <w:tc>
          <w:tcPr>
            <w:tcW w:w="0" w:type="auto"/>
            <w:tcBorders>
              <w:top w:val="nil"/>
              <w:left w:val="single" w:color="000000" w:sz="4" w:space="0"/>
              <w:bottom w:val="single" w:color="000000" w:sz="4" w:space="0"/>
              <w:right w:val="single" w:color="000000" w:sz="4" w:space="0"/>
            </w:tcBorders>
            <w:shd w:val="clear" w:color="000000" w:fill="BFBFBF"/>
            <w:noWrap/>
            <w:vAlign w:val="center"/>
            <w:hideMark/>
          </w:tcPr>
          <w:p w:rsidRPr="00BE120A" w:rsidR="00983214" w:rsidP="00983214" w:rsidRDefault="00983214" w14:paraId="1DC6B1E1" w14:textId="77777777">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Activity</w:t>
            </w:r>
          </w:p>
        </w:tc>
        <w:tc>
          <w:tcPr>
            <w:tcW w:w="1741" w:type="dxa"/>
            <w:tcBorders>
              <w:top w:val="nil"/>
              <w:left w:val="nil"/>
              <w:bottom w:val="single" w:color="000000" w:sz="4" w:space="0"/>
              <w:right w:val="single" w:color="000000" w:sz="4" w:space="0"/>
            </w:tcBorders>
            <w:shd w:val="clear" w:color="000000" w:fill="BFBFBF"/>
            <w:noWrap/>
            <w:vAlign w:val="center"/>
            <w:hideMark/>
          </w:tcPr>
          <w:p w:rsidRPr="00BE120A" w:rsidR="00983214" w:rsidP="00983214" w:rsidRDefault="00983214" w14:paraId="6AA2D19D" w14:textId="77777777">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Number of Respondents</w:t>
            </w:r>
          </w:p>
        </w:tc>
        <w:tc>
          <w:tcPr>
            <w:tcW w:w="2787" w:type="dxa"/>
            <w:tcBorders>
              <w:top w:val="nil"/>
              <w:left w:val="nil"/>
              <w:bottom w:val="single" w:color="000000" w:sz="4" w:space="0"/>
              <w:right w:val="single" w:color="000000" w:sz="4" w:space="0"/>
            </w:tcBorders>
            <w:shd w:val="clear" w:color="000000" w:fill="BFBFBF"/>
            <w:noWrap/>
            <w:vAlign w:val="center"/>
            <w:hideMark/>
          </w:tcPr>
          <w:p w:rsidRPr="00BE120A" w:rsidR="00983214" w:rsidP="00983214" w:rsidRDefault="00983214" w14:paraId="03505BD1" w14:textId="77777777">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Loaded Wage Rates</w:t>
            </w:r>
          </w:p>
        </w:tc>
        <w:tc>
          <w:tcPr>
            <w:tcW w:w="1200" w:type="dxa"/>
            <w:tcBorders>
              <w:top w:val="nil"/>
              <w:left w:val="nil"/>
              <w:bottom w:val="single" w:color="000000" w:sz="4" w:space="0"/>
              <w:right w:val="single" w:color="000000" w:sz="4" w:space="0"/>
            </w:tcBorders>
            <w:shd w:val="clear" w:color="000000" w:fill="BFBFBF"/>
            <w:noWrap/>
            <w:vAlign w:val="center"/>
            <w:hideMark/>
          </w:tcPr>
          <w:p w:rsidRPr="00BE120A" w:rsidR="00983214" w:rsidP="00983214" w:rsidRDefault="00983214" w14:paraId="3CDF03FE" w14:textId="77777777">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Average 3-Year Cost ($2021)</w:t>
            </w:r>
          </w:p>
        </w:tc>
        <w:tc>
          <w:tcPr>
            <w:tcW w:w="1294" w:type="dxa"/>
            <w:tcBorders>
              <w:top w:val="nil"/>
              <w:left w:val="nil"/>
              <w:bottom w:val="single" w:color="000000" w:sz="4" w:space="0"/>
              <w:right w:val="single" w:color="000000" w:sz="4" w:space="0"/>
            </w:tcBorders>
            <w:shd w:val="clear" w:color="000000" w:fill="BFBFBF"/>
            <w:noWrap/>
            <w:vAlign w:val="center"/>
            <w:hideMark/>
          </w:tcPr>
          <w:p w:rsidRPr="00BE120A" w:rsidR="00983214" w:rsidP="00983214" w:rsidRDefault="00983214" w14:paraId="52A9016A" w14:textId="77777777">
            <w:pPr>
              <w:spacing w:after="0" w:line="240" w:lineRule="auto"/>
              <w:rPr>
                <w:rFonts w:eastAsia="Times New Roman" w:asciiTheme="minorBidi" w:hAnsiTheme="minorBidi"/>
                <w:b/>
                <w:bCs/>
                <w:color w:val="000000"/>
                <w:sz w:val="20"/>
                <w:szCs w:val="20"/>
              </w:rPr>
            </w:pPr>
            <w:r w:rsidRPr="00BE120A">
              <w:rPr>
                <w:rFonts w:eastAsia="Times New Roman" w:asciiTheme="minorBidi" w:hAnsiTheme="minorBidi"/>
                <w:b/>
                <w:bCs/>
                <w:color w:val="000000"/>
                <w:sz w:val="20"/>
                <w:szCs w:val="20"/>
              </w:rPr>
              <w:t>Total 3-Year Cost ($2021)</w:t>
            </w:r>
          </w:p>
        </w:tc>
      </w:tr>
      <w:tr w:rsidRPr="00A16D11" w:rsidR="00983214" w:rsidTr="00E97790" w14:paraId="76D119FE" w14:textId="77777777">
        <w:trPr>
          <w:trHeight w:val="280"/>
        </w:trPr>
        <w:tc>
          <w:tcPr>
            <w:tcW w:w="0" w:type="auto"/>
            <w:tcBorders>
              <w:top w:val="nil"/>
              <w:left w:val="single" w:color="000000" w:sz="4" w:space="0"/>
              <w:bottom w:val="single" w:color="000000" w:sz="4" w:space="0"/>
              <w:right w:val="single" w:color="000000" w:sz="4" w:space="0"/>
            </w:tcBorders>
            <w:shd w:val="clear" w:color="auto" w:fill="auto"/>
            <w:noWrap/>
            <w:vAlign w:val="center"/>
            <w:hideMark/>
          </w:tcPr>
          <w:p w:rsidRPr="00BE120A" w:rsidR="00983214" w:rsidP="00983214" w:rsidRDefault="00983214" w14:paraId="4E99E652" w14:textId="77777777">
            <w:pPr>
              <w:spacing w:after="0" w:line="240" w:lineRule="auto"/>
              <w:rPr>
                <w:rFonts w:eastAsia="Times New Roman" w:asciiTheme="minorBidi" w:hAnsiTheme="minorBidi"/>
                <w:color w:val="000000"/>
                <w:sz w:val="20"/>
                <w:szCs w:val="20"/>
              </w:rPr>
            </w:pPr>
            <w:r w:rsidRPr="00BE120A">
              <w:rPr>
                <w:rFonts w:eastAsia="Times New Roman" w:asciiTheme="minorBidi" w:hAnsiTheme="minorBidi"/>
                <w:color w:val="000000"/>
                <w:sz w:val="20"/>
                <w:szCs w:val="20"/>
              </w:rPr>
              <w:t>Recordkeeping</w:t>
            </w:r>
          </w:p>
        </w:tc>
        <w:tc>
          <w:tcPr>
            <w:tcW w:w="1741" w:type="dxa"/>
            <w:tcBorders>
              <w:top w:val="nil"/>
              <w:left w:val="nil"/>
              <w:bottom w:val="single" w:color="000000" w:sz="4" w:space="0"/>
              <w:right w:val="single" w:color="000000" w:sz="4" w:space="0"/>
            </w:tcBorders>
            <w:shd w:val="clear" w:color="auto" w:fill="auto"/>
            <w:noWrap/>
            <w:vAlign w:val="center"/>
            <w:hideMark/>
          </w:tcPr>
          <w:p w:rsidRPr="00BE120A" w:rsidR="00983214" w:rsidP="00983214" w:rsidRDefault="00983214" w14:paraId="0125BD8C" w14:textId="77777777">
            <w:pPr>
              <w:spacing w:after="0" w:line="240" w:lineRule="auto"/>
              <w:jc w:val="right"/>
              <w:rPr>
                <w:rFonts w:eastAsia="Times New Roman" w:asciiTheme="minorBidi" w:hAnsiTheme="minorBidi"/>
                <w:color w:val="000000"/>
                <w:sz w:val="20"/>
                <w:szCs w:val="20"/>
              </w:rPr>
            </w:pPr>
            <w:r w:rsidRPr="00BE120A">
              <w:rPr>
                <w:rFonts w:eastAsia="Times New Roman" w:asciiTheme="minorBidi" w:hAnsiTheme="minorBidi"/>
                <w:color w:val="000000"/>
                <w:sz w:val="20"/>
                <w:szCs w:val="20"/>
              </w:rPr>
              <w:t>16</w:t>
            </w:r>
          </w:p>
        </w:tc>
        <w:tc>
          <w:tcPr>
            <w:tcW w:w="2787" w:type="dxa"/>
            <w:tcBorders>
              <w:top w:val="nil"/>
              <w:left w:val="nil"/>
              <w:bottom w:val="single" w:color="000000" w:sz="4" w:space="0"/>
              <w:right w:val="single" w:color="000000" w:sz="4" w:space="0"/>
            </w:tcBorders>
            <w:shd w:val="clear" w:color="auto" w:fill="auto"/>
            <w:noWrap/>
            <w:vAlign w:val="center"/>
            <w:hideMark/>
          </w:tcPr>
          <w:p w:rsidR="00A16D11" w:rsidP="00983214" w:rsidRDefault="00983214" w14:paraId="3429D67E" w14:textId="77777777">
            <w:pPr>
              <w:spacing w:after="0" w:line="240" w:lineRule="auto"/>
              <w:jc w:val="right"/>
              <w:rPr>
                <w:rFonts w:eastAsia="Times New Roman" w:asciiTheme="minorBidi" w:hAnsiTheme="minorBidi"/>
                <w:color w:val="000000"/>
                <w:sz w:val="20"/>
                <w:szCs w:val="20"/>
              </w:rPr>
            </w:pPr>
            <w:r w:rsidRPr="00BE120A">
              <w:rPr>
                <w:rFonts w:eastAsia="Times New Roman" w:asciiTheme="minorBidi" w:hAnsiTheme="minorBidi"/>
                <w:color w:val="000000"/>
                <w:sz w:val="20"/>
                <w:szCs w:val="20"/>
              </w:rPr>
              <w:t>$83.76 (technical)</w:t>
            </w:r>
          </w:p>
          <w:p w:rsidRPr="00BE120A" w:rsidR="00983214" w:rsidP="00983214" w:rsidRDefault="00983214" w14:paraId="1FE54A99" w14:textId="349DFA6E">
            <w:pPr>
              <w:spacing w:after="0" w:line="240" w:lineRule="auto"/>
              <w:jc w:val="right"/>
              <w:rPr>
                <w:rFonts w:eastAsia="Times New Roman" w:asciiTheme="minorBidi" w:hAnsiTheme="minorBidi"/>
                <w:color w:val="000000"/>
                <w:sz w:val="20"/>
                <w:szCs w:val="20"/>
              </w:rPr>
            </w:pPr>
            <w:r w:rsidRPr="00BE120A">
              <w:rPr>
                <w:rFonts w:eastAsia="Times New Roman" w:asciiTheme="minorBidi" w:hAnsiTheme="minorBidi"/>
                <w:color w:val="000000"/>
                <w:sz w:val="20"/>
                <w:szCs w:val="20"/>
              </w:rPr>
              <w:t>$35.84 (clerical)</w:t>
            </w:r>
          </w:p>
        </w:tc>
        <w:tc>
          <w:tcPr>
            <w:tcW w:w="1200" w:type="dxa"/>
            <w:tcBorders>
              <w:top w:val="nil"/>
              <w:left w:val="nil"/>
              <w:bottom w:val="single" w:color="000000" w:sz="4" w:space="0"/>
              <w:right w:val="single" w:color="000000" w:sz="4" w:space="0"/>
            </w:tcBorders>
            <w:shd w:val="clear" w:color="auto" w:fill="auto"/>
            <w:noWrap/>
            <w:vAlign w:val="center"/>
            <w:hideMark/>
          </w:tcPr>
          <w:p w:rsidRPr="00BE120A" w:rsidR="00983214" w:rsidP="00983214" w:rsidRDefault="00983214" w14:paraId="3A6BA5E7" w14:textId="77777777">
            <w:pPr>
              <w:spacing w:after="0" w:line="240" w:lineRule="auto"/>
              <w:jc w:val="right"/>
              <w:rPr>
                <w:rFonts w:eastAsia="Times New Roman" w:asciiTheme="minorBidi" w:hAnsiTheme="minorBidi"/>
                <w:color w:val="000000"/>
                <w:sz w:val="20"/>
                <w:szCs w:val="20"/>
              </w:rPr>
            </w:pPr>
            <w:r w:rsidRPr="00BE120A">
              <w:rPr>
                <w:rFonts w:eastAsia="Times New Roman" w:asciiTheme="minorBidi" w:hAnsiTheme="minorBidi"/>
                <w:color w:val="000000"/>
                <w:sz w:val="20"/>
                <w:szCs w:val="20"/>
              </w:rPr>
              <w:t>$1,166</w:t>
            </w:r>
          </w:p>
        </w:tc>
        <w:tc>
          <w:tcPr>
            <w:tcW w:w="1294" w:type="dxa"/>
            <w:tcBorders>
              <w:top w:val="nil"/>
              <w:left w:val="nil"/>
              <w:bottom w:val="single" w:color="000000" w:sz="4" w:space="0"/>
              <w:right w:val="single" w:color="000000" w:sz="4" w:space="0"/>
            </w:tcBorders>
            <w:shd w:val="clear" w:color="auto" w:fill="auto"/>
            <w:noWrap/>
            <w:vAlign w:val="center"/>
            <w:hideMark/>
          </w:tcPr>
          <w:p w:rsidRPr="00BE120A" w:rsidR="00983214" w:rsidP="00983214" w:rsidRDefault="00983214" w14:paraId="4EC8577C" w14:textId="77777777">
            <w:pPr>
              <w:spacing w:after="0" w:line="240" w:lineRule="auto"/>
              <w:jc w:val="right"/>
              <w:rPr>
                <w:rFonts w:eastAsia="Times New Roman" w:asciiTheme="minorBidi" w:hAnsiTheme="minorBidi"/>
                <w:color w:val="000000"/>
                <w:sz w:val="20"/>
                <w:szCs w:val="20"/>
              </w:rPr>
            </w:pPr>
            <w:r w:rsidRPr="00BE120A">
              <w:rPr>
                <w:rFonts w:eastAsia="Times New Roman" w:asciiTheme="minorBidi" w:hAnsiTheme="minorBidi"/>
                <w:color w:val="000000"/>
                <w:sz w:val="20"/>
                <w:szCs w:val="20"/>
              </w:rPr>
              <w:t>$3,498</w:t>
            </w:r>
          </w:p>
        </w:tc>
      </w:tr>
    </w:tbl>
    <w:p w:rsidRPr="002405F8" w:rsidR="002405F8" w:rsidP="00BE120A" w:rsidRDefault="002405F8" w14:paraId="0895DC2E" w14:textId="0250C4DB"/>
    <w:bookmarkEnd w:id="4"/>
    <w:p w:rsidR="003D09E2" w:rsidP="002059F4" w:rsidRDefault="003D09E2" w14:paraId="391F5A09" w14:textId="00903210">
      <w:pPr>
        <w:pStyle w:val="Heading2"/>
        <w:ind w:left="360"/>
      </w:pPr>
      <w:r w:rsidRPr="00A640A9">
        <w:t>Provide estimates of annualized cost to the Federal government.</w:t>
      </w:r>
      <w:r w:rsidR="007F3A69">
        <w:t xml:space="preserve"> </w:t>
      </w:r>
      <w:r w:rsidRPr="00CB6A40" w:rsidR="007F3A69">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C418F1" w:rsidR="00C418F1" w:rsidP="00C418F1" w:rsidRDefault="00C418F1" w14:paraId="36DD4DC7" w14:textId="635CABE0">
      <w:pPr>
        <w:ind w:left="360"/>
        <w:rPr>
          <w:lang w:bidi="en-US"/>
        </w:rPr>
      </w:pPr>
      <w:r>
        <w:rPr>
          <w:lang w:bidi="en-US"/>
        </w:rPr>
        <w:t xml:space="preserve">There will be no agency collection activities under the proposed rule. There will only </w:t>
      </w:r>
      <w:r w:rsidR="004D713C">
        <w:rPr>
          <w:lang w:bidi="en-US"/>
        </w:rPr>
        <w:t>be r</w:t>
      </w:r>
      <w:r>
        <w:rPr>
          <w:lang w:bidi="en-US"/>
        </w:rPr>
        <w:t>ecordkeeping requirements.</w:t>
      </w:r>
      <w:r w:rsidR="00830AC1">
        <w:rPr>
          <w:lang w:bidi="en-US"/>
        </w:rPr>
        <w:t xml:space="preserve"> Annualized costs for recordkeeping requirements are not provided as costs are only incurred during the first three years of the rule. </w:t>
      </w:r>
    </w:p>
    <w:p w:rsidR="00BD1BAB" w:rsidP="002059F4" w:rsidRDefault="003D09E2" w14:paraId="3AB88F5C" w14:textId="676EE60D">
      <w:pPr>
        <w:pStyle w:val="Heading2"/>
        <w:ind w:left="360"/>
      </w:pPr>
      <w:r w:rsidRPr="00A640A9">
        <w:t xml:space="preserve">Explain the reasons for any program changes or adjustments reported in </w:t>
      </w:r>
      <w:r w:rsidR="007F3A69">
        <w:t>hour or cost burden</w:t>
      </w:r>
      <w:r w:rsidRPr="00A640A9">
        <w:t>.</w:t>
      </w:r>
    </w:p>
    <w:p w:rsidRPr="00C418F1" w:rsidR="00C418F1" w:rsidP="00C418F1" w:rsidRDefault="00C418F1" w14:paraId="247C61E8" w14:textId="5BAE8D29">
      <w:pPr>
        <w:ind w:left="360"/>
        <w:rPr>
          <w:lang w:bidi="en-US"/>
        </w:rPr>
      </w:pPr>
      <w:r>
        <w:rPr>
          <w:lang w:bidi="en-US"/>
        </w:rPr>
        <w:t xml:space="preserve">This is a new, rule-related information collection. </w:t>
      </w:r>
      <w:r w:rsidRPr="005753C8">
        <w:rPr>
          <w:color w:val="000000" w:themeColor="text1"/>
        </w:rPr>
        <w:t xml:space="preserve">The total burden requested for this ICR is </w:t>
      </w:r>
      <w:r w:rsidR="009A3759">
        <w:rPr>
          <w:color w:val="000000" w:themeColor="text1"/>
        </w:rPr>
        <w:t>29</w:t>
      </w:r>
      <w:r w:rsidRPr="005753C8" w:rsidR="009A3759">
        <w:rPr>
          <w:color w:val="000000" w:themeColor="text1"/>
        </w:rPr>
        <w:t xml:space="preserve"> </w:t>
      </w:r>
      <w:r w:rsidRPr="005753C8">
        <w:rPr>
          <w:color w:val="000000" w:themeColor="text1"/>
        </w:rPr>
        <w:t>hours per year. The total annual cost burden requested for this ICR is $</w:t>
      </w:r>
      <w:r w:rsidRPr="000D541F" w:rsidR="00931E73">
        <w:rPr>
          <w:rFonts w:eastAsia="Times New Roman" w:cs="Arial"/>
          <w:color w:val="000000" w:themeColor="text1"/>
          <w:szCs w:val="24"/>
        </w:rPr>
        <w:t>1,</w:t>
      </w:r>
      <w:r w:rsidR="009A3759">
        <w:rPr>
          <w:rFonts w:eastAsia="Times New Roman" w:cs="Arial"/>
          <w:color w:val="000000" w:themeColor="text1"/>
          <w:szCs w:val="24"/>
        </w:rPr>
        <w:t>166</w:t>
      </w:r>
      <w:r w:rsidRPr="005753C8">
        <w:rPr>
          <w:color w:val="000000" w:themeColor="text1"/>
        </w:rPr>
        <w:t>.</w:t>
      </w:r>
    </w:p>
    <w:p w:rsidR="00A640A9" w:rsidP="002059F4" w:rsidRDefault="00D278E1" w14:paraId="67020DB0" w14:textId="402489FF">
      <w:pPr>
        <w:pStyle w:val="Heading2"/>
        <w:ind w:left="360"/>
      </w:pPr>
      <w:r w:rsidRPr="00A640A9">
        <w:t>For collections whose results will be published, outline the plans for tabulation and publication.</w:t>
      </w:r>
      <w:r w:rsidR="007F3A69">
        <w:t xml:space="preserve"> </w:t>
      </w:r>
      <w:r w:rsidRPr="007F3A69" w:rsidR="007F3A69">
        <w:t>Address any complex analytical techniques that will be used. Provide the time schedule for the entire project, including beginning and ending dates of the collection of information, completion of report, publication dates, and other actions.</w:t>
      </w:r>
    </w:p>
    <w:p w:rsidRPr="002405F8" w:rsidR="002405F8" w:rsidP="002405F8" w:rsidRDefault="002405F8" w14:paraId="54CED1A7" w14:textId="00AF36F1">
      <w:pPr>
        <w:ind w:left="360"/>
        <w:rPr>
          <w:lang w:bidi="en-US"/>
        </w:rPr>
      </w:pPr>
      <w:r>
        <w:rPr>
          <w:lang w:bidi="en-US"/>
        </w:rPr>
        <w:t>Not applicable.</w:t>
      </w:r>
      <w:r>
        <w:rPr>
          <w:lang w:bidi="en-US"/>
        </w:rPr>
        <w:tab/>
      </w:r>
      <w:r>
        <w:rPr>
          <w:lang w:bidi="en-US"/>
        </w:rPr>
        <w:tab/>
      </w:r>
    </w:p>
    <w:p w:rsidR="00D278E1" w:rsidP="002059F4" w:rsidRDefault="00A640A9" w14:paraId="3C058E98" w14:textId="5CDB7AA4">
      <w:pPr>
        <w:pStyle w:val="Heading2"/>
        <w:ind w:left="360"/>
      </w:pPr>
      <w:r>
        <w:t>If</w:t>
      </w:r>
      <w:r w:rsidR="00D278E1">
        <w:t xml:space="preserve"> seeking approval to not display the expiration date for OMB approval of the information collection, explain the reasons why display would be inappropriate.</w:t>
      </w:r>
    </w:p>
    <w:p w:rsidRPr="002405F8" w:rsidR="002405F8" w:rsidP="002405F8" w:rsidRDefault="002405F8" w14:paraId="6CE53A74" w14:textId="5A16015F">
      <w:pPr>
        <w:ind w:left="360"/>
        <w:rPr>
          <w:lang w:bidi="en-US"/>
        </w:rPr>
      </w:pPr>
      <w:r>
        <w:rPr>
          <w:lang w:bidi="en-US"/>
        </w:rPr>
        <w:t>Not applicable.</w:t>
      </w:r>
    </w:p>
    <w:p w:rsidR="005D6FB8" w:rsidP="002059F4" w:rsidRDefault="00D278E1" w14:paraId="380B6953" w14:textId="2BCC85F2">
      <w:pPr>
        <w:pStyle w:val="Heading2"/>
        <w:ind w:left="360"/>
      </w:pPr>
      <w:r>
        <w:lastRenderedPageBreak/>
        <w:t xml:space="preserve">Explain each exception to the certification statement identified in </w:t>
      </w:r>
      <w:r w:rsidRPr="007F3A69" w:rsidR="007F3A69">
        <w:t>“Certification for Paperwork Reduction Act Submissions.”</w:t>
      </w:r>
    </w:p>
    <w:p w:rsidRPr="002405F8" w:rsidR="002405F8" w:rsidP="00F25C63" w:rsidRDefault="002405F8" w14:paraId="603B67B5" w14:textId="4C7EE8A8">
      <w:pPr>
        <w:ind w:firstLine="360"/>
        <w:rPr>
          <w:lang w:bidi="en-US"/>
        </w:rPr>
      </w:pPr>
      <w:r>
        <w:rPr>
          <w:lang w:bidi="en-US"/>
        </w:rPr>
        <w:t>EPA does not request an exception to the certification of this information collection.</w:t>
      </w:r>
    </w:p>
    <w:p w:rsidR="0026304B" w:rsidP="002059F4" w:rsidRDefault="007A01E7" w14:paraId="6054E19E" w14:textId="133322D8">
      <w:pPr>
        <w:pStyle w:val="Heading1"/>
      </w:pPr>
      <w:r>
        <w:t>Supplemental Information</w:t>
      </w:r>
    </w:p>
    <w:p w:rsidR="007F3394" w:rsidP="007F3394" w:rsidRDefault="007F3394" w14:paraId="481DD9DC" w14:textId="09CEE052">
      <w:r w:rsidRPr="00004C64">
        <w:t xml:space="preserve">The annual public burden for this collection of information is estimated to average approximately </w:t>
      </w:r>
      <w:r w:rsidR="006D1CE3">
        <w:t>1</w:t>
      </w:r>
      <w:r w:rsidR="005702B5">
        <w:t>.7</w:t>
      </w:r>
      <w:r w:rsidR="00F25C63">
        <w:t xml:space="preserve"> </w:t>
      </w:r>
      <w:r w:rsidRPr="0087746B">
        <w:t>hours</w:t>
      </w:r>
      <w:r w:rsidRPr="00004C64">
        <w:t xml:space="preserve"> annually per respondent over the three-year period. According to the Paperwork Reduction Act, “burden” means the total time, effort, or financial resources expended by persons to generate, maintain, retain, or disclose or provide information to or for a </w:t>
      </w:r>
      <w:proofErr w:type="gramStart"/>
      <w:r w:rsidRPr="00004C64">
        <w:t>Federal</w:t>
      </w:r>
      <w:proofErr w:type="gramEnd"/>
      <w:r w:rsidRPr="00004C64">
        <w:t xml:space="preserve"> agency. For this collection it includes the time needed to review and understand instructions; prepare and submit reports (including searching data sources); complete and review the collection of information; transmit the information; and keep records.</w:t>
      </w:r>
    </w:p>
    <w:p w:rsidR="007F3394" w:rsidP="007F3394" w:rsidRDefault="007F3394" w14:paraId="3C3BB107" w14:textId="415B30CC">
      <w:pPr>
        <w:numPr>
          <w:ilvl w:val="12"/>
          <w:numId w:val="0"/>
        </w:numPr>
        <w:rPr>
          <w:color w:val="0F0F0F"/>
          <w:szCs w:val="24"/>
        </w:rPr>
      </w:pPr>
      <w:r w:rsidRPr="00950869">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2A07CD">
        <w:rPr>
          <w:szCs w:val="24"/>
        </w:rPr>
        <w:t>Number EPA-HQ</w:t>
      </w:r>
      <w:r w:rsidRPr="00E97296">
        <w:rPr>
          <w:szCs w:val="24"/>
        </w:rPr>
        <w:t>-</w:t>
      </w:r>
      <w:r w:rsidRPr="002A07CD">
        <w:rPr>
          <w:szCs w:val="24"/>
        </w:rPr>
        <w:t>OPPT-</w:t>
      </w:r>
      <w:r w:rsidR="002E6D41">
        <w:rPr>
          <w:szCs w:val="24"/>
        </w:rPr>
        <w:t>2021-0057</w:t>
      </w:r>
      <w:r w:rsidRPr="002A07CD">
        <w:rPr>
          <w:szCs w:val="24"/>
        </w:rPr>
        <w:t xml:space="preserve">, which </w:t>
      </w:r>
      <w:r w:rsidRPr="00950869">
        <w:rPr>
          <w:color w:val="0F0F0F"/>
          <w:szCs w:val="24"/>
        </w:rPr>
        <w:t xml:space="preserve">is available at </w:t>
      </w:r>
      <w:hyperlink w:history="1" r:id="rId16">
        <w:r>
          <w:rPr>
            <w:rStyle w:val="Hyperlink"/>
            <w:szCs w:val="24"/>
          </w:rPr>
          <w:t>http://www.regulations.gov</w:t>
        </w:r>
      </w:hyperlink>
      <w:r>
        <w:rPr>
          <w:rStyle w:val="Hyperlink"/>
          <w:szCs w:val="24"/>
        </w:rPr>
        <w:t>.</w:t>
      </w:r>
      <w:r w:rsidRPr="00950869">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7F3394" w:rsidP="007F3394" w:rsidRDefault="007F3394" w14:paraId="590326CB" w14:textId="77777777">
      <w:r>
        <w:rPr>
          <w:color w:val="0F0F0F"/>
          <w:szCs w:val="24"/>
        </w:rPr>
        <w:t>Y</w:t>
      </w:r>
      <w:r w:rsidRPr="00950869">
        <w:rPr>
          <w:color w:val="0F0F0F"/>
          <w:szCs w:val="24"/>
        </w:rPr>
        <w:t xml:space="preserve">ou can </w:t>
      </w:r>
      <w:r>
        <w:rPr>
          <w:color w:val="0F0F0F"/>
          <w:szCs w:val="24"/>
        </w:rPr>
        <w:t xml:space="preserve">also provide </w:t>
      </w:r>
      <w:r w:rsidRPr="00950869">
        <w:rPr>
          <w:color w:val="0F0F0F"/>
          <w:szCs w:val="24"/>
        </w:rPr>
        <w:t>comments to the Office of Information and Regulatory Affairs, Office of Management and Budget</w:t>
      </w:r>
      <w:r>
        <w:rPr>
          <w:color w:val="0F0F0F"/>
          <w:szCs w:val="24"/>
        </w:rPr>
        <w:t xml:space="preserve"> </w:t>
      </w:r>
      <w:r w:rsidRPr="00AD520B">
        <w:t xml:space="preserve">via </w:t>
      </w:r>
      <w:hyperlink w:history="1" r:id="rId17">
        <w:r w:rsidRPr="00B7714D">
          <w:rPr>
            <w:rStyle w:val="Hyperlink"/>
          </w:rPr>
          <w:t>http://www.reginfo.gov/public/do/PRAMain</w:t>
        </w:r>
      </w:hyperlink>
      <w:r>
        <w:t>. Find this particular information collection by selecting ‘‘Currently under 30-day Review—Open for Public Comments’’ or by using the search function.</w:t>
      </w:r>
    </w:p>
    <w:p w:rsidR="007F3394" w:rsidP="007F3394" w:rsidRDefault="007F3394" w14:paraId="68F41DFF" w14:textId="77777777">
      <w:r>
        <w:t>A</w:t>
      </w:r>
      <w:r w:rsidRPr="00AD520B">
        <w:t xml:space="preserve">ll comments received </w:t>
      </w:r>
      <w:r>
        <w:t xml:space="preserve">by EPA </w:t>
      </w:r>
      <w:r w:rsidRPr="00AD520B">
        <w:t xml:space="preserve">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E92829" w:rsidR="007F3394" w:rsidP="007F3394" w:rsidRDefault="007F3394" w14:paraId="782FC12F" w14:textId="77777777">
      <w:pPr>
        <w:pStyle w:val="Heading1"/>
        <w:rPr>
          <w:rFonts w:cs="Arial"/>
          <w:b w:val="0"/>
          <w:bCs w:val="0"/>
          <w:caps w:val="0"/>
          <w:color w:val="D54309"/>
          <w:sz w:val="24"/>
          <w:szCs w:val="24"/>
          <w:shd w:val="clear" w:color="auto" w:fill="FFFFFF"/>
        </w:rPr>
      </w:pPr>
      <w:r w:rsidRPr="00E92829">
        <w:rPr>
          <w:rFonts w:cs="Arial"/>
          <w:b w:val="0"/>
          <w:bCs w:val="0"/>
          <w:caps w:val="0"/>
          <w:sz w:val="24"/>
          <w:szCs w:val="24"/>
          <w:shd w:val="clear" w:color="auto" w:fill="FFFFFF"/>
        </w:rPr>
        <w:t>Due to public health concerns related to COVID-19, the EPA Docket Center and Reading Room are open to the public </w:t>
      </w:r>
      <w:r w:rsidRPr="00E92829">
        <w:rPr>
          <w:rStyle w:val="Emphasis"/>
          <w:rFonts w:cs="Arial"/>
          <w:b w:val="0"/>
          <w:bCs w:val="0"/>
          <w:caps w:val="0"/>
          <w:sz w:val="24"/>
          <w:szCs w:val="24"/>
          <w:shd w:val="clear" w:color="auto" w:fill="FFFFFF"/>
        </w:rPr>
        <w:t>by appointment only</w:t>
      </w:r>
      <w:r w:rsidRPr="00E92829">
        <w:rPr>
          <w:rFonts w:cs="Arial"/>
          <w:b w:val="0"/>
          <w:bCs w:val="0"/>
          <w:caps w:val="0"/>
          <w:sz w:val="24"/>
          <w:szCs w:val="24"/>
          <w:shd w:val="clear" w:color="auto" w:fill="FFFFFF"/>
        </w:rPr>
        <w:t>. </w:t>
      </w:r>
      <w:hyperlink w:history="1" r:id="rId18">
        <w:r w:rsidRPr="00E92829">
          <w:rPr>
            <w:rStyle w:val="Hyperlink"/>
            <w:rFonts w:cs="Arial"/>
            <w:b w:val="0"/>
            <w:bCs w:val="0"/>
            <w:caps w:val="0"/>
            <w:sz w:val="24"/>
            <w:szCs w:val="24"/>
            <w:shd w:val="clear" w:color="auto" w:fill="FFFFFF"/>
          </w:rPr>
          <w:t>Read more about the operating status</w:t>
        </w:r>
      </w:hyperlink>
      <w:r w:rsidRPr="00E92829">
        <w:rPr>
          <w:rFonts w:cs="Arial"/>
          <w:b w:val="0"/>
          <w:bCs w:val="0"/>
          <w:caps w:val="0"/>
          <w:color w:val="D54309"/>
          <w:sz w:val="24"/>
          <w:szCs w:val="24"/>
          <w:shd w:val="clear" w:color="auto" w:fill="FFFFFF"/>
        </w:rPr>
        <w:t>.</w:t>
      </w:r>
    </w:p>
    <w:p w:rsidR="002405F8" w:rsidP="002059F4" w:rsidRDefault="002405F8" w14:paraId="45F33799" w14:textId="77777777">
      <w:pPr>
        <w:pStyle w:val="Heading1"/>
      </w:pPr>
    </w:p>
    <w:p w:rsidR="00E97790" w:rsidP="002059F4" w:rsidRDefault="00E97790" w14:paraId="1E5A3E4A" w14:textId="77777777">
      <w:pPr>
        <w:pStyle w:val="Heading1"/>
        <w:sectPr w:rsidR="00E97790" w:rsidSect="002059F4">
          <w:pgSz w:w="12240" w:h="15840"/>
          <w:pgMar w:top="1440" w:right="1440" w:bottom="1440" w:left="1440" w:header="720" w:footer="720" w:gutter="0"/>
          <w:cols w:space="720"/>
          <w:titlePg/>
          <w:docGrid w:linePitch="360"/>
        </w:sectPr>
      </w:pPr>
    </w:p>
    <w:p w:rsidR="00A640A9" w:rsidP="002059F4" w:rsidRDefault="00A640A9" w14:paraId="4CFB748D" w14:textId="669C89AA">
      <w:pPr>
        <w:pStyle w:val="Heading1"/>
      </w:pPr>
      <w:r>
        <w:lastRenderedPageBreak/>
        <w:t>List of Attachments</w:t>
      </w:r>
    </w:p>
    <w:p w:rsidR="0026304B" w:rsidP="0026304B" w:rsidRDefault="0026304B" w14:paraId="4BA9D995" w14:textId="22F2EB77">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w:history="1" r:id="rId19">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w:t>
      </w:r>
      <w:r w:rsidR="004C3291">
        <w:rPr>
          <w:rFonts w:cs="Arial"/>
          <w:szCs w:val="24"/>
        </w:rPr>
        <w:t>2021-</w:t>
      </w:r>
      <w:r w:rsidR="006D1CE3">
        <w:rPr>
          <w:rFonts w:cs="Arial"/>
          <w:szCs w:val="24"/>
        </w:rPr>
        <w:t>0057</w:t>
      </w:r>
      <w:r>
        <w:rPr>
          <w:lang w:bidi="en-US"/>
        </w:rPr>
        <w:t>.</w:t>
      </w:r>
    </w:p>
    <w:tbl>
      <w:tblPr>
        <w:tblStyle w:val="TableGrid"/>
        <w:tblW w:w="0" w:type="auto"/>
        <w:tblLook w:val="04A0" w:firstRow="1" w:lastRow="0" w:firstColumn="1" w:lastColumn="0" w:noHBand="0" w:noVBand="1"/>
      </w:tblPr>
      <w:tblGrid>
        <w:gridCol w:w="670"/>
        <w:gridCol w:w="8680"/>
      </w:tblGrid>
      <w:tr w:rsidR="0026304B" w:rsidTr="00330667" w14:paraId="3C28984B" w14:textId="77777777">
        <w:tc>
          <w:tcPr>
            <w:tcW w:w="670" w:type="dxa"/>
          </w:tcPr>
          <w:p w:rsidRPr="0026304B" w:rsidR="0026304B" w:rsidP="0026304B" w:rsidRDefault="0026304B" w14:paraId="20CF178A" w14:textId="5677487C">
            <w:pPr>
              <w:widowControl w:val="0"/>
              <w:spacing w:before="40" w:after="40" w:line="240" w:lineRule="auto"/>
              <w:rPr>
                <w:b/>
                <w:bCs/>
                <w:lang w:bidi="en-US"/>
              </w:rPr>
            </w:pPr>
            <w:r w:rsidRPr="0026304B">
              <w:rPr>
                <w:b/>
                <w:bCs/>
                <w:lang w:bidi="en-US"/>
              </w:rPr>
              <w:t>Ref.</w:t>
            </w:r>
          </w:p>
        </w:tc>
        <w:tc>
          <w:tcPr>
            <w:tcW w:w="8680" w:type="dxa"/>
          </w:tcPr>
          <w:p w:rsidRPr="0026304B" w:rsidR="0026304B" w:rsidP="0026304B" w:rsidRDefault="0026304B" w14:paraId="43C6C962" w14:textId="1E709028">
            <w:pPr>
              <w:widowControl w:val="0"/>
              <w:spacing w:before="40" w:after="40" w:line="240" w:lineRule="auto"/>
              <w:rPr>
                <w:b/>
                <w:bCs/>
                <w:lang w:bidi="en-US"/>
              </w:rPr>
            </w:pPr>
            <w:r w:rsidRPr="0026304B">
              <w:rPr>
                <w:b/>
                <w:bCs/>
                <w:lang w:bidi="en-US"/>
              </w:rPr>
              <w:t>Title (</w:t>
            </w:r>
            <w:r w:rsidR="00EB29AB">
              <w:rPr>
                <w:b/>
                <w:bCs/>
                <w:lang w:bidi="en-US"/>
              </w:rPr>
              <w:t>h</w:t>
            </w:r>
            <w:r w:rsidRPr="0026304B">
              <w:rPr>
                <w:b/>
                <w:bCs/>
                <w:lang w:bidi="en-US"/>
              </w:rPr>
              <w:t>yperlink)</w:t>
            </w:r>
          </w:p>
        </w:tc>
      </w:tr>
      <w:tr w:rsidR="0026304B" w:rsidTr="00330667" w14:paraId="653EF079" w14:textId="77777777">
        <w:tc>
          <w:tcPr>
            <w:tcW w:w="670" w:type="dxa"/>
          </w:tcPr>
          <w:p w:rsidR="0026304B" w:rsidP="0026304B" w:rsidRDefault="00B1352E" w14:paraId="244D5D03" w14:textId="3D501ABF">
            <w:pPr>
              <w:widowControl w:val="0"/>
              <w:spacing w:before="40" w:after="40" w:line="240" w:lineRule="auto"/>
              <w:rPr>
                <w:lang w:bidi="en-US"/>
              </w:rPr>
            </w:pPr>
            <w:r>
              <w:rPr>
                <w:lang w:bidi="en-US"/>
              </w:rPr>
              <w:t>1.</w:t>
            </w:r>
          </w:p>
        </w:tc>
        <w:tc>
          <w:tcPr>
            <w:tcW w:w="8680" w:type="dxa"/>
          </w:tcPr>
          <w:p w:rsidR="0026304B" w:rsidP="0026304B" w:rsidRDefault="00EB29AB" w14:paraId="46F5F82F" w14:textId="49484FA7">
            <w:pPr>
              <w:widowControl w:val="0"/>
              <w:spacing w:before="40" w:after="40" w:line="240" w:lineRule="auto"/>
              <w:rPr>
                <w:lang w:bidi="en-US"/>
              </w:rPr>
            </w:pPr>
            <w:r>
              <w:rPr>
                <w:lang w:bidi="en-US"/>
              </w:rPr>
              <w:t>TSCA section 6 (</w:t>
            </w:r>
            <w:hyperlink w:history="1" r:id="rId20">
              <w:r w:rsidRPr="00EB29AB">
                <w:rPr>
                  <w:rStyle w:val="Hyperlink"/>
                  <w:lang w:bidi="en-US"/>
                </w:rPr>
                <w:t>15 U.S.C. 2605</w:t>
              </w:r>
            </w:hyperlink>
            <w:r>
              <w:rPr>
                <w:lang w:bidi="en-US"/>
              </w:rPr>
              <w:t>)</w:t>
            </w:r>
          </w:p>
        </w:tc>
      </w:tr>
      <w:tr w:rsidR="00B1352E" w:rsidTr="00330667" w14:paraId="5BBC1B5F" w14:textId="77777777">
        <w:tc>
          <w:tcPr>
            <w:tcW w:w="670" w:type="dxa"/>
          </w:tcPr>
          <w:p w:rsidR="00B1352E" w:rsidP="0026304B" w:rsidRDefault="00B1352E" w14:paraId="2DB440ED" w14:textId="078D2013">
            <w:pPr>
              <w:widowControl w:val="0"/>
              <w:spacing w:before="40" w:after="40" w:line="240" w:lineRule="auto"/>
              <w:rPr>
                <w:lang w:bidi="en-US"/>
              </w:rPr>
            </w:pPr>
            <w:r>
              <w:rPr>
                <w:lang w:bidi="en-US"/>
              </w:rPr>
              <w:t>2.</w:t>
            </w:r>
          </w:p>
        </w:tc>
        <w:tc>
          <w:tcPr>
            <w:tcW w:w="8680" w:type="dxa"/>
          </w:tcPr>
          <w:p w:rsidR="00B1352E" w:rsidP="0026304B" w:rsidRDefault="00EB29AB" w14:paraId="772B85E2" w14:textId="7954EF4D">
            <w:pPr>
              <w:widowControl w:val="0"/>
              <w:spacing w:before="40" w:after="40" w:line="240" w:lineRule="auto"/>
              <w:rPr>
                <w:lang w:bidi="en-US"/>
              </w:rPr>
            </w:pPr>
            <w:r>
              <w:rPr>
                <w:lang w:bidi="en-US"/>
              </w:rPr>
              <w:t>Proposed Rule</w:t>
            </w:r>
          </w:p>
        </w:tc>
      </w:tr>
    </w:tbl>
    <w:p w:rsidRPr="0026304B" w:rsidR="0026304B" w:rsidP="0026304B" w:rsidRDefault="0026304B" w14:paraId="402D83F5" w14:textId="77777777">
      <w:pPr>
        <w:rPr>
          <w:lang w:bidi="en-US"/>
        </w:rPr>
      </w:pPr>
    </w:p>
    <w:sectPr w:rsidRPr="0026304B" w:rsidR="0026304B" w:rsidSect="002059F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F874" w14:textId="77777777" w:rsidR="002926EB" w:rsidRDefault="002926EB" w:rsidP="005645B8">
      <w:pPr>
        <w:spacing w:after="0" w:line="240" w:lineRule="auto"/>
      </w:pPr>
      <w:r>
        <w:separator/>
      </w:r>
    </w:p>
  </w:endnote>
  <w:endnote w:type="continuationSeparator" w:id="0">
    <w:p w14:paraId="4AA7C8AA" w14:textId="77777777" w:rsidR="002926EB" w:rsidRDefault="002926EB" w:rsidP="005645B8">
      <w:pPr>
        <w:spacing w:after="0" w:line="240" w:lineRule="auto"/>
      </w:pPr>
      <w:r>
        <w:continuationSeparator/>
      </w:r>
    </w:p>
  </w:endnote>
  <w:endnote w:type="continuationNotice" w:id="1">
    <w:p w14:paraId="5CF3EC2F" w14:textId="77777777" w:rsidR="002926EB" w:rsidRDefault="00292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1C40F1" w:rsidRDefault="001C40F1"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01F2" w14:textId="39482EC5" w:rsidR="001C40F1" w:rsidRDefault="00BF3AAF" w:rsidP="009505AD">
    <w:pPr>
      <w:pStyle w:val="Footer"/>
      <w:spacing w:before="120"/>
      <w:jc w:val="center"/>
    </w:pPr>
    <w:sdt>
      <w:sdtPr>
        <w:id w:val="1988427682"/>
        <w:docPartObj>
          <w:docPartGallery w:val="Page Numbers (Top of Page)"/>
          <w:docPartUnique/>
        </w:docPartObj>
      </w:sdtPr>
      <w:sdtEndPr/>
      <w:sdtContent>
        <w:r w:rsidR="001C40F1" w:rsidRPr="009505AD">
          <w:rPr>
            <w:sz w:val="20"/>
            <w:szCs w:val="20"/>
          </w:rPr>
          <w:t xml:space="preserve">Page </w:t>
        </w:r>
        <w:r w:rsidR="001C40F1" w:rsidRPr="009505AD">
          <w:rPr>
            <w:b/>
            <w:bCs/>
            <w:sz w:val="20"/>
            <w:szCs w:val="20"/>
          </w:rPr>
          <w:fldChar w:fldCharType="begin"/>
        </w:r>
        <w:r w:rsidR="001C40F1" w:rsidRPr="009505AD">
          <w:rPr>
            <w:b/>
            <w:bCs/>
            <w:sz w:val="20"/>
            <w:szCs w:val="20"/>
          </w:rPr>
          <w:instrText xml:space="preserve"> PAGE </w:instrText>
        </w:r>
        <w:r w:rsidR="001C40F1" w:rsidRPr="009505AD">
          <w:rPr>
            <w:b/>
            <w:bCs/>
            <w:sz w:val="20"/>
            <w:szCs w:val="20"/>
          </w:rPr>
          <w:fldChar w:fldCharType="separate"/>
        </w:r>
        <w:r w:rsidR="001C40F1">
          <w:rPr>
            <w:b/>
            <w:bCs/>
            <w:sz w:val="20"/>
            <w:szCs w:val="20"/>
          </w:rPr>
          <w:t>2</w:t>
        </w:r>
        <w:r w:rsidR="001C40F1" w:rsidRPr="009505AD">
          <w:rPr>
            <w:b/>
            <w:bCs/>
            <w:sz w:val="20"/>
            <w:szCs w:val="20"/>
          </w:rPr>
          <w:fldChar w:fldCharType="end"/>
        </w:r>
        <w:r w:rsidR="001C40F1" w:rsidRPr="009505AD">
          <w:rPr>
            <w:sz w:val="20"/>
            <w:szCs w:val="20"/>
          </w:rPr>
          <w:t xml:space="preserve"> of </w:t>
        </w:r>
        <w:r w:rsidR="001C40F1" w:rsidRPr="009505AD">
          <w:rPr>
            <w:b/>
            <w:bCs/>
            <w:sz w:val="20"/>
            <w:szCs w:val="20"/>
          </w:rPr>
          <w:fldChar w:fldCharType="begin"/>
        </w:r>
        <w:r w:rsidR="001C40F1" w:rsidRPr="009505AD">
          <w:rPr>
            <w:b/>
            <w:bCs/>
            <w:sz w:val="20"/>
            <w:szCs w:val="20"/>
          </w:rPr>
          <w:instrText xml:space="preserve"> NUMPAGES  </w:instrText>
        </w:r>
        <w:r w:rsidR="001C40F1" w:rsidRPr="009505AD">
          <w:rPr>
            <w:b/>
            <w:bCs/>
            <w:sz w:val="20"/>
            <w:szCs w:val="20"/>
          </w:rPr>
          <w:fldChar w:fldCharType="separate"/>
        </w:r>
        <w:r w:rsidR="001C40F1">
          <w:rPr>
            <w:b/>
            <w:bCs/>
            <w:sz w:val="20"/>
            <w:szCs w:val="20"/>
          </w:rPr>
          <w:t>5</w:t>
        </w:r>
        <w:r w:rsidR="001C40F1"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EA87" w14:textId="77777777" w:rsidR="002926EB" w:rsidRDefault="002926EB" w:rsidP="005645B8">
      <w:pPr>
        <w:spacing w:after="0" w:line="240" w:lineRule="auto"/>
      </w:pPr>
      <w:r>
        <w:separator/>
      </w:r>
    </w:p>
  </w:footnote>
  <w:footnote w:type="continuationSeparator" w:id="0">
    <w:p w14:paraId="0FC7D008" w14:textId="77777777" w:rsidR="002926EB" w:rsidRDefault="002926EB" w:rsidP="005645B8">
      <w:pPr>
        <w:spacing w:after="0" w:line="240" w:lineRule="auto"/>
      </w:pPr>
      <w:r>
        <w:continuationSeparator/>
      </w:r>
    </w:p>
  </w:footnote>
  <w:footnote w:type="continuationNotice" w:id="1">
    <w:p w14:paraId="195C4CA7" w14:textId="77777777" w:rsidR="002926EB" w:rsidRDefault="002926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C76A" w14:textId="44307362" w:rsidR="00252E6B" w:rsidRPr="000707BF" w:rsidRDefault="00252E6B" w:rsidP="000707BF">
    <w:pPr>
      <w:tabs>
        <w:tab w:val="center" w:pos="4680"/>
        <w:tab w:val="right" w:pos="9360"/>
      </w:tabs>
      <w:spacing w:after="0" w:line="240" w:lineRule="auto"/>
      <w:jc w:val="center"/>
      <w:rPr>
        <w:rFonts w:ascii="Times New Roman" w:eastAsia="Times New Roman" w:hAnsi="Times New Roman" w:cs="Times New Roman"/>
        <w:i/>
        <w:iCs/>
        <w:color w:val="FF0000"/>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3199" w14:textId="167D70DC" w:rsidR="001C40F1" w:rsidRPr="000707BF" w:rsidRDefault="00E97790" w:rsidP="00E97790">
    <w:pPr>
      <w:spacing w:before="40"/>
      <w:jc w:val="right"/>
      <w:rPr>
        <w:rFonts w:ascii="Times New Roman" w:eastAsia="Calibri" w:hAnsi="Times New Roman" w:cs="Times New Roman"/>
        <w:iCs/>
        <w:color w:val="000000"/>
        <w:szCs w:val="24"/>
      </w:rPr>
    </w:pPr>
    <w:r>
      <w:t>April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3BA"/>
    <w:multiLevelType w:val="hybridMultilevel"/>
    <w:tmpl w:val="C92292F4"/>
    <w:lvl w:ilvl="0" w:tplc="A1629AF2">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4" w15:restartNumberingAfterBreak="0">
    <w:nsid w:val="29C64153"/>
    <w:multiLevelType w:val="hybridMultilevel"/>
    <w:tmpl w:val="752E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117CFF"/>
    <w:multiLevelType w:val="hybridMultilevel"/>
    <w:tmpl w:val="399EA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D3280C"/>
    <w:multiLevelType w:val="hybridMultilevel"/>
    <w:tmpl w:val="23FE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E622C"/>
    <w:multiLevelType w:val="hybridMultilevel"/>
    <w:tmpl w:val="0658CB8A"/>
    <w:lvl w:ilvl="0" w:tplc="9D36A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180FF2"/>
    <w:multiLevelType w:val="multilevel"/>
    <w:tmpl w:val="4CD05EDC"/>
    <w:lvl w:ilvl="0">
      <w:start w:val="1"/>
      <w:numFmt w:val="decimal"/>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0" w15:restartNumberingAfterBreak="0">
    <w:nsid w:val="46C24AD7"/>
    <w:multiLevelType w:val="hybridMultilevel"/>
    <w:tmpl w:val="A3322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A502569"/>
    <w:multiLevelType w:val="hybridMultilevel"/>
    <w:tmpl w:val="E38ACA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B110C"/>
    <w:multiLevelType w:val="hybridMultilevel"/>
    <w:tmpl w:val="88A253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B13BC"/>
    <w:multiLevelType w:val="hybridMultilevel"/>
    <w:tmpl w:val="866E91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A2B71BC"/>
    <w:multiLevelType w:val="hybridMultilevel"/>
    <w:tmpl w:val="1864F8C4"/>
    <w:lvl w:ilvl="0" w:tplc="D32E1C9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5C527F15"/>
    <w:multiLevelType w:val="hybridMultilevel"/>
    <w:tmpl w:val="EC2C0850"/>
    <w:lvl w:ilvl="0" w:tplc="0EB6D850">
      <w:start w:val="1"/>
      <w:numFmt w:val="decimal"/>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B5464"/>
    <w:multiLevelType w:val="hybridMultilevel"/>
    <w:tmpl w:val="0409001D"/>
    <w:lvl w:ilvl="0" w:tplc="36EA2520">
      <w:start w:val="1"/>
      <w:numFmt w:val="decimal"/>
      <w:lvlText w:val="%1)"/>
      <w:lvlJc w:val="left"/>
      <w:pPr>
        <w:ind w:left="360" w:hanging="360"/>
      </w:pPr>
    </w:lvl>
    <w:lvl w:ilvl="1" w:tplc="C040D554">
      <w:start w:val="1"/>
      <w:numFmt w:val="lowerLetter"/>
      <w:lvlText w:val="%2)"/>
      <w:lvlJc w:val="left"/>
      <w:pPr>
        <w:ind w:left="720" w:hanging="360"/>
      </w:pPr>
    </w:lvl>
    <w:lvl w:ilvl="2" w:tplc="75E42FF6">
      <w:start w:val="1"/>
      <w:numFmt w:val="lowerRoman"/>
      <w:lvlText w:val="%3)"/>
      <w:lvlJc w:val="left"/>
      <w:pPr>
        <w:ind w:left="1080" w:hanging="360"/>
      </w:pPr>
    </w:lvl>
    <w:lvl w:ilvl="3" w:tplc="470E67F0">
      <w:start w:val="1"/>
      <w:numFmt w:val="decimal"/>
      <w:lvlText w:val="(%4)"/>
      <w:lvlJc w:val="left"/>
      <w:pPr>
        <w:ind w:left="1440" w:hanging="360"/>
      </w:pPr>
    </w:lvl>
    <w:lvl w:ilvl="4" w:tplc="F7342EDA">
      <w:start w:val="1"/>
      <w:numFmt w:val="lowerLetter"/>
      <w:lvlText w:val="(%5)"/>
      <w:lvlJc w:val="left"/>
      <w:pPr>
        <w:ind w:left="1800" w:hanging="360"/>
      </w:pPr>
    </w:lvl>
    <w:lvl w:ilvl="5" w:tplc="F06C2714">
      <w:start w:val="1"/>
      <w:numFmt w:val="lowerRoman"/>
      <w:lvlText w:val="(%6)"/>
      <w:lvlJc w:val="left"/>
      <w:pPr>
        <w:ind w:left="2160" w:hanging="360"/>
      </w:pPr>
    </w:lvl>
    <w:lvl w:ilvl="6" w:tplc="6E284FE2">
      <w:start w:val="1"/>
      <w:numFmt w:val="decimal"/>
      <w:lvlText w:val="%7."/>
      <w:lvlJc w:val="left"/>
      <w:pPr>
        <w:ind w:left="2520" w:hanging="360"/>
      </w:pPr>
    </w:lvl>
    <w:lvl w:ilvl="7" w:tplc="0BB8F9DE">
      <w:start w:val="1"/>
      <w:numFmt w:val="lowerLetter"/>
      <w:lvlText w:val="%8."/>
      <w:lvlJc w:val="left"/>
      <w:pPr>
        <w:ind w:left="2880" w:hanging="360"/>
      </w:pPr>
    </w:lvl>
    <w:lvl w:ilvl="8" w:tplc="76D43FD8">
      <w:start w:val="1"/>
      <w:numFmt w:val="lowerRoman"/>
      <w:lvlText w:val="%9."/>
      <w:lvlJc w:val="left"/>
      <w:pPr>
        <w:ind w:left="3240" w:hanging="360"/>
      </w:pPr>
    </w:lvl>
  </w:abstractNum>
  <w:abstractNum w:abstractNumId="18" w15:restartNumberingAfterBreak="0">
    <w:nsid w:val="5D3D2873"/>
    <w:multiLevelType w:val="hybridMultilevel"/>
    <w:tmpl w:val="821E18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EC376A"/>
    <w:multiLevelType w:val="hybridMultilevel"/>
    <w:tmpl w:val="05E2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9A547E"/>
    <w:multiLevelType w:val="hybridMultilevel"/>
    <w:tmpl w:val="59F0BA3E"/>
    <w:lvl w:ilvl="0" w:tplc="DB5ABE90">
      <w:start w:val="1"/>
      <w:numFmt w:val="decimal"/>
      <w:lvlText w:val="%1."/>
      <w:lvlJc w:val="left"/>
      <w:pPr>
        <w:tabs>
          <w:tab w:val="num" w:pos="720"/>
        </w:tabs>
        <w:ind w:left="720" w:hanging="720"/>
      </w:pPr>
    </w:lvl>
    <w:lvl w:ilvl="1" w:tplc="1A520952">
      <w:start w:val="1"/>
      <w:numFmt w:val="decimal"/>
      <w:lvlText w:val="%2."/>
      <w:lvlJc w:val="left"/>
      <w:pPr>
        <w:tabs>
          <w:tab w:val="num" w:pos="1440"/>
        </w:tabs>
        <w:ind w:left="1440" w:hanging="720"/>
      </w:pPr>
    </w:lvl>
    <w:lvl w:ilvl="2" w:tplc="D1EE4ECA">
      <w:start w:val="1"/>
      <w:numFmt w:val="decimal"/>
      <w:lvlText w:val="%3."/>
      <w:lvlJc w:val="left"/>
      <w:pPr>
        <w:tabs>
          <w:tab w:val="num" w:pos="2160"/>
        </w:tabs>
        <w:ind w:left="2160" w:hanging="720"/>
      </w:pPr>
    </w:lvl>
    <w:lvl w:ilvl="3" w:tplc="0C86F148">
      <w:start w:val="1"/>
      <w:numFmt w:val="decimal"/>
      <w:lvlText w:val="%4."/>
      <w:lvlJc w:val="left"/>
      <w:pPr>
        <w:tabs>
          <w:tab w:val="num" w:pos="2880"/>
        </w:tabs>
        <w:ind w:left="2880" w:hanging="720"/>
      </w:pPr>
    </w:lvl>
    <w:lvl w:ilvl="4" w:tplc="E0E44856">
      <w:start w:val="1"/>
      <w:numFmt w:val="decimal"/>
      <w:lvlText w:val="%5."/>
      <w:lvlJc w:val="left"/>
      <w:pPr>
        <w:tabs>
          <w:tab w:val="num" w:pos="3600"/>
        </w:tabs>
        <w:ind w:left="3600" w:hanging="720"/>
      </w:pPr>
    </w:lvl>
    <w:lvl w:ilvl="5" w:tplc="90EAC6D8">
      <w:start w:val="1"/>
      <w:numFmt w:val="decimal"/>
      <w:lvlText w:val="%6."/>
      <w:lvlJc w:val="left"/>
      <w:pPr>
        <w:tabs>
          <w:tab w:val="num" w:pos="4320"/>
        </w:tabs>
        <w:ind w:left="4320" w:hanging="720"/>
      </w:pPr>
    </w:lvl>
    <w:lvl w:ilvl="6" w:tplc="F7B09F6C">
      <w:start w:val="1"/>
      <w:numFmt w:val="decimal"/>
      <w:lvlText w:val="%7."/>
      <w:lvlJc w:val="left"/>
      <w:pPr>
        <w:tabs>
          <w:tab w:val="num" w:pos="5040"/>
        </w:tabs>
        <w:ind w:left="5040" w:hanging="720"/>
      </w:pPr>
    </w:lvl>
    <w:lvl w:ilvl="7" w:tplc="97DC47D2">
      <w:start w:val="1"/>
      <w:numFmt w:val="decimal"/>
      <w:lvlText w:val="%8."/>
      <w:lvlJc w:val="left"/>
      <w:pPr>
        <w:tabs>
          <w:tab w:val="num" w:pos="5760"/>
        </w:tabs>
        <w:ind w:left="5760" w:hanging="720"/>
      </w:pPr>
    </w:lvl>
    <w:lvl w:ilvl="8" w:tplc="CF14C904">
      <w:start w:val="1"/>
      <w:numFmt w:val="decimal"/>
      <w:lvlText w:val="%9."/>
      <w:lvlJc w:val="left"/>
      <w:pPr>
        <w:tabs>
          <w:tab w:val="num" w:pos="6480"/>
        </w:tabs>
        <w:ind w:left="6480" w:hanging="720"/>
      </w:pPr>
    </w:lvl>
  </w:abstractNum>
  <w:abstractNum w:abstractNumId="22" w15:restartNumberingAfterBreak="0">
    <w:nsid w:val="6B7C3D92"/>
    <w:multiLevelType w:val="hybridMultilevel"/>
    <w:tmpl w:val="7266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BAE3885"/>
    <w:multiLevelType w:val="hybridMultilevel"/>
    <w:tmpl w:val="E7345522"/>
    <w:lvl w:ilvl="0" w:tplc="9D36A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77D97"/>
    <w:multiLevelType w:val="hybridMultilevel"/>
    <w:tmpl w:val="F42AAF2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7" w15:restartNumberingAfterBreak="0">
    <w:nsid w:val="7BEA0123"/>
    <w:multiLevelType w:val="hybridMultilevel"/>
    <w:tmpl w:val="AF5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274068"/>
    <w:multiLevelType w:val="hybridMultilevel"/>
    <w:tmpl w:val="99329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7"/>
  </w:num>
  <w:num w:numId="3">
    <w:abstractNumId w:val="28"/>
  </w:num>
  <w:num w:numId="4">
    <w:abstractNumId w:val="20"/>
  </w:num>
  <w:num w:numId="5">
    <w:abstractNumId w:val="4"/>
  </w:num>
  <w:num w:numId="6">
    <w:abstractNumId w:val="11"/>
  </w:num>
  <w:num w:numId="7">
    <w:abstractNumId w:val="2"/>
  </w:num>
  <w:num w:numId="8">
    <w:abstractNumId w:val="24"/>
  </w:num>
  <w:num w:numId="9">
    <w:abstractNumId w:val="22"/>
  </w:num>
  <w:num w:numId="10">
    <w:abstractNumId w:val="19"/>
  </w:num>
  <w:num w:numId="11">
    <w:abstractNumId w:val="14"/>
  </w:num>
  <w:num w:numId="12">
    <w:abstractNumId w:val="10"/>
  </w:num>
  <w:num w:numId="13">
    <w:abstractNumId w:val="3"/>
  </w:num>
  <w:num w:numId="14">
    <w:abstractNumId w:val="26"/>
  </w:num>
  <w:num w:numId="15">
    <w:abstractNumId w:val="27"/>
  </w:num>
  <w:num w:numId="16">
    <w:abstractNumId w:val="18"/>
  </w:num>
  <w:num w:numId="17">
    <w:abstractNumId w:val="13"/>
  </w:num>
  <w:num w:numId="18">
    <w:abstractNumId w:val="25"/>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7"/>
    </w:lvlOverride>
  </w:num>
  <w:num w:numId="30">
    <w:abstractNumId w:val="9"/>
    <w:lvlOverride w:ilvl="0">
      <w:startOverride w:val="17"/>
    </w:lvlOverride>
  </w:num>
  <w:num w:numId="31">
    <w:abstractNumId w:val="0"/>
  </w:num>
  <w:num w:numId="32">
    <w:abstractNumId w:val="15"/>
  </w:num>
  <w:num w:numId="33">
    <w:abstractNumId w:val="16"/>
  </w:num>
  <w:num w:numId="34">
    <w:abstractNumId w:val="1"/>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8"/>
  </w:num>
  <w:num w:numId="39">
    <w:abstractNumId w:val="12"/>
  </w:num>
  <w:num w:numId="40">
    <w:abstractNumId w:val="7"/>
  </w:num>
  <w:num w:numId="41">
    <w:abstractNumId w:val="23"/>
  </w:num>
  <w:num w:numId="42">
    <w:abstractNumId w:val="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1535"/>
    <w:rsid w:val="00004C9B"/>
    <w:rsid w:val="00006401"/>
    <w:rsid w:val="0000670B"/>
    <w:rsid w:val="000067F2"/>
    <w:rsid w:val="00006B5B"/>
    <w:rsid w:val="0001234E"/>
    <w:rsid w:val="00014828"/>
    <w:rsid w:val="00017642"/>
    <w:rsid w:val="00017976"/>
    <w:rsid w:val="00020B0A"/>
    <w:rsid w:val="00020DCF"/>
    <w:rsid w:val="00031245"/>
    <w:rsid w:val="0003181D"/>
    <w:rsid w:val="00031D59"/>
    <w:rsid w:val="000351E8"/>
    <w:rsid w:val="000453DB"/>
    <w:rsid w:val="00053C7A"/>
    <w:rsid w:val="00061DFC"/>
    <w:rsid w:val="00062C6B"/>
    <w:rsid w:val="0006464F"/>
    <w:rsid w:val="000656A4"/>
    <w:rsid w:val="000707BF"/>
    <w:rsid w:val="00070B42"/>
    <w:rsid w:val="00071D9D"/>
    <w:rsid w:val="000722DD"/>
    <w:rsid w:val="000726B7"/>
    <w:rsid w:val="00073171"/>
    <w:rsid w:val="0007341B"/>
    <w:rsid w:val="000779B2"/>
    <w:rsid w:val="00086DC2"/>
    <w:rsid w:val="000877CF"/>
    <w:rsid w:val="0009252F"/>
    <w:rsid w:val="00094091"/>
    <w:rsid w:val="000947AE"/>
    <w:rsid w:val="00097C0A"/>
    <w:rsid w:val="000A507C"/>
    <w:rsid w:val="000B525C"/>
    <w:rsid w:val="000C108B"/>
    <w:rsid w:val="000C4C61"/>
    <w:rsid w:val="000C7978"/>
    <w:rsid w:val="000D2D00"/>
    <w:rsid w:val="000D541F"/>
    <w:rsid w:val="000D5E31"/>
    <w:rsid w:val="000E4E00"/>
    <w:rsid w:val="000F2829"/>
    <w:rsid w:val="000F3685"/>
    <w:rsid w:val="00103B2E"/>
    <w:rsid w:val="00107247"/>
    <w:rsid w:val="00110330"/>
    <w:rsid w:val="0011527F"/>
    <w:rsid w:val="0012070B"/>
    <w:rsid w:val="00120736"/>
    <w:rsid w:val="00122AC8"/>
    <w:rsid w:val="001278AD"/>
    <w:rsid w:val="00133CAD"/>
    <w:rsid w:val="00135E26"/>
    <w:rsid w:val="00136C5B"/>
    <w:rsid w:val="00136F40"/>
    <w:rsid w:val="00143E7C"/>
    <w:rsid w:val="00144DFA"/>
    <w:rsid w:val="001506AC"/>
    <w:rsid w:val="00152D7A"/>
    <w:rsid w:val="00153E50"/>
    <w:rsid w:val="0015579A"/>
    <w:rsid w:val="0015719F"/>
    <w:rsid w:val="0015784C"/>
    <w:rsid w:val="00157FE0"/>
    <w:rsid w:val="00160FD4"/>
    <w:rsid w:val="00161458"/>
    <w:rsid w:val="00161ED7"/>
    <w:rsid w:val="00163547"/>
    <w:rsid w:val="00174CD9"/>
    <w:rsid w:val="00175595"/>
    <w:rsid w:val="0017712E"/>
    <w:rsid w:val="001824F9"/>
    <w:rsid w:val="00183A5E"/>
    <w:rsid w:val="001852FC"/>
    <w:rsid w:val="0018533D"/>
    <w:rsid w:val="0018575F"/>
    <w:rsid w:val="001878AE"/>
    <w:rsid w:val="00191DBD"/>
    <w:rsid w:val="00192218"/>
    <w:rsid w:val="001A32BE"/>
    <w:rsid w:val="001A3FE8"/>
    <w:rsid w:val="001A4BBA"/>
    <w:rsid w:val="001A77AB"/>
    <w:rsid w:val="001B06A5"/>
    <w:rsid w:val="001B0E39"/>
    <w:rsid w:val="001B252B"/>
    <w:rsid w:val="001B45B0"/>
    <w:rsid w:val="001B53C7"/>
    <w:rsid w:val="001B5736"/>
    <w:rsid w:val="001B7DB0"/>
    <w:rsid w:val="001C3187"/>
    <w:rsid w:val="001C40F1"/>
    <w:rsid w:val="001C7B49"/>
    <w:rsid w:val="001C7CD6"/>
    <w:rsid w:val="001D2FDB"/>
    <w:rsid w:val="001E0DDA"/>
    <w:rsid w:val="001E5236"/>
    <w:rsid w:val="001F19F8"/>
    <w:rsid w:val="001F4335"/>
    <w:rsid w:val="002059F4"/>
    <w:rsid w:val="002061D9"/>
    <w:rsid w:val="00215B24"/>
    <w:rsid w:val="00225DFA"/>
    <w:rsid w:val="0022704E"/>
    <w:rsid w:val="0023602B"/>
    <w:rsid w:val="002405F8"/>
    <w:rsid w:val="002415FD"/>
    <w:rsid w:val="00252E6B"/>
    <w:rsid w:val="0026304B"/>
    <w:rsid w:val="00266620"/>
    <w:rsid w:val="00271285"/>
    <w:rsid w:val="002715EE"/>
    <w:rsid w:val="00273117"/>
    <w:rsid w:val="0028714D"/>
    <w:rsid w:val="002910C3"/>
    <w:rsid w:val="002917DB"/>
    <w:rsid w:val="002926EB"/>
    <w:rsid w:val="00294EAC"/>
    <w:rsid w:val="002970C2"/>
    <w:rsid w:val="002A1D3B"/>
    <w:rsid w:val="002A3714"/>
    <w:rsid w:val="002A4E0C"/>
    <w:rsid w:val="002B0279"/>
    <w:rsid w:val="002B290C"/>
    <w:rsid w:val="002D10B1"/>
    <w:rsid w:val="002E1521"/>
    <w:rsid w:val="002E3A57"/>
    <w:rsid w:val="002E5D44"/>
    <w:rsid w:val="002E6D41"/>
    <w:rsid w:val="002F07ED"/>
    <w:rsid w:val="002F0984"/>
    <w:rsid w:val="002F0D38"/>
    <w:rsid w:val="002F21F7"/>
    <w:rsid w:val="002F4B33"/>
    <w:rsid w:val="002F5EF6"/>
    <w:rsid w:val="002F62BF"/>
    <w:rsid w:val="003041B0"/>
    <w:rsid w:val="0031195B"/>
    <w:rsid w:val="003147DD"/>
    <w:rsid w:val="00317CC7"/>
    <w:rsid w:val="00330667"/>
    <w:rsid w:val="00336A5E"/>
    <w:rsid w:val="00341D6A"/>
    <w:rsid w:val="0034322D"/>
    <w:rsid w:val="00352E22"/>
    <w:rsid w:val="00360C9C"/>
    <w:rsid w:val="003639E7"/>
    <w:rsid w:val="003645F8"/>
    <w:rsid w:val="00367B01"/>
    <w:rsid w:val="00377490"/>
    <w:rsid w:val="003832B9"/>
    <w:rsid w:val="003845EA"/>
    <w:rsid w:val="003853DC"/>
    <w:rsid w:val="003872AF"/>
    <w:rsid w:val="00393ED4"/>
    <w:rsid w:val="003951A1"/>
    <w:rsid w:val="00395C2C"/>
    <w:rsid w:val="003A05DF"/>
    <w:rsid w:val="003A16DA"/>
    <w:rsid w:val="003A6B3A"/>
    <w:rsid w:val="003C48A3"/>
    <w:rsid w:val="003C4D8A"/>
    <w:rsid w:val="003D096C"/>
    <w:rsid w:val="003D09E2"/>
    <w:rsid w:val="003D3635"/>
    <w:rsid w:val="003E156D"/>
    <w:rsid w:val="003E219D"/>
    <w:rsid w:val="003E2F88"/>
    <w:rsid w:val="003E48E5"/>
    <w:rsid w:val="003E5CB4"/>
    <w:rsid w:val="003F1A38"/>
    <w:rsid w:val="00403789"/>
    <w:rsid w:val="00406879"/>
    <w:rsid w:val="0040713D"/>
    <w:rsid w:val="00413636"/>
    <w:rsid w:val="0042073E"/>
    <w:rsid w:val="0043258F"/>
    <w:rsid w:val="00432A9F"/>
    <w:rsid w:val="00433DB3"/>
    <w:rsid w:val="00436872"/>
    <w:rsid w:val="0045503C"/>
    <w:rsid w:val="00461214"/>
    <w:rsid w:val="00467915"/>
    <w:rsid w:val="004708D2"/>
    <w:rsid w:val="00471765"/>
    <w:rsid w:val="00471AC2"/>
    <w:rsid w:val="0048563A"/>
    <w:rsid w:val="0048771E"/>
    <w:rsid w:val="0049003D"/>
    <w:rsid w:val="004917AF"/>
    <w:rsid w:val="004A0907"/>
    <w:rsid w:val="004A0F87"/>
    <w:rsid w:val="004A7019"/>
    <w:rsid w:val="004A73E2"/>
    <w:rsid w:val="004B02D4"/>
    <w:rsid w:val="004B0E60"/>
    <w:rsid w:val="004B19BB"/>
    <w:rsid w:val="004C2DAC"/>
    <w:rsid w:val="004C3291"/>
    <w:rsid w:val="004C3EE4"/>
    <w:rsid w:val="004C794C"/>
    <w:rsid w:val="004D713C"/>
    <w:rsid w:val="004F0098"/>
    <w:rsid w:val="004F1633"/>
    <w:rsid w:val="00500760"/>
    <w:rsid w:val="00502798"/>
    <w:rsid w:val="00502D91"/>
    <w:rsid w:val="00504484"/>
    <w:rsid w:val="00507DA7"/>
    <w:rsid w:val="00515F16"/>
    <w:rsid w:val="00523250"/>
    <w:rsid w:val="00524C24"/>
    <w:rsid w:val="005302CC"/>
    <w:rsid w:val="00533FD4"/>
    <w:rsid w:val="005441FE"/>
    <w:rsid w:val="00551637"/>
    <w:rsid w:val="00555904"/>
    <w:rsid w:val="0056209B"/>
    <w:rsid w:val="005645B8"/>
    <w:rsid w:val="00566EA2"/>
    <w:rsid w:val="00567941"/>
    <w:rsid w:val="005702B5"/>
    <w:rsid w:val="0057348F"/>
    <w:rsid w:val="00573964"/>
    <w:rsid w:val="00575DC0"/>
    <w:rsid w:val="0058208D"/>
    <w:rsid w:val="00583031"/>
    <w:rsid w:val="00590649"/>
    <w:rsid w:val="0059087E"/>
    <w:rsid w:val="00595EF1"/>
    <w:rsid w:val="005A1EAA"/>
    <w:rsid w:val="005B0394"/>
    <w:rsid w:val="005B3965"/>
    <w:rsid w:val="005B7792"/>
    <w:rsid w:val="005C3C75"/>
    <w:rsid w:val="005C7CA5"/>
    <w:rsid w:val="005D6FB8"/>
    <w:rsid w:val="005E1DDC"/>
    <w:rsid w:val="005F28F9"/>
    <w:rsid w:val="005F3723"/>
    <w:rsid w:val="005F768A"/>
    <w:rsid w:val="00610385"/>
    <w:rsid w:val="006120FC"/>
    <w:rsid w:val="00614476"/>
    <w:rsid w:val="00614FFA"/>
    <w:rsid w:val="00630001"/>
    <w:rsid w:val="00630DCA"/>
    <w:rsid w:val="006319F8"/>
    <w:rsid w:val="006429CA"/>
    <w:rsid w:val="00643C14"/>
    <w:rsid w:val="006440A7"/>
    <w:rsid w:val="0064734A"/>
    <w:rsid w:val="0065026C"/>
    <w:rsid w:val="00655E75"/>
    <w:rsid w:val="00666FEA"/>
    <w:rsid w:val="00677559"/>
    <w:rsid w:val="00677BEE"/>
    <w:rsid w:val="00680400"/>
    <w:rsid w:val="00685E7F"/>
    <w:rsid w:val="006943C3"/>
    <w:rsid w:val="00697BDA"/>
    <w:rsid w:val="006A00A7"/>
    <w:rsid w:val="006A07BE"/>
    <w:rsid w:val="006A31B2"/>
    <w:rsid w:val="006B0DB9"/>
    <w:rsid w:val="006B22AF"/>
    <w:rsid w:val="006B404A"/>
    <w:rsid w:val="006B52E1"/>
    <w:rsid w:val="006C624A"/>
    <w:rsid w:val="006C6909"/>
    <w:rsid w:val="006C7D3C"/>
    <w:rsid w:val="006D1CE3"/>
    <w:rsid w:val="006D21D1"/>
    <w:rsid w:val="006D35C6"/>
    <w:rsid w:val="006E07E5"/>
    <w:rsid w:val="006E203A"/>
    <w:rsid w:val="006F3735"/>
    <w:rsid w:val="006F763D"/>
    <w:rsid w:val="00705808"/>
    <w:rsid w:val="00706FCA"/>
    <w:rsid w:val="00710616"/>
    <w:rsid w:val="007221A2"/>
    <w:rsid w:val="0073054C"/>
    <w:rsid w:val="00742EF9"/>
    <w:rsid w:val="007535EC"/>
    <w:rsid w:val="00764269"/>
    <w:rsid w:val="00773DB2"/>
    <w:rsid w:val="00781AFA"/>
    <w:rsid w:val="00786C24"/>
    <w:rsid w:val="00791605"/>
    <w:rsid w:val="0079174C"/>
    <w:rsid w:val="00792002"/>
    <w:rsid w:val="0079430B"/>
    <w:rsid w:val="007953FC"/>
    <w:rsid w:val="007A01E7"/>
    <w:rsid w:val="007A1568"/>
    <w:rsid w:val="007A3C9E"/>
    <w:rsid w:val="007A3DE7"/>
    <w:rsid w:val="007A6C55"/>
    <w:rsid w:val="007A76B0"/>
    <w:rsid w:val="007B244D"/>
    <w:rsid w:val="007B2C9C"/>
    <w:rsid w:val="007B3187"/>
    <w:rsid w:val="007B49BA"/>
    <w:rsid w:val="007C44F5"/>
    <w:rsid w:val="007E0AFB"/>
    <w:rsid w:val="007F220B"/>
    <w:rsid w:val="007F3394"/>
    <w:rsid w:val="007F3A69"/>
    <w:rsid w:val="00805955"/>
    <w:rsid w:val="008244B4"/>
    <w:rsid w:val="008266F2"/>
    <w:rsid w:val="0083032D"/>
    <w:rsid w:val="00830AC1"/>
    <w:rsid w:val="00831D58"/>
    <w:rsid w:val="0085298F"/>
    <w:rsid w:val="00852E98"/>
    <w:rsid w:val="008572A8"/>
    <w:rsid w:val="00863B4E"/>
    <w:rsid w:val="00863C6D"/>
    <w:rsid w:val="008645F4"/>
    <w:rsid w:val="00866FA5"/>
    <w:rsid w:val="00876995"/>
    <w:rsid w:val="00881E21"/>
    <w:rsid w:val="008851E4"/>
    <w:rsid w:val="00885220"/>
    <w:rsid w:val="00886D80"/>
    <w:rsid w:val="00892D9F"/>
    <w:rsid w:val="008936FA"/>
    <w:rsid w:val="00893DAC"/>
    <w:rsid w:val="00895FDB"/>
    <w:rsid w:val="00897D7E"/>
    <w:rsid w:val="008A0669"/>
    <w:rsid w:val="008A094B"/>
    <w:rsid w:val="008B3544"/>
    <w:rsid w:val="008C09F0"/>
    <w:rsid w:val="008C31D3"/>
    <w:rsid w:val="008C367D"/>
    <w:rsid w:val="008C55C2"/>
    <w:rsid w:val="008D12E5"/>
    <w:rsid w:val="008E573C"/>
    <w:rsid w:val="008F786E"/>
    <w:rsid w:val="00931E73"/>
    <w:rsid w:val="0093316B"/>
    <w:rsid w:val="0093363C"/>
    <w:rsid w:val="00933DE4"/>
    <w:rsid w:val="009464FA"/>
    <w:rsid w:val="009505AD"/>
    <w:rsid w:val="0096371E"/>
    <w:rsid w:val="009666EE"/>
    <w:rsid w:val="009767E8"/>
    <w:rsid w:val="009803E7"/>
    <w:rsid w:val="00983214"/>
    <w:rsid w:val="00985F1F"/>
    <w:rsid w:val="00990489"/>
    <w:rsid w:val="00993D9E"/>
    <w:rsid w:val="009A3759"/>
    <w:rsid w:val="009A44FC"/>
    <w:rsid w:val="009A7738"/>
    <w:rsid w:val="009B1B65"/>
    <w:rsid w:val="009C46E1"/>
    <w:rsid w:val="009D1902"/>
    <w:rsid w:val="009D3C67"/>
    <w:rsid w:val="009D5C62"/>
    <w:rsid w:val="009D7714"/>
    <w:rsid w:val="009E0DF5"/>
    <w:rsid w:val="009E3438"/>
    <w:rsid w:val="009E7F77"/>
    <w:rsid w:val="009F0D69"/>
    <w:rsid w:val="009F413F"/>
    <w:rsid w:val="009F52D6"/>
    <w:rsid w:val="009F6A74"/>
    <w:rsid w:val="00A042D3"/>
    <w:rsid w:val="00A04A45"/>
    <w:rsid w:val="00A10E05"/>
    <w:rsid w:val="00A1115A"/>
    <w:rsid w:val="00A11E0F"/>
    <w:rsid w:val="00A12E0F"/>
    <w:rsid w:val="00A13E06"/>
    <w:rsid w:val="00A14421"/>
    <w:rsid w:val="00A1564B"/>
    <w:rsid w:val="00A15DA9"/>
    <w:rsid w:val="00A16D11"/>
    <w:rsid w:val="00A170C6"/>
    <w:rsid w:val="00A23453"/>
    <w:rsid w:val="00A23CB3"/>
    <w:rsid w:val="00A27F2D"/>
    <w:rsid w:val="00A33137"/>
    <w:rsid w:val="00A3483C"/>
    <w:rsid w:val="00A46F3E"/>
    <w:rsid w:val="00A47159"/>
    <w:rsid w:val="00A536F7"/>
    <w:rsid w:val="00A55C34"/>
    <w:rsid w:val="00A56015"/>
    <w:rsid w:val="00A62217"/>
    <w:rsid w:val="00A640A9"/>
    <w:rsid w:val="00A66AF1"/>
    <w:rsid w:val="00A71AAB"/>
    <w:rsid w:val="00A72826"/>
    <w:rsid w:val="00A72919"/>
    <w:rsid w:val="00A739EF"/>
    <w:rsid w:val="00A75643"/>
    <w:rsid w:val="00A85561"/>
    <w:rsid w:val="00A85B28"/>
    <w:rsid w:val="00A85C01"/>
    <w:rsid w:val="00A92DD1"/>
    <w:rsid w:val="00A969E1"/>
    <w:rsid w:val="00A96A2C"/>
    <w:rsid w:val="00AA1D85"/>
    <w:rsid w:val="00AA7A7A"/>
    <w:rsid w:val="00AB088A"/>
    <w:rsid w:val="00AB7ED9"/>
    <w:rsid w:val="00AD28D0"/>
    <w:rsid w:val="00AD2BE1"/>
    <w:rsid w:val="00AD6280"/>
    <w:rsid w:val="00AD7842"/>
    <w:rsid w:val="00AE47C0"/>
    <w:rsid w:val="00AF1B56"/>
    <w:rsid w:val="00AF27D9"/>
    <w:rsid w:val="00AF2ED0"/>
    <w:rsid w:val="00AF3580"/>
    <w:rsid w:val="00AF7129"/>
    <w:rsid w:val="00B002FA"/>
    <w:rsid w:val="00B02B76"/>
    <w:rsid w:val="00B10468"/>
    <w:rsid w:val="00B119D2"/>
    <w:rsid w:val="00B1352E"/>
    <w:rsid w:val="00B14373"/>
    <w:rsid w:val="00B22469"/>
    <w:rsid w:val="00B23162"/>
    <w:rsid w:val="00B252DA"/>
    <w:rsid w:val="00B262D4"/>
    <w:rsid w:val="00B30117"/>
    <w:rsid w:val="00B30297"/>
    <w:rsid w:val="00B33E4E"/>
    <w:rsid w:val="00B37FA5"/>
    <w:rsid w:val="00B41F70"/>
    <w:rsid w:val="00B440E8"/>
    <w:rsid w:val="00B46A0C"/>
    <w:rsid w:val="00B46AF2"/>
    <w:rsid w:val="00B46F41"/>
    <w:rsid w:val="00B501F5"/>
    <w:rsid w:val="00B51CC8"/>
    <w:rsid w:val="00B57BED"/>
    <w:rsid w:val="00B61ECA"/>
    <w:rsid w:val="00B63A76"/>
    <w:rsid w:val="00B66F9C"/>
    <w:rsid w:val="00B74E2D"/>
    <w:rsid w:val="00B76216"/>
    <w:rsid w:val="00B80DAF"/>
    <w:rsid w:val="00B81209"/>
    <w:rsid w:val="00B969BA"/>
    <w:rsid w:val="00B97BAC"/>
    <w:rsid w:val="00BB0C2C"/>
    <w:rsid w:val="00BB12A4"/>
    <w:rsid w:val="00BB263C"/>
    <w:rsid w:val="00BB7017"/>
    <w:rsid w:val="00BC0251"/>
    <w:rsid w:val="00BC6D25"/>
    <w:rsid w:val="00BC7A0C"/>
    <w:rsid w:val="00BD1BAB"/>
    <w:rsid w:val="00BD2E37"/>
    <w:rsid w:val="00BD4F7C"/>
    <w:rsid w:val="00BE120A"/>
    <w:rsid w:val="00BE461C"/>
    <w:rsid w:val="00BE6B75"/>
    <w:rsid w:val="00BF04C3"/>
    <w:rsid w:val="00BF3AAF"/>
    <w:rsid w:val="00C0168B"/>
    <w:rsid w:val="00C01896"/>
    <w:rsid w:val="00C02E32"/>
    <w:rsid w:val="00C06667"/>
    <w:rsid w:val="00C068EE"/>
    <w:rsid w:val="00C13C64"/>
    <w:rsid w:val="00C16937"/>
    <w:rsid w:val="00C16D8D"/>
    <w:rsid w:val="00C237E2"/>
    <w:rsid w:val="00C3223F"/>
    <w:rsid w:val="00C418F1"/>
    <w:rsid w:val="00C455D4"/>
    <w:rsid w:val="00C507DE"/>
    <w:rsid w:val="00C5240E"/>
    <w:rsid w:val="00C56605"/>
    <w:rsid w:val="00C569A2"/>
    <w:rsid w:val="00C60793"/>
    <w:rsid w:val="00C608C8"/>
    <w:rsid w:val="00C60C00"/>
    <w:rsid w:val="00C61D56"/>
    <w:rsid w:val="00C61E08"/>
    <w:rsid w:val="00C624CE"/>
    <w:rsid w:val="00C6353F"/>
    <w:rsid w:val="00C656FE"/>
    <w:rsid w:val="00C7069B"/>
    <w:rsid w:val="00C720D3"/>
    <w:rsid w:val="00C74762"/>
    <w:rsid w:val="00C77914"/>
    <w:rsid w:val="00C81FAD"/>
    <w:rsid w:val="00C83472"/>
    <w:rsid w:val="00C84271"/>
    <w:rsid w:val="00C87A2A"/>
    <w:rsid w:val="00C87DEF"/>
    <w:rsid w:val="00C949A2"/>
    <w:rsid w:val="00CA316B"/>
    <w:rsid w:val="00CA6227"/>
    <w:rsid w:val="00CB0CF3"/>
    <w:rsid w:val="00CB6148"/>
    <w:rsid w:val="00CB7E43"/>
    <w:rsid w:val="00CC4D3C"/>
    <w:rsid w:val="00CD536C"/>
    <w:rsid w:val="00CD7306"/>
    <w:rsid w:val="00CE1370"/>
    <w:rsid w:val="00CE4BAD"/>
    <w:rsid w:val="00D01870"/>
    <w:rsid w:val="00D025F8"/>
    <w:rsid w:val="00D0290A"/>
    <w:rsid w:val="00D03BFF"/>
    <w:rsid w:val="00D04A2D"/>
    <w:rsid w:val="00D0666B"/>
    <w:rsid w:val="00D271FC"/>
    <w:rsid w:val="00D278E1"/>
    <w:rsid w:val="00D34A7D"/>
    <w:rsid w:val="00D37724"/>
    <w:rsid w:val="00D4016F"/>
    <w:rsid w:val="00D45F6A"/>
    <w:rsid w:val="00D46E06"/>
    <w:rsid w:val="00D50157"/>
    <w:rsid w:val="00D51B35"/>
    <w:rsid w:val="00D52F27"/>
    <w:rsid w:val="00D53902"/>
    <w:rsid w:val="00D63099"/>
    <w:rsid w:val="00D630AA"/>
    <w:rsid w:val="00D643D0"/>
    <w:rsid w:val="00D65C91"/>
    <w:rsid w:val="00D73EEB"/>
    <w:rsid w:val="00D7531A"/>
    <w:rsid w:val="00D80D21"/>
    <w:rsid w:val="00D83035"/>
    <w:rsid w:val="00D83509"/>
    <w:rsid w:val="00D85CD3"/>
    <w:rsid w:val="00D865BA"/>
    <w:rsid w:val="00D9062C"/>
    <w:rsid w:val="00D923B8"/>
    <w:rsid w:val="00D95BCA"/>
    <w:rsid w:val="00DA079C"/>
    <w:rsid w:val="00DA16CA"/>
    <w:rsid w:val="00DA2620"/>
    <w:rsid w:val="00DB1714"/>
    <w:rsid w:val="00DB1F1B"/>
    <w:rsid w:val="00DC6056"/>
    <w:rsid w:val="00DC6905"/>
    <w:rsid w:val="00DC76C3"/>
    <w:rsid w:val="00DC7B0C"/>
    <w:rsid w:val="00DD3644"/>
    <w:rsid w:val="00DD3B69"/>
    <w:rsid w:val="00DD3C99"/>
    <w:rsid w:val="00DD52A5"/>
    <w:rsid w:val="00DE2410"/>
    <w:rsid w:val="00DE5258"/>
    <w:rsid w:val="00DE5415"/>
    <w:rsid w:val="00DF2D1B"/>
    <w:rsid w:val="00DF591D"/>
    <w:rsid w:val="00E00E93"/>
    <w:rsid w:val="00E01C47"/>
    <w:rsid w:val="00E02445"/>
    <w:rsid w:val="00E101E9"/>
    <w:rsid w:val="00E13704"/>
    <w:rsid w:val="00E14331"/>
    <w:rsid w:val="00E14613"/>
    <w:rsid w:val="00E15B80"/>
    <w:rsid w:val="00E163BB"/>
    <w:rsid w:val="00E171CB"/>
    <w:rsid w:val="00E206DD"/>
    <w:rsid w:val="00E208D6"/>
    <w:rsid w:val="00E235E2"/>
    <w:rsid w:val="00E27EDB"/>
    <w:rsid w:val="00E30005"/>
    <w:rsid w:val="00E30863"/>
    <w:rsid w:val="00E30CAA"/>
    <w:rsid w:val="00E3497F"/>
    <w:rsid w:val="00E360D7"/>
    <w:rsid w:val="00E425A8"/>
    <w:rsid w:val="00E453DD"/>
    <w:rsid w:val="00E51CDC"/>
    <w:rsid w:val="00E75772"/>
    <w:rsid w:val="00E76FAA"/>
    <w:rsid w:val="00E77498"/>
    <w:rsid w:val="00E80182"/>
    <w:rsid w:val="00E8356E"/>
    <w:rsid w:val="00E85861"/>
    <w:rsid w:val="00E859A4"/>
    <w:rsid w:val="00E92829"/>
    <w:rsid w:val="00E97790"/>
    <w:rsid w:val="00EA107A"/>
    <w:rsid w:val="00EA2AC5"/>
    <w:rsid w:val="00EA3923"/>
    <w:rsid w:val="00EA4B59"/>
    <w:rsid w:val="00EA6373"/>
    <w:rsid w:val="00EB1D3F"/>
    <w:rsid w:val="00EB29AB"/>
    <w:rsid w:val="00EB4C06"/>
    <w:rsid w:val="00EC07ED"/>
    <w:rsid w:val="00EC352F"/>
    <w:rsid w:val="00ED544B"/>
    <w:rsid w:val="00ED63D5"/>
    <w:rsid w:val="00ED7306"/>
    <w:rsid w:val="00ED7488"/>
    <w:rsid w:val="00EE2A4B"/>
    <w:rsid w:val="00EF448A"/>
    <w:rsid w:val="00EF5826"/>
    <w:rsid w:val="00EF5A45"/>
    <w:rsid w:val="00EF6576"/>
    <w:rsid w:val="00F04DE3"/>
    <w:rsid w:val="00F050B7"/>
    <w:rsid w:val="00F059FB"/>
    <w:rsid w:val="00F06408"/>
    <w:rsid w:val="00F12834"/>
    <w:rsid w:val="00F15332"/>
    <w:rsid w:val="00F25C63"/>
    <w:rsid w:val="00F25F17"/>
    <w:rsid w:val="00F31907"/>
    <w:rsid w:val="00F42D63"/>
    <w:rsid w:val="00F4329E"/>
    <w:rsid w:val="00F47DAC"/>
    <w:rsid w:val="00F47EF1"/>
    <w:rsid w:val="00F54CFC"/>
    <w:rsid w:val="00F76984"/>
    <w:rsid w:val="00F80943"/>
    <w:rsid w:val="00F822AC"/>
    <w:rsid w:val="00F8547F"/>
    <w:rsid w:val="00F87F6D"/>
    <w:rsid w:val="00FA21C9"/>
    <w:rsid w:val="00FA4914"/>
    <w:rsid w:val="00FD04D9"/>
    <w:rsid w:val="00FF1E81"/>
    <w:rsid w:val="00FF2E91"/>
    <w:rsid w:val="00FF41CF"/>
    <w:rsid w:val="00FF699A"/>
    <w:rsid w:val="04FE3817"/>
    <w:rsid w:val="1A95BB67"/>
    <w:rsid w:val="34C6BF24"/>
    <w:rsid w:val="38492CC8"/>
    <w:rsid w:val="58E9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299A91"/>
  <w15:chartTrackingRefBased/>
  <w15:docId w15:val="{EE14190F-3617-47EA-A893-F0560492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917DB"/>
    <w:pPr>
      <w:numPr>
        <w:numId w:val="33"/>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eastAsiaTheme="majorEastAsia" w:hAnsi="Arial" w:cstheme="majorBidi"/>
      <w:b/>
      <w:bCs/>
      <w:caps/>
      <w:sz w:val="28"/>
      <w:szCs w:val="28"/>
      <w:lang w:bidi="en-US"/>
    </w:rPr>
  </w:style>
  <w:style w:type="paragraph" w:styleId="ListParagraph">
    <w:name w:val="List Paragraph"/>
    <w:aliases w:val="List 6 space between lines,Bullets"/>
    <w:basedOn w:val="Normal"/>
    <w:link w:val="ListParagraphChar"/>
    <w:uiPriority w:val="34"/>
    <w:qFormat/>
    <w:rsid w:val="005645B8"/>
    <w:pPr>
      <w:ind w:left="720"/>
      <w:contextualSpacing/>
    </w:pPr>
  </w:style>
  <w:style w:type="character" w:customStyle="1" w:styleId="Heading2Char">
    <w:name w:val="Heading 2 Char"/>
    <w:basedOn w:val="DefaultParagraphFont"/>
    <w:link w:val="Heading2"/>
    <w:uiPriority w:val="9"/>
    <w:rsid w:val="002917DB"/>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0D5E31"/>
    <w:rPr>
      <w:sz w:val="16"/>
      <w:szCs w:val="16"/>
    </w:rPr>
  </w:style>
  <w:style w:type="paragraph" w:styleId="CommentText">
    <w:name w:val="annotation text"/>
    <w:aliases w:val="Bubble Text"/>
    <w:basedOn w:val="Normal"/>
    <w:link w:val="CommentTextChar"/>
    <w:unhideWhenUsed/>
    <w:qFormat/>
    <w:rsid w:val="000D5E31"/>
    <w:pPr>
      <w:spacing w:line="240" w:lineRule="auto"/>
    </w:pPr>
    <w:rPr>
      <w:sz w:val="20"/>
      <w:szCs w:val="20"/>
    </w:rPr>
  </w:style>
  <w:style w:type="character" w:customStyle="1" w:styleId="CommentTextChar">
    <w:name w:val="Comment Text Char"/>
    <w:aliases w:val="Bubble Text Char"/>
    <w:basedOn w:val="DefaultParagraphFont"/>
    <w:link w:val="CommentText"/>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link w:val="CaptionChar"/>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paragraph" w:styleId="NormalWeb">
    <w:name w:val="Normal (Web)"/>
    <w:basedOn w:val="Normal"/>
    <w:uiPriority w:val="99"/>
    <w:unhideWhenUsed/>
    <w:rsid w:val="006D35C6"/>
    <w:pPr>
      <w:spacing w:after="0" w:line="240" w:lineRule="auto"/>
    </w:pPr>
    <w:rPr>
      <w:rFonts w:ascii="Times New Roman" w:hAnsi="Times New Roman" w:cs="Times New Roman"/>
      <w:szCs w:val="24"/>
    </w:rPr>
  </w:style>
  <w:style w:type="character" w:customStyle="1" w:styleId="ListParagraphChar">
    <w:name w:val="List Paragraph Char"/>
    <w:aliases w:val="List 6 space between lines Char,Bullets Char"/>
    <w:link w:val="ListParagraph"/>
    <w:uiPriority w:val="34"/>
    <w:locked/>
    <w:rsid w:val="00F76984"/>
    <w:rPr>
      <w:rFonts w:ascii="Arial" w:hAnsi="Arial"/>
      <w:sz w:val="24"/>
    </w:rPr>
  </w:style>
  <w:style w:type="table" w:customStyle="1" w:styleId="TableGrid2">
    <w:name w:val="Table Grid2"/>
    <w:basedOn w:val="TableNormal"/>
    <w:next w:val="TableGrid"/>
    <w:rsid w:val="0015719F"/>
    <w:pPr>
      <w:widowControl w:val="0"/>
      <w:autoSpaceDE w:val="0"/>
      <w:autoSpaceDN w:val="0"/>
      <w:adjustRightInd w:val="0"/>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15719F"/>
  </w:style>
  <w:style w:type="character" w:styleId="Emphasis">
    <w:name w:val="Emphasis"/>
    <w:basedOn w:val="DefaultParagraphFont"/>
    <w:uiPriority w:val="20"/>
    <w:qFormat/>
    <w:rsid w:val="007F3394"/>
    <w:rPr>
      <w:i/>
      <w:iCs/>
    </w:rPr>
  </w:style>
  <w:style w:type="paragraph" w:customStyle="1" w:styleId="paragraph">
    <w:name w:val="paragraph"/>
    <w:basedOn w:val="Normal"/>
    <w:rsid w:val="00614FF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614FFA"/>
  </w:style>
  <w:style w:type="character" w:customStyle="1" w:styleId="eop">
    <w:name w:val="eop"/>
    <w:basedOn w:val="DefaultParagraphFont"/>
    <w:rsid w:val="00614FFA"/>
  </w:style>
  <w:style w:type="character" w:customStyle="1" w:styleId="CaptionChar">
    <w:name w:val="Caption Char"/>
    <w:link w:val="Caption"/>
    <w:uiPriority w:val="35"/>
    <w:rsid w:val="00614FFA"/>
    <w:rPr>
      <w:rFonts w:ascii="Arial" w:hAnsi="Arial" w:cs="Arial"/>
      <w:b/>
      <w:bCs/>
      <w:color w:val="000000" w:themeColor="text1"/>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96675">
      <w:bodyDiv w:val="1"/>
      <w:marLeft w:val="0"/>
      <w:marRight w:val="0"/>
      <w:marTop w:val="0"/>
      <w:marBottom w:val="0"/>
      <w:divBdr>
        <w:top w:val="none" w:sz="0" w:space="0" w:color="auto"/>
        <w:left w:val="none" w:sz="0" w:space="0" w:color="auto"/>
        <w:bottom w:val="none" w:sz="0" w:space="0" w:color="auto"/>
        <w:right w:val="none" w:sz="0" w:space="0" w:color="auto"/>
      </w:divBdr>
      <w:divsChild>
        <w:div w:id="1054693020">
          <w:marLeft w:val="0"/>
          <w:marRight w:val="0"/>
          <w:marTop w:val="0"/>
          <w:marBottom w:val="0"/>
          <w:divBdr>
            <w:top w:val="none" w:sz="0" w:space="0" w:color="auto"/>
            <w:left w:val="none" w:sz="0" w:space="0" w:color="auto"/>
            <w:bottom w:val="none" w:sz="0" w:space="0" w:color="auto"/>
            <w:right w:val="none" w:sz="0" w:space="0" w:color="auto"/>
          </w:divBdr>
        </w:div>
        <w:div w:id="1163282500">
          <w:marLeft w:val="0"/>
          <w:marRight w:val="0"/>
          <w:marTop w:val="0"/>
          <w:marBottom w:val="0"/>
          <w:divBdr>
            <w:top w:val="none" w:sz="0" w:space="0" w:color="auto"/>
            <w:left w:val="none" w:sz="0" w:space="0" w:color="auto"/>
            <w:bottom w:val="none" w:sz="0" w:space="0" w:color="auto"/>
            <w:right w:val="none" w:sz="0" w:space="0" w:color="auto"/>
          </w:divBdr>
        </w:div>
        <w:div w:id="1726755788">
          <w:marLeft w:val="0"/>
          <w:marRight w:val="0"/>
          <w:marTop w:val="0"/>
          <w:marBottom w:val="0"/>
          <w:divBdr>
            <w:top w:val="none" w:sz="0" w:space="0" w:color="auto"/>
            <w:left w:val="none" w:sz="0" w:space="0" w:color="auto"/>
            <w:bottom w:val="none" w:sz="0" w:space="0" w:color="auto"/>
            <w:right w:val="none" w:sz="0" w:space="0" w:color="auto"/>
          </w:divBdr>
        </w:div>
      </w:divsChild>
    </w:div>
    <w:div w:id="1072191915">
      <w:bodyDiv w:val="1"/>
      <w:marLeft w:val="0"/>
      <w:marRight w:val="0"/>
      <w:marTop w:val="0"/>
      <w:marBottom w:val="0"/>
      <w:divBdr>
        <w:top w:val="none" w:sz="0" w:space="0" w:color="auto"/>
        <w:left w:val="none" w:sz="0" w:space="0" w:color="auto"/>
        <w:bottom w:val="none" w:sz="0" w:space="0" w:color="auto"/>
        <w:right w:val="none" w:sz="0" w:space="0" w:color="auto"/>
      </w:divBdr>
    </w:div>
    <w:div w:id="16217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pa.gov/dockets/epa-docket-center-and-reading-room-open-public-appointment-onl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reginfo.gov/public/do/PRAMain" TargetMode="External"/><Relationship Id="rId2" Type="http://schemas.openxmlformats.org/officeDocument/2006/relationships/customXml" Target="../customXml/item2.xml"/><Relationship Id="rId16"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20" Type="http://schemas.openxmlformats.org/officeDocument/2006/relationships/hyperlink" Target="https://www.govinfo.gov/content/pkg/USCODE-2020-title15/pdf/USCODE-2020-title15-chap53-subchapI-sec260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Ross, Adam</DisplayName>
        <AccountId>17</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2022-03-17T18:07:31+00:00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8" ma:contentTypeDescription="Create a new document." ma:contentTypeScope="" ma:versionID="a7dfcfbaf20c39c4d89e2c349421964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260d90182451618bd3c58cff0359224"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2.xml><?xml version="1.0" encoding="utf-8"?>
<ds:datastoreItem xmlns:ds="http://schemas.openxmlformats.org/officeDocument/2006/customXml" ds:itemID="{FF444B56-BA86-4284-B1F7-B5381B365F4F}">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4c897256-52db-410f-98c9-5c6e0cd83429"/>
    <ds:schemaRef ds:uri="http://schemas.microsoft.com/office/infopath/2007/PartnerControls"/>
    <ds:schemaRef ds:uri="http://schemas.openxmlformats.org/package/2006/metadata/core-properties"/>
    <ds:schemaRef ds:uri="0f454475-c6e7-4c17-83fe-0b15ed7d01e2"/>
    <ds:schemaRef ds:uri="http://purl.org/dc/elements/1.1/"/>
    <ds:schemaRef ds:uri="a5d1ca4e-0a3f-4119-b619-e20b93ebd1aa"/>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9519DAF8-5686-427A-95F0-F985266D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17F65-8EAD-49C0-8BC6-E35041D0A34C}">
  <ds:schemaRefs>
    <ds:schemaRef ds:uri="http://schemas.openxmlformats.org/officeDocument/2006/bibliography"/>
  </ds:schemaRefs>
</ds:datastoreItem>
</file>

<file path=customXml/itemProps5.xml><?xml version="1.0" encoding="utf-8"?>
<ds:datastoreItem xmlns:ds="http://schemas.openxmlformats.org/officeDocument/2006/customXml" ds:itemID="{8C7D93B9-AA3E-4675-9721-BE9E07493FE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4157</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ICR SupportingStatment 18 Question Format</vt:lpstr>
    </vt:vector>
  </TitlesOfParts>
  <Company>White House Communications Agency</Company>
  <LinksUpToDate>false</LinksUpToDate>
  <CharactersWithSpaces>27797</CharactersWithSpaces>
  <SharedDoc>false</SharedDoc>
  <HLinks>
    <vt:vector size="24" baseType="variant">
      <vt:variant>
        <vt:i4>2818151</vt:i4>
      </vt:variant>
      <vt:variant>
        <vt:i4>13</vt:i4>
      </vt:variant>
      <vt:variant>
        <vt:i4>0</vt:i4>
      </vt:variant>
      <vt:variant>
        <vt:i4>5</vt:i4>
      </vt:variant>
      <vt:variant>
        <vt:lpwstr>http://www.regulations.gov/</vt:lpwstr>
      </vt:variant>
      <vt:variant>
        <vt:lpwstr/>
      </vt:variant>
      <vt:variant>
        <vt:i4>2162749</vt:i4>
      </vt:variant>
      <vt:variant>
        <vt:i4>10</vt:i4>
      </vt:variant>
      <vt:variant>
        <vt:i4>0</vt:i4>
      </vt:variant>
      <vt:variant>
        <vt:i4>5</vt:i4>
      </vt:variant>
      <vt:variant>
        <vt:lpwstr>https://www.epa.gov/dockets/epa-docket-center-and-reading-room-open-public-appointment-only</vt:lpwstr>
      </vt:variant>
      <vt:variant>
        <vt:lpwstr/>
      </vt:variant>
      <vt:variant>
        <vt:i4>720915</vt:i4>
      </vt:variant>
      <vt:variant>
        <vt:i4>7</vt:i4>
      </vt:variant>
      <vt:variant>
        <vt:i4>0</vt:i4>
      </vt:variant>
      <vt:variant>
        <vt:i4>5</vt:i4>
      </vt:variant>
      <vt:variant>
        <vt:lpwstr>http://www.reginfo.gov/public/do/PRAMain</vt:lpwstr>
      </vt:variant>
      <vt:variant>
        <vt:lpwstr/>
      </vt:variant>
      <vt:variant>
        <vt:i4>3670122</vt:i4>
      </vt:variant>
      <vt:variant>
        <vt:i4>4</vt:i4>
      </vt:variant>
      <vt:variant>
        <vt:i4>0</vt:i4>
      </vt:variant>
      <vt:variant>
        <vt:i4>5</vt:i4>
      </vt:variant>
      <vt:variant>
        <vt:lpwstr>https://gcc01.safelinks.protection.outlook.com/?url=http%3A%2F%2Fwww.regulations.gov%2F&amp;data=02%7C01%7CJohnson.Amaris%40epa.gov%7C65c78ba73b1c4704fa3b08d83d5ce864%7C88b378b367484867acf976aacbeca6a7%7C0%7C0%7C637326816523141399&amp;sdata=WOWgcU%2By8oJt6418QKqXD04axE1uaiohF6TecHDjyrE%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SupportingStatment 18 Question Format</dc:title>
  <dc:subject/>
  <dc:creator>OMB Comments;siu.carolyn@epa.gov</dc:creator>
  <cp:keywords/>
  <dc:description/>
  <cp:lastModifiedBy>Johnson, Amaris</cp:lastModifiedBy>
  <cp:revision>2</cp:revision>
  <cp:lastPrinted>2021-12-09T22:08:00Z</cp:lastPrinted>
  <dcterms:created xsi:type="dcterms:W3CDTF">2022-04-12T17:39:00Z</dcterms:created>
  <dcterms:modified xsi:type="dcterms:W3CDTF">2022-04-12T17:39:00Z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